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370" w:rsidRDefault="003B7960">
      <w:pPr>
        <w:spacing w:after="152" w:line="259" w:lineRule="auto"/>
        <w:ind w:left="16" w:firstLine="0"/>
      </w:pPr>
      <w:r>
        <w:rPr>
          <w:noProof/>
        </w:rPr>
        <w:drawing>
          <wp:inline distT="0" distB="0" distL="0" distR="0">
            <wp:extent cx="1864360" cy="1555750"/>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7"/>
                    <a:stretch>
                      <a:fillRect/>
                    </a:stretch>
                  </pic:blipFill>
                  <pic:spPr>
                    <a:xfrm>
                      <a:off x="0" y="0"/>
                      <a:ext cx="1864360" cy="1555750"/>
                    </a:xfrm>
                    <a:prstGeom prst="rect">
                      <a:avLst/>
                    </a:prstGeom>
                  </pic:spPr>
                </pic:pic>
              </a:graphicData>
            </a:graphic>
          </wp:inline>
        </w:drawing>
      </w:r>
      <w:r>
        <w:rPr>
          <w:sz w:val="20"/>
        </w:rPr>
        <w:t xml:space="preserve"> </w:t>
      </w:r>
      <w:bookmarkStart w:id="0" w:name="_GoBack"/>
      <w:bookmarkEnd w:id="0"/>
    </w:p>
    <w:p w:rsidR="00087370" w:rsidRDefault="003B7960">
      <w:pPr>
        <w:spacing w:after="216" w:line="259" w:lineRule="auto"/>
        <w:ind w:left="16" w:firstLine="0"/>
      </w:pPr>
      <w:r>
        <w:rPr>
          <w:sz w:val="20"/>
        </w:rPr>
        <w:t xml:space="preserve"> </w:t>
      </w:r>
    </w:p>
    <w:p w:rsidR="00087370" w:rsidRDefault="003B7960">
      <w:pPr>
        <w:spacing w:after="260" w:line="259" w:lineRule="auto"/>
        <w:ind w:left="16" w:firstLine="0"/>
      </w:pPr>
      <w:r>
        <w:rPr>
          <w:sz w:val="20"/>
        </w:rPr>
        <w:t xml:space="preserve"> </w:t>
      </w:r>
    </w:p>
    <w:p w:rsidR="00087370" w:rsidRDefault="003B7960">
      <w:pPr>
        <w:spacing w:after="210"/>
        <w:ind w:left="11" w:right="5"/>
      </w:pPr>
      <w:r>
        <w:t xml:space="preserve">G-Cloud 10 Call-Off Contract </w:t>
      </w:r>
    </w:p>
    <w:p w:rsidR="00087370" w:rsidRDefault="003B7960">
      <w:pPr>
        <w:spacing w:after="220" w:line="259" w:lineRule="auto"/>
        <w:ind w:left="16" w:firstLine="0"/>
      </w:pPr>
      <w:r>
        <w:t xml:space="preserve"> </w:t>
      </w:r>
    </w:p>
    <w:p w:rsidR="00087370" w:rsidRDefault="003B7960">
      <w:pPr>
        <w:spacing w:after="220" w:line="259" w:lineRule="auto"/>
        <w:ind w:left="16" w:firstLine="0"/>
      </w:pPr>
      <w:r>
        <w:t xml:space="preserve"> </w:t>
      </w:r>
    </w:p>
    <w:sdt>
      <w:sdtPr>
        <w:rPr>
          <w:rFonts w:ascii="Sylfaen" w:eastAsia="Sylfaen" w:hAnsi="Sylfaen" w:cs="Sylfaen"/>
          <w:b w:val="0"/>
        </w:rPr>
        <w:id w:val="1448817378"/>
        <w:docPartObj>
          <w:docPartGallery w:val="Table of Contents"/>
        </w:docPartObj>
      </w:sdtPr>
      <w:sdtEndPr/>
      <w:sdtContent>
        <w:p w:rsidR="00087370" w:rsidRDefault="003B7960">
          <w:pPr>
            <w:pStyle w:val="TOC1"/>
            <w:tabs>
              <w:tab w:val="right" w:pos="10715"/>
            </w:tabs>
          </w:pPr>
          <w:r>
            <w:fldChar w:fldCharType="begin"/>
          </w:r>
          <w:r>
            <w:instrText xml:space="preserve"> TOC \o "1-1" \h \z \u </w:instrText>
          </w:r>
          <w:r>
            <w:fldChar w:fldCharType="separate"/>
          </w:r>
          <w:hyperlink w:anchor="_Toc72191">
            <w:r>
              <w:rPr>
                <w:rFonts w:ascii="Sylfaen" w:eastAsia="Sylfaen" w:hAnsi="Sylfaen" w:cs="Sylfaen"/>
                <w:b w:val="0"/>
              </w:rPr>
              <w:t xml:space="preserve">This Call-Off Contract for the G-Cloud 10 Framework Agreement (RM1557.10) includes: </w:t>
            </w:r>
            <w:r>
              <w:t>Part A - Order Form</w:t>
            </w:r>
            <w:r>
              <w:tab/>
            </w:r>
            <w:r>
              <w:fldChar w:fldCharType="begin"/>
            </w:r>
            <w:r>
              <w:instrText>PAGEREF _Toc72191 \h</w:instrText>
            </w:r>
            <w:r>
              <w:fldChar w:fldCharType="separate"/>
            </w:r>
            <w:r>
              <w:rPr>
                <w:rFonts w:ascii="Sylfaen" w:eastAsia="Sylfaen" w:hAnsi="Sylfaen" w:cs="Sylfaen"/>
              </w:rPr>
              <w:t xml:space="preserve">2 </w:t>
            </w:r>
            <w:r>
              <w:fldChar w:fldCharType="end"/>
            </w:r>
          </w:hyperlink>
        </w:p>
        <w:p w:rsidR="00087370" w:rsidRDefault="0014728F">
          <w:pPr>
            <w:pStyle w:val="TOC1"/>
            <w:tabs>
              <w:tab w:val="right" w:pos="10715"/>
            </w:tabs>
          </w:pPr>
          <w:hyperlink w:anchor="_Toc72192">
            <w:r w:rsidR="003B7960">
              <w:t>Schedule 1 - Services</w:t>
            </w:r>
            <w:r w:rsidR="003B7960">
              <w:tab/>
            </w:r>
            <w:r w:rsidR="003B7960">
              <w:fldChar w:fldCharType="begin"/>
            </w:r>
            <w:r w:rsidR="003B7960">
              <w:instrText>PAGEREF _Toc72192 \h</w:instrText>
            </w:r>
            <w:r w:rsidR="003B7960">
              <w:fldChar w:fldCharType="separate"/>
            </w:r>
            <w:r w:rsidR="003B7960">
              <w:rPr>
                <w:rFonts w:ascii="Sylfaen" w:eastAsia="Sylfaen" w:hAnsi="Sylfaen" w:cs="Sylfaen"/>
              </w:rPr>
              <w:t xml:space="preserve">7 </w:t>
            </w:r>
            <w:r w:rsidR="003B7960">
              <w:fldChar w:fldCharType="end"/>
            </w:r>
          </w:hyperlink>
        </w:p>
        <w:p w:rsidR="00087370" w:rsidRDefault="0014728F">
          <w:pPr>
            <w:pStyle w:val="TOC1"/>
            <w:tabs>
              <w:tab w:val="right" w:pos="10715"/>
            </w:tabs>
          </w:pPr>
          <w:hyperlink w:anchor="_Toc72193">
            <w:r w:rsidR="003B7960">
              <w:t>Schedule 2 - Call-Off Contract charges</w:t>
            </w:r>
            <w:r w:rsidR="003B7960">
              <w:tab/>
            </w:r>
            <w:r w:rsidR="003B7960">
              <w:fldChar w:fldCharType="begin"/>
            </w:r>
            <w:r w:rsidR="003B7960">
              <w:instrText>PAGEREF _Toc72193 \h</w:instrText>
            </w:r>
            <w:r w:rsidR="003B7960">
              <w:fldChar w:fldCharType="separate"/>
            </w:r>
            <w:r w:rsidR="003B7960">
              <w:rPr>
                <w:rFonts w:ascii="Sylfaen" w:eastAsia="Sylfaen" w:hAnsi="Sylfaen" w:cs="Sylfaen"/>
              </w:rPr>
              <w:t xml:space="preserve">8 </w:t>
            </w:r>
            <w:r w:rsidR="003B7960">
              <w:fldChar w:fldCharType="end"/>
            </w:r>
          </w:hyperlink>
        </w:p>
        <w:p w:rsidR="00087370" w:rsidRDefault="0014728F">
          <w:pPr>
            <w:pStyle w:val="TOC1"/>
            <w:tabs>
              <w:tab w:val="right" w:pos="10715"/>
            </w:tabs>
          </w:pPr>
          <w:hyperlink w:anchor="_Toc72194">
            <w:r w:rsidR="003B7960">
              <w:t>Part B - Terms and conditions</w:t>
            </w:r>
            <w:r w:rsidR="003B7960">
              <w:tab/>
            </w:r>
            <w:r w:rsidR="003B7960">
              <w:fldChar w:fldCharType="begin"/>
            </w:r>
            <w:r w:rsidR="003B7960">
              <w:instrText>PAGEREF _Toc72194 \h</w:instrText>
            </w:r>
            <w:r w:rsidR="003B7960">
              <w:fldChar w:fldCharType="separate"/>
            </w:r>
            <w:r w:rsidR="003B7960">
              <w:rPr>
                <w:rFonts w:ascii="Sylfaen" w:eastAsia="Sylfaen" w:hAnsi="Sylfaen" w:cs="Sylfaen"/>
              </w:rPr>
              <w:t xml:space="preserve">9 </w:t>
            </w:r>
            <w:r w:rsidR="003B7960">
              <w:fldChar w:fldCharType="end"/>
            </w:r>
          </w:hyperlink>
        </w:p>
        <w:p w:rsidR="00087370" w:rsidRDefault="0014728F">
          <w:pPr>
            <w:pStyle w:val="TOC1"/>
            <w:tabs>
              <w:tab w:val="right" w:pos="10715"/>
            </w:tabs>
          </w:pPr>
          <w:hyperlink w:anchor="_Toc72195">
            <w:r w:rsidR="003B7960">
              <w:t>Schedule 3 - Collaboration agreement</w:t>
            </w:r>
            <w:r w:rsidR="003B7960">
              <w:tab/>
            </w:r>
            <w:r w:rsidR="003B7960">
              <w:fldChar w:fldCharType="begin"/>
            </w:r>
            <w:r w:rsidR="003B7960">
              <w:instrText>PAGEREF _Toc72195 \h</w:instrText>
            </w:r>
            <w:r w:rsidR="003B7960">
              <w:fldChar w:fldCharType="separate"/>
            </w:r>
            <w:r w:rsidR="003B7960">
              <w:rPr>
                <w:rFonts w:ascii="Sylfaen" w:eastAsia="Sylfaen" w:hAnsi="Sylfaen" w:cs="Sylfaen"/>
              </w:rPr>
              <w:t xml:space="preserve">30 </w:t>
            </w:r>
            <w:r w:rsidR="003B7960">
              <w:fldChar w:fldCharType="end"/>
            </w:r>
          </w:hyperlink>
        </w:p>
        <w:p w:rsidR="00087370" w:rsidRDefault="0014728F">
          <w:pPr>
            <w:pStyle w:val="TOC1"/>
            <w:tabs>
              <w:tab w:val="right" w:pos="10715"/>
            </w:tabs>
          </w:pPr>
          <w:hyperlink w:anchor="_Toc72196">
            <w:r w:rsidR="003B7960">
              <w:t>Schedule 4 - Alternative clauses</w:t>
            </w:r>
            <w:r w:rsidR="003B7960">
              <w:tab/>
            </w:r>
            <w:r w:rsidR="003B7960">
              <w:fldChar w:fldCharType="begin"/>
            </w:r>
            <w:r w:rsidR="003B7960">
              <w:instrText>PAGEREF _Toc72196 \h</w:instrText>
            </w:r>
            <w:r w:rsidR="003B7960">
              <w:fldChar w:fldCharType="separate"/>
            </w:r>
            <w:r w:rsidR="003B7960">
              <w:rPr>
                <w:rFonts w:ascii="Sylfaen" w:eastAsia="Sylfaen" w:hAnsi="Sylfaen" w:cs="Sylfaen"/>
              </w:rPr>
              <w:t xml:space="preserve">30 </w:t>
            </w:r>
            <w:r w:rsidR="003B7960">
              <w:fldChar w:fldCharType="end"/>
            </w:r>
          </w:hyperlink>
        </w:p>
        <w:p w:rsidR="00087370" w:rsidRDefault="0014728F">
          <w:pPr>
            <w:pStyle w:val="TOC1"/>
            <w:tabs>
              <w:tab w:val="right" w:pos="10715"/>
            </w:tabs>
          </w:pPr>
          <w:hyperlink w:anchor="_Toc72197">
            <w:r w:rsidR="003B7960">
              <w:t>Schedule 5 - Guarantee</w:t>
            </w:r>
            <w:r w:rsidR="003B7960">
              <w:tab/>
            </w:r>
            <w:r w:rsidR="003B7960">
              <w:fldChar w:fldCharType="begin"/>
            </w:r>
            <w:r w:rsidR="003B7960">
              <w:instrText>PAGEREF _Toc72197 \h</w:instrText>
            </w:r>
            <w:r w:rsidR="003B7960">
              <w:fldChar w:fldCharType="separate"/>
            </w:r>
            <w:r w:rsidR="003B7960">
              <w:rPr>
                <w:rFonts w:ascii="Sylfaen" w:eastAsia="Sylfaen" w:hAnsi="Sylfaen" w:cs="Sylfaen"/>
              </w:rPr>
              <w:t xml:space="preserve">31 </w:t>
            </w:r>
            <w:r w:rsidR="003B7960">
              <w:fldChar w:fldCharType="end"/>
            </w:r>
          </w:hyperlink>
        </w:p>
        <w:p w:rsidR="00087370" w:rsidRDefault="0014728F">
          <w:pPr>
            <w:pStyle w:val="TOC1"/>
            <w:tabs>
              <w:tab w:val="right" w:pos="10715"/>
            </w:tabs>
          </w:pPr>
          <w:hyperlink w:anchor="_Toc72198">
            <w:r w:rsidR="003B7960">
              <w:t>Schedule 6 - Glossary and interpretations</w:t>
            </w:r>
            <w:r w:rsidR="003B7960">
              <w:tab/>
            </w:r>
            <w:r w:rsidR="003B7960">
              <w:fldChar w:fldCharType="begin"/>
            </w:r>
            <w:r w:rsidR="003B7960">
              <w:instrText>PAGEREF _Toc72198 \h</w:instrText>
            </w:r>
            <w:r w:rsidR="003B7960">
              <w:fldChar w:fldCharType="separate"/>
            </w:r>
            <w:r w:rsidR="003B7960">
              <w:rPr>
                <w:rFonts w:ascii="Sylfaen" w:eastAsia="Sylfaen" w:hAnsi="Sylfaen" w:cs="Sylfaen"/>
              </w:rPr>
              <w:t xml:space="preserve">31 </w:t>
            </w:r>
            <w:r w:rsidR="003B7960">
              <w:fldChar w:fldCharType="end"/>
            </w:r>
          </w:hyperlink>
        </w:p>
        <w:p w:rsidR="00087370" w:rsidRDefault="0014728F">
          <w:pPr>
            <w:pStyle w:val="TOC1"/>
            <w:tabs>
              <w:tab w:val="right" w:pos="10715"/>
            </w:tabs>
          </w:pPr>
          <w:hyperlink w:anchor="_Toc72199">
            <w:r w:rsidR="003B7960">
              <w:t>Schedule 7 - Processing, Personal Data and Data Subjects</w:t>
            </w:r>
            <w:r w:rsidR="003B7960">
              <w:tab/>
            </w:r>
            <w:r w:rsidR="003B7960">
              <w:fldChar w:fldCharType="begin"/>
            </w:r>
            <w:r w:rsidR="003B7960">
              <w:instrText>PAGEREF _Toc72199 \h</w:instrText>
            </w:r>
            <w:r w:rsidR="003B7960">
              <w:fldChar w:fldCharType="separate"/>
            </w:r>
            <w:r w:rsidR="003B7960">
              <w:rPr>
                <w:rFonts w:ascii="Sylfaen" w:eastAsia="Sylfaen" w:hAnsi="Sylfaen" w:cs="Sylfaen"/>
              </w:rPr>
              <w:t xml:space="preserve">42 </w:t>
            </w:r>
            <w:r w:rsidR="003B7960">
              <w:fldChar w:fldCharType="end"/>
            </w:r>
          </w:hyperlink>
        </w:p>
        <w:p w:rsidR="00087370" w:rsidRDefault="003B7960">
          <w:r>
            <w:fldChar w:fldCharType="end"/>
          </w:r>
        </w:p>
      </w:sdtContent>
    </w:sdt>
    <w:p w:rsidR="00087370" w:rsidRDefault="003B7960">
      <w:pPr>
        <w:spacing w:after="0" w:line="259" w:lineRule="auto"/>
        <w:ind w:left="11"/>
      </w:pPr>
      <w:r>
        <w:t xml:space="preserve">Part A - Order Form  </w:t>
      </w:r>
    </w:p>
    <w:tbl>
      <w:tblPr>
        <w:tblStyle w:val="TableGrid"/>
        <w:tblW w:w="10632" w:type="dxa"/>
        <w:tblInd w:w="26" w:type="dxa"/>
        <w:tblCellMar>
          <w:top w:w="118" w:type="dxa"/>
          <w:left w:w="101" w:type="dxa"/>
          <w:right w:w="115" w:type="dxa"/>
        </w:tblCellMar>
        <w:tblLook w:val="04A0" w:firstRow="1" w:lastRow="0" w:firstColumn="1" w:lastColumn="0" w:noHBand="0" w:noVBand="1"/>
      </w:tblPr>
      <w:tblGrid>
        <w:gridCol w:w="5317"/>
        <w:gridCol w:w="5315"/>
      </w:tblGrid>
      <w:tr w:rsidR="00087370">
        <w:trPr>
          <w:trHeight w:val="584"/>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Digital Marketplace service ID number: </w:t>
            </w:r>
          </w:p>
        </w:tc>
        <w:tc>
          <w:tcPr>
            <w:tcW w:w="531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rPr>
                <w:rFonts w:ascii="Arial" w:eastAsia="Arial" w:hAnsi="Arial" w:cs="Arial"/>
                <w:sz w:val="20"/>
              </w:rPr>
              <w:t>483013872901432</w:t>
            </w:r>
            <w:r>
              <w:t xml:space="preserve"> </w:t>
            </w:r>
          </w:p>
        </w:tc>
      </w:tr>
      <w:tr w:rsidR="00087370">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Call-Off Contract reference: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Systems Up  </w:t>
            </w:r>
          </w:p>
        </w:tc>
      </w:tr>
      <w:tr w:rsidR="00087370">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Call-Off Contract title: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Cloud infrastructure support </w:t>
            </w:r>
          </w:p>
        </w:tc>
      </w:tr>
      <w:tr w:rsidR="00087370">
        <w:trPr>
          <w:trHeight w:val="946"/>
        </w:trPr>
        <w:tc>
          <w:tcPr>
            <w:tcW w:w="531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lastRenderedPageBreak/>
              <w:t xml:space="preserve">Call-Off Contract description: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For provision of a range of cloud infrastructure support services </w:t>
            </w:r>
          </w:p>
        </w:tc>
      </w:tr>
      <w:tr w:rsidR="00087370">
        <w:trPr>
          <w:trHeight w:val="586"/>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Start date: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1 September 2018 </w:t>
            </w:r>
          </w:p>
        </w:tc>
      </w:tr>
      <w:tr w:rsidR="00087370">
        <w:trPr>
          <w:trHeight w:val="584"/>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Expiry date: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31 August 2020 </w:t>
            </w:r>
          </w:p>
        </w:tc>
      </w:tr>
      <w:tr w:rsidR="00087370">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Call-Off Contract value: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£967,500  </w:t>
            </w:r>
          </w:p>
        </w:tc>
      </w:tr>
      <w:tr w:rsidR="00087370">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Charging method: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BACS  </w:t>
            </w:r>
          </w:p>
        </w:tc>
      </w:tr>
      <w:tr w:rsidR="00087370">
        <w:trPr>
          <w:trHeight w:val="583"/>
        </w:trPr>
        <w:tc>
          <w:tcPr>
            <w:tcW w:w="5317"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Purchase order number: </w:t>
            </w:r>
          </w:p>
        </w:tc>
        <w:tc>
          <w:tcPr>
            <w:tcW w:w="531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0" w:firstLine="0"/>
            </w:pPr>
            <w:r>
              <w:t xml:space="preserve">To be advised by the Buyer  </w:t>
            </w:r>
          </w:p>
        </w:tc>
      </w:tr>
    </w:tbl>
    <w:p w:rsidR="00087370" w:rsidRDefault="003B7960">
      <w:pPr>
        <w:spacing w:after="220" w:line="259" w:lineRule="auto"/>
        <w:ind w:left="16" w:firstLine="0"/>
      </w:pPr>
      <w:r>
        <w:t xml:space="preserve"> </w:t>
      </w:r>
    </w:p>
    <w:p w:rsidR="00087370" w:rsidRDefault="003B7960">
      <w:pPr>
        <w:spacing w:after="212"/>
        <w:ind w:left="11" w:right="5"/>
      </w:pPr>
      <w:r>
        <w:t xml:space="preserve">This Order Form is issued under the G-Cloud 10 Framework Agreement (RM1557.10).  </w:t>
      </w:r>
    </w:p>
    <w:p w:rsidR="00087370" w:rsidRDefault="003B7960">
      <w:pPr>
        <w:spacing w:after="213"/>
        <w:ind w:left="11" w:right="5"/>
      </w:pPr>
      <w:r>
        <w:t xml:space="preserve">Buyers can use this order form to specify their G-Cloud service requirements when placing an Order. </w:t>
      </w:r>
    </w:p>
    <w:p w:rsidR="00087370" w:rsidRDefault="003B7960">
      <w:pPr>
        <w:spacing w:after="208"/>
        <w:ind w:left="11" w:right="5"/>
      </w:pPr>
      <w:r>
        <w:t xml:space="preserve">The Order Form cannot be used to alter existing terms or add any extra terms that materially change the Deliverables offered by the Supplier and defined in the Application. </w:t>
      </w:r>
    </w:p>
    <w:p w:rsidR="00087370" w:rsidRDefault="003B7960">
      <w:pPr>
        <w:spacing w:after="0"/>
        <w:ind w:left="11" w:right="5"/>
      </w:pPr>
      <w:r>
        <w:t xml:space="preserve">There are terms in the Call-Off Contract that may be defined in the Order Form. These are identified in the contract with square brackets. </w:t>
      </w:r>
    </w:p>
    <w:tbl>
      <w:tblPr>
        <w:tblStyle w:val="TableGrid"/>
        <w:tblW w:w="10654" w:type="dxa"/>
        <w:tblInd w:w="21" w:type="dxa"/>
        <w:tblCellMar>
          <w:top w:w="176" w:type="dxa"/>
          <w:left w:w="101" w:type="dxa"/>
          <w:right w:w="115" w:type="dxa"/>
        </w:tblCellMar>
        <w:tblLook w:val="04A0" w:firstRow="1" w:lastRow="0" w:firstColumn="1" w:lastColumn="0" w:noHBand="0" w:noVBand="1"/>
      </w:tblPr>
      <w:tblGrid>
        <w:gridCol w:w="2148"/>
        <w:gridCol w:w="8506"/>
      </w:tblGrid>
      <w:tr w:rsidR="00087370">
        <w:trPr>
          <w:trHeight w:val="2403"/>
        </w:trPr>
        <w:tc>
          <w:tcPr>
            <w:tcW w:w="2148"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From: </w:t>
            </w:r>
            <w:proofErr w:type="gramStart"/>
            <w:r>
              <w:t>the</w:t>
            </w:r>
            <w:proofErr w:type="gramEnd"/>
            <w:r>
              <w:t xml:space="preserve"> Buyer </w:t>
            </w:r>
          </w:p>
        </w:tc>
        <w:tc>
          <w:tcPr>
            <w:tcW w:w="850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2" w:line="273" w:lineRule="auto"/>
              <w:ind w:left="0" w:right="3666" w:firstLine="0"/>
            </w:pPr>
            <w:r>
              <w:t xml:space="preserve">Highways England Company </w:t>
            </w:r>
            <w:proofErr w:type="gramStart"/>
            <w:r>
              <w:t>Limited  Buyer’s</w:t>
            </w:r>
            <w:proofErr w:type="gramEnd"/>
            <w:r>
              <w:t xml:space="preserve"> main address: </w:t>
            </w:r>
          </w:p>
          <w:p w:rsidR="00087370" w:rsidRDefault="003B7960">
            <w:pPr>
              <w:spacing w:after="19" w:line="259" w:lineRule="auto"/>
              <w:ind w:left="0" w:firstLine="0"/>
            </w:pPr>
            <w:r>
              <w:t xml:space="preserve">Bridge House </w:t>
            </w:r>
          </w:p>
          <w:p w:rsidR="00087370" w:rsidRDefault="003B7960">
            <w:pPr>
              <w:spacing w:after="21" w:line="259" w:lineRule="auto"/>
              <w:ind w:left="0" w:firstLine="0"/>
            </w:pPr>
            <w:r>
              <w:t xml:space="preserve">1 Walnut Tree Close </w:t>
            </w:r>
          </w:p>
          <w:p w:rsidR="00087370" w:rsidRDefault="003B7960">
            <w:pPr>
              <w:spacing w:after="19" w:line="259" w:lineRule="auto"/>
              <w:ind w:left="0" w:firstLine="0"/>
            </w:pPr>
            <w:r>
              <w:t xml:space="preserve">Guildford  </w:t>
            </w:r>
          </w:p>
          <w:p w:rsidR="00087370" w:rsidRDefault="003B7960">
            <w:pPr>
              <w:spacing w:after="0" w:line="259" w:lineRule="auto"/>
              <w:ind w:left="0" w:firstLine="0"/>
            </w:pPr>
            <w:r>
              <w:t xml:space="preserve">GU1 4LZ </w:t>
            </w:r>
          </w:p>
        </w:tc>
      </w:tr>
      <w:tr w:rsidR="00087370">
        <w:trPr>
          <w:trHeight w:val="3492"/>
        </w:trPr>
        <w:tc>
          <w:tcPr>
            <w:tcW w:w="2148" w:type="dxa"/>
            <w:tcBorders>
              <w:top w:val="single" w:sz="8" w:space="0" w:color="000000"/>
              <w:left w:val="single" w:sz="8" w:space="0" w:color="000000"/>
              <w:bottom w:val="single" w:sz="8" w:space="0" w:color="000000"/>
              <w:right w:val="single" w:sz="8" w:space="0" w:color="000000"/>
            </w:tcBorders>
          </w:tcPr>
          <w:p w:rsidR="00087370" w:rsidRDefault="003B7960">
            <w:pPr>
              <w:spacing w:after="21" w:line="259" w:lineRule="auto"/>
              <w:ind w:left="0" w:firstLine="0"/>
            </w:pPr>
            <w:r>
              <w:lastRenderedPageBreak/>
              <w:t xml:space="preserve">To: </w:t>
            </w:r>
            <w:proofErr w:type="gramStart"/>
            <w:r>
              <w:t>the</w:t>
            </w:r>
            <w:proofErr w:type="gramEnd"/>
            <w:r>
              <w:t xml:space="preserve"> Supplier </w:t>
            </w:r>
          </w:p>
          <w:p w:rsidR="00087370" w:rsidRDefault="003B7960">
            <w:pPr>
              <w:spacing w:after="19" w:line="259" w:lineRule="auto"/>
              <w:ind w:left="0" w:firstLine="0"/>
            </w:pPr>
            <w:r>
              <w:t xml:space="preserve"> </w:t>
            </w:r>
          </w:p>
          <w:p w:rsidR="00087370" w:rsidRDefault="003B7960">
            <w:pPr>
              <w:spacing w:after="19" w:line="259" w:lineRule="auto"/>
              <w:ind w:left="0" w:firstLine="0"/>
            </w:pPr>
            <w:r>
              <w:t xml:space="preserve"> </w:t>
            </w:r>
          </w:p>
          <w:p w:rsidR="00087370" w:rsidRDefault="003B7960">
            <w:pPr>
              <w:spacing w:after="0" w:line="259" w:lineRule="auto"/>
              <w:ind w:left="0" w:firstLine="0"/>
            </w:pPr>
            <w:r>
              <w:t xml:space="preserve"> </w:t>
            </w:r>
          </w:p>
        </w:tc>
        <w:tc>
          <w:tcPr>
            <w:tcW w:w="8505"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21" w:line="259" w:lineRule="auto"/>
              <w:ind w:left="0" w:firstLine="0"/>
            </w:pPr>
            <w:proofErr w:type="spellStart"/>
            <w:r>
              <w:t>SystemsUp</w:t>
            </w:r>
            <w:proofErr w:type="spellEnd"/>
            <w:r>
              <w:t xml:space="preserve"> Limited </w:t>
            </w:r>
          </w:p>
          <w:p w:rsidR="00087370" w:rsidRDefault="003B7960">
            <w:pPr>
              <w:spacing w:after="19" w:line="259" w:lineRule="auto"/>
              <w:ind w:left="0" w:firstLine="0"/>
            </w:pPr>
            <w:r>
              <w:t xml:space="preserve">0207 448 4600 </w:t>
            </w:r>
          </w:p>
          <w:p w:rsidR="00087370" w:rsidRDefault="003B7960">
            <w:pPr>
              <w:spacing w:after="19" w:line="259" w:lineRule="auto"/>
              <w:ind w:left="0" w:firstLine="0"/>
            </w:pPr>
            <w:r>
              <w:t xml:space="preserve">Supplier’s address: </w:t>
            </w:r>
          </w:p>
          <w:p w:rsidR="00087370" w:rsidRDefault="003B7960">
            <w:pPr>
              <w:spacing w:after="21" w:line="259" w:lineRule="auto"/>
              <w:ind w:left="0" w:firstLine="0"/>
            </w:pPr>
            <w:r>
              <w:t xml:space="preserve">11-21 Paul Street </w:t>
            </w:r>
          </w:p>
          <w:p w:rsidR="00087370" w:rsidRDefault="003B7960">
            <w:pPr>
              <w:spacing w:after="19" w:line="259" w:lineRule="auto"/>
              <w:ind w:left="0" w:firstLine="0"/>
            </w:pPr>
            <w:r>
              <w:t xml:space="preserve">London </w:t>
            </w:r>
          </w:p>
          <w:p w:rsidR="00087370" w:rsidRDefault="003B7960">
            <w:pPr>
              <w:spacing w:after="21" w:line="259" w:lineRule="auto"/>
              <w:ind w:left="0" w:firstLine="0"/>
            </w:pPr>
            <w:r>
              <w:t xml:space="preserve">EC2A 4JU </w:t>
            </w:r>
          </w:p>
          <w:p w:rsidR="00087370" w:rsidRDefault="003B7960">
            <w:pPr>
              <w:spacing w:after="19" w:line="259" w:lineRule="auto"/>
              <w:ind w:left="0" w:firstLine="0"/>
            </w:pPr>
            <w:r>
              <w:t xml:space="preserve">UK </w:t>
            </w:r>
          </w:p>
          <w:p w:rsidR="00087370" w:rsidRDefault="003B7960">
            <w:pPr>
              <w:spacing w:after="21" w:line="259" w:lineRule="auto"/>
              <w:ind w:left="0" w:firstLine="0"/>
            </w:pPr>
            <w:r>
              <w:t xml:space="preserve">Company number:  </w:t>
            </w:r>
          </w:p>
          <w:p w:rsidR="00087370" w:rsidRDefault="003B7960">
            <w:pPr>
              <w:spacing w:after="0" w:line="259" w:lineRule="auto"/>
              <w:ind w:left="0" w:firstLine="0"/>
            </w:pPr>
            <w:r>
              <w:t xml:space="preserve">05212115 </w:t>
            </w:r>
          </w:p>
        </w:tc>
      </w:tr>
      <w:tr w:rsidR="00087370">
        <w:trPr>
          <w:trHeight w:val="785"/>
        </w:trPr>
        <w:tc>
          <w:tcPr>
            <w:tcW w:w="10654" w:type="dxa"/>
            <w:gridSpan w:val="2"/>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Together: the ‘Parties’ </w:t>
            </w:r>
          </w:p>
        </w:tc>
      </w:tr>
    </w:tbl>
    <w:p w:rsidR="00087370" w:rsidRDefault="003B7960">
      <w:pPr>
        <w:spacing w:after="218" w:line="259" w:lineRule="auto"/>
        <w:ind w:left="16" w:firstLine="0"/>
      </w:pPr>
      <w:r>
        <w:t xml:space="preserve"> </w:t>
      </w:r>
    </w:p>
    <w:p w:rsidR="00087370" w:rsidRDefault="003B7960">
      <w:pPr>
        <w:spacing w:after="0"/>
        <w:ind w:left="11" w:right="5"/>
      </w:pPr>
      <w:r>
        <w:t xml:space="preserve">Principle contact details  </w:t>
      </w:r>
    </w:p>
    <w:tbl>
      <w:tblPr>
        <w:tblStyle w:val="TableGrid"/>
        <w:tblW w:w="10594" w:type="dxa"/>
        <w:tblInd w:w="26" w:type="dxa"/>
        <w:tblCellMar>
          <w:top w:w="176" w:type="dxa"/>
          <w:left w:w="101" w:type="dxa"/>
          <w:right w:w="115" w:type="dxa"/>
        </w:tblCellMar>
        <w:tblLook w:val="04A0" w:firstRow="1" w:lastRow="0" w:firstColumn="1" w:lastColumn="0" w:noHBand="0" w:noVBand="1"/>
      </w:tblPr>
      <w:tblGrid>
        <w:gridCol w:w="2146"/>
        <w:gridCol w:w="8448"/>
      </w:tblGrid>
      <w:tr w:rsidR="00087370">
        <w:trPr>
          <w:trHeight w:val="1673"/>
        </w:trPr>
        <w:tc>
          <w:tcPr>
            <w:tcW w:w="2146" w:type="dxa"/>
            <w:tcBorders>
              <w:top w:val="single" w:sz="8" w:space="0" w:color="000000"/>
              <w:left w:val="single" w:sz="8" w:space="0" w:color="000000"/>
              <w:bottom w:val="single" w:sz="8" w:space="0" w:color="000000"/>
              <w:right w:val="single" w:sz="8" w:space="0" w:color="000000"/>
            </w:tcBorders>
          </w:tcPr>
          <w:p w:rsidR="00087370" w:rsidRDefault="003B7960">
            <w:pPr>
              <w:spacing w:after="21" w:line="259" w:lineRule="auto"/>
              <w:ind w:left="0" w:firstLine="0"/>
            </w:pPr>
            <w:r>
              <w:t xml:space="preserve">For the Buyer: </w:t>
            </w:r>
          </w:p>
          <w:p w:rsidR="00087370" w:rsidRDefault="003B7960">
            <w:pPr>
              <w:spacing w:after="19" w:line="259" w:lineRule="auto"/>
              <w:ind w:left="0" w:firstLine="0"/>
            </w:pPr>
            <w:r>
              <w:t xml:space="preserve"> </w:t>
            </w:r>
          </w:p>
          <w:p w:rsidR="00087370" w:rsidRDefault="003B7960">
            <w:pPr>
              <w:spacing w:after="0" w:line="259" w:lineRule="auto"/>
              <w:ind w:left="0" w:firstLine="0"/>
            </w:pPr>
            <w:r>
              <w:t xml:space="preserve"> </w:t>
            </w:r>
          </w:p>
        </w:tc>
        <w:tc>
          <w:tcPr>
            <w:tcW w:w="8448" w:type="dxa"/>
            <w:tcBorders>
              <w:top w:val="single" w:sz="8" w:space="0" w:color="000000"/>
              <w:left w:val="single" w:sz="8" w:space="0" w:color="000000"/>
              <w:bottom w:val="single" w:sz="8" w:space="0" w:color="000000"/>
              <w:right w:val="single" w:sz="8" w:space="0" w:color="000000"/>
            </w:tcBorders>
            <w:vAlign w:val="center"/>
          </w:tcPr>
          <w:p w:rsidR="00087370" w:rsidRPr="00AA5A6F" w:rsidRDefault="003B7960">
            <w:pPr>
              <w:spacing w:after="21" w:line="259" w:lineRule="auto"/>
              <w:ind w:left="0" w:firstLine="0"/>
              <w:rPr>
                <w:i/>
              </w:rPr>
            </w:pPr>
            <w:r w:rsidRPr="00AA5A6F">
              <w:t xml:space="preserve">Title:  </w:t>
            </w:r>
            <w:r w:rsidR="00AA5A6F">
              <w:rPr>
                <w:i/>
              </w:rPr>
              <w:t>Redacted</w:t>
            </w:r>
          </w:p>
          <w:p w:rsidR="00087370" w:rsidRPr="00AA5A6F" w:rsidRDefault="003B7960">
            <w:pPr>
              <w:spacing w:after="19" w:line="259" w:lineRule="auto"/>
              <w:ind w:left="0" w:firstLine="0"/>
            </w:pPr>
            <w:r w:rsidRPr="00AA5A6F">
              <w:t xml:space="preserve">Name: </w:t>
            </w:r>
            <w:r w:rsidR="00AA5A6F">
              <w:rPr>
                <w:i/>
              </w:rPr>
              <w:t>Redacted</w:t>
            </w:r>
          </w:p>
          <w:p w:rsidR="00087370" w:rsidRPr="00AA5A6F" w:rsidRDefault="003B7960">
            <w:pPr>
              <w:spacing w:after="19" w:line="259" w:lineRule="auto"/>
              <w:ind w:left="0" w:firstLine="0"/>
            </w:pPr>
            <w:r w:rsidRPr="00AA5A6F">
              <w:t xml:space="preserve">Email: </w:t>
            </w:r>
            <w:r w:rsidR="00AA5A6F">
              <w:rPr>
                <w:i/>
              </w:rPr>
              <w:t>Redacted</w:t>
            </w:r>
          </w:p>
          <w:p w:rsidR="00087370" w:rsidRPr="00AA5A6F" w:rsidRDefault="003B7960">
            <w:pPr>
              <w:spacing w:after="0" w:line="259" w:lineRule="auto"/>
              <w:ind w:left="0" w:firstLine="0"/>
            </w:pPr>
            <w:r w:rsidRPr="00AA5A6F">
              <w:t xml:space="preserve">Phone: </w:t>
            </w:r>
            <w:r w:rsidR="00AA5A6F">
              <w:rPr>
                <w:i/>
              </w:rPr>
              <w:t>Redacted</w:t>
            </w:r>
          </w:p>
        </w:tc>
      </w:tr>
      <w:tr w:rsidR="00087370">
        <w:trPr>
          <w:trHeight w:val="1676"/>
        </w:trPr>
        <w:tc>
          <w:tcPr>
            <w:tcW w:w="2146"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For the Supplier: </w:t>
            </w:r>
          </w:p>
        </w:tc>
        <w:tc>
          <w:tcPr>
            <w:tcW w:w="8448" w:type="dxa"/>
            <w:tcBorders>
              <w:top w:val="single" w:sz="8" w:space="0" w:color="000000"/>
              <w:left w:val="single" w:sz="8" w:space="0" w:color="000000"/>
              <w:bottom w:val="single" w:sz="8" w:space="0" w:color="000000"/>
              <w:right w:val="single" w:sz="8" w:space="0" w:color="000000"/>
            </w:tcBorders>
            <w:vAlign w:val="center"/>
          </w:tcPr>
          <w:p w:rsidR="00087370" w:rsidRPr="00AA5A6F" w:rsidRDefault="003B7960">
            <w:pPr>
              <w:spacing w:after="22" w:line="259" w:lineRule="auto"/>
              <w:ind w:left="0" w:firstLine="0"/>
            </w:pPr>
            <w:r w:rsidRPr="00AA5A6F">
              <w:t xml:space="preserve">Title: </w:t>
            </w:r>
            <w:r w:rsidR="00AA5A6F">
              <w:rPr>
                <w:i/>
              </w:rPr>
              <w:t>Redacted</w:t>
            </w:r>
          </w:p>
          <w:p w:rsidR="00087370" w:rsidRPr="00AA5A6F" w:rsidRDefault="003B7960">
            <w:pPr>
              <w:spacing w:after="19" w:line="259" w:lineRule="auto"/>
              <w:ind w:left="0" w:firstLine="0"/>
            </w:pPr>
            <w:r w:rsidRPr="00AA5A6F">
              <w:t xml:space="preserve">Name: </w:t>
            </w:r>
            <w:r w:rsidR="00AA5A6F">
              <w:rPr>
                <w:i/>
              </w:rPr>
              <w:t>Redacted</w:t>
            </w:r>
          </w:p>
          <w:p w:rsidR="00087370" w:rsidRPr="00AA5A6F" w:rsidRDefault="003B7960">
            <w:pPr>
              <w:spacing w:after="21" w:line="259" w:lineRule="auto"/>
              <w:ind w:left="0" w:firstLine="0"/>
            </w:pPr>
            <w:r w:rsidRPr="00AA5A6F">
              <w:t xml:space="preserve">Email: </w:t>
            </w:r>
            <w:r w:rsidR="00AA5A6F">
              <w:rPr>
                <w:i/>
              </w:rPr>
              <w:t>Redacted</w:t>
            </w:r>
          </w:p>
          <w:p w:rsidR="00087370" w:rsidRPr="00AA5A6F" w:rsidRDefault="003B7960">
            <w:pPr>
              <w:spacing w:after="0" w:line="259" w:lineRule="auto"/>
              <w:ind w:left="0" w:firstLine="0"/>
            </w:pPr>
            <w:r w:rsidRPr="00AA5A6F">
              <w:t xml:space="preserve">Phone: </w:t>
            </w:r>
            <w:r w:rsidR="00AA5A6F">
              <w:rPr>
                <w:i/>
              </w:rPr>
              <w:t>Redacted</w:t>
            </w:r>
          </w:p>
        </w:tc>
      </w:tr>
    </w:tbl>
    <w:p w:rsidR="00087370" w:rsidRDefault="003B7960">
      <w:pPr>
        <w:spacing w:after="220" w:line="259" w:lineRule="auto"/>
        <w:ind w:left="16" w:firstLine="0"/>
      </w:pPr>
      <w:r>
        <w:t xml:space="preserve"> </w:t>
      </w:r>
    </w:p>
    <w:p w:rsidR="00087370" w:rsidRDefault="003B7960">
      <w:pPr>
        <w:spacing w:after="0"/>
        <w:ind w:left="11" w:right="5"/>
      </w:pPr>
      <w:r>
        <w:t xml:space="preserve">Call-Off Contract term </w:t>
      </w:r>
    </w:p>
    <w:tbl>
      <w:tblPr>
        <w:tblStyle w:val="TableGrid"/>
        <w:tblW w:w="10632" w:type="dxa"/>
        <w:tblInd w:w="26" w:type="dxa"/>
        <w:tblCellMar>
          <w:top w:w="75" w:type="dxa"/>
          <w:left w:w="108" w:type="dxa"/>
          <w:right w:w="115" w:type="dxa"/>
        </w:tblCellMar>
        <w:tblLook w:val="04A0" w:firstRow="1" w:lastRow="0" w:firstColumn="1" w:lastColumn="0" w:noHBand="0" w:noVBand="1"/>
      </w:tblPr>
      <w:tblGrid>
        <w:gridCol w:w="2657"/>
        <w:gridCol w:w="7975"/>
      </w:tblGrid>
      <w:tr w:rsidR="00087370">
        <w:trPr>
          <w:trHeight w:val="74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21" w:line="259" w:lineRule="auto"/>
              <w:ind w:left="0" w:firstLine="0"/>
            </w:pPr>
            <w:r>
              <w:t xml:space="preserve">Start date: </w:t>
            </w:r>
          </w:p>
          <w:p w:rsidR="00087370" w:rsidRDefault="003B7960">
            <w:pPr>
              <w:spacing w:after="0" w:line="259" w:lineRule="auto"/>
              <w:ind w:left="0" w:firstLine="0"/>
            </w:pPr>
            <w:r>
              <w:t xml:space="preserve">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This Call-Off Contract Starts on 1 September 2018 and is valid for 24 months.   </w:t>
            </w:r>
          </w:p>
        </w:tc>
      </w:tr>
      <w:tr w:rsidR="00087370">
        <w:trPr>
          <w:trHeight w:val="1112"/>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22" w:line="259" w:lineRule="auto"/>
              <w:ind w:left="0" w:firstLine="0"/>
            </w:pPr>
            <w:r>
              <w:t xml:space="preserve">Ending </w:t>
            </w:r>
          </w:p>
          <w:p w:rsidR="00087370" w:rsidRDefault="003B7960">
            <w:pPr>
              <w:spacing w:after="0" w:line="259" w:lineRule="auto"/>
              <w:ind w:left="0" w:firstLine="0"/>
            </w:pPr>
            <w:r>
              <w:t xml:space="preserve">(termination):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notice period needed for Ending the Call-Off Contract is at least 90 Working Days from the date of written notice for disputed sums or at least 30 days from the date of written notice for Ending without cause.  </w:t>
            </w:r>
          </w:p>
        </w:tc>
      </w:tr>
      <w:tr w:rsidR="00087370">
        <w:trPr>
          <w:trHeight w:val="1838"/>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lastRenderedPageBreak/>
              <w:t xml:space="preserve">Extension period: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74" w:lineRule="auto"/>
              <w:ind w:left="0" w:firstLine="0"/>
            </w:pPr>
            <w:r>
              <w:t xml:space="preserve">This Call-Off Contract can be extended by the Buyer for 2 period(s) of 12 months each, by giving the Supplier 1 </w:t>
            </w:r>
            <w:proofErr w:type="gramStart"/>
            <w:r>
              <w:t>months</w:t>
            </w:r>
            <w:proofErr w:type="gramEnd"/>
            <w:r>
              <w:t xml:space="preserve"> written notice before its expiry. </w:t>
            </w:r>
          </w:p>
          <w:p w:rsidR="00087370" w:rsidRDefault="003B7960">
            <w:pPr>
              <w:spacing w:after="0" w:line="259" w:lineRule="auto"/>
              <w:ind w:left="0" w:firstLine="0"/>
            </w:pPr>
            <w:r>
              <w:t xml:space="preserve">Extensions which extend the Term beyond 24 months are only permitted if the Supplier complies with the additional exit plan requirements at clauses </w:t>
            </w:r>
          </w:p>
        </w:tc>
      </w:tr>
      <w:tr w:rsidR="00087370">
        <w:trPr>
          <w:trHeight w:val="384"/>
        </w:trPr>
        <w:tc>
          <w:tcPr>
            <w:tcW w:w="2657" w:type="dxa"/>
            <w:tcBorders>
              <w:top w:val="single" w:sz="8" w:space="0" w:color="000000"/>
              <w:left w:val="single" w:sz="8" w:space="0" w:color="000000"/>
              <w:bottom w:val="single" w:sz="8" w:space="0" w:color="000000"/>
              <w:right w:val="single" w:sz="8" w:space="0" w:color="000000"/>
            </w:tcBorders>
          </w:tcPr>
          <w:p w:rsidR="00087370" w:rsidRDefault="00087370">
            <w:pPr>
              <w:spacing w:after="160" w:line="259" w:lineRule="auto"/>
              <w:ind w:left="0" w:firstLine="0"/>
            </w:pP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21.3 to 21.8. </w:t>
            </w:r>
          </w:p>
        </w:tc>
      </w:tr>
    </w:tbl>
    <w:p w:rsidR="00087370" w:rsidRDefault="003B7960">
      <w:pPr>
        <w:spacing w:after="221" w:line="259" w:lineRule="auto"/>
        <w:ind w:left="16" w:firstLine="0"/>
      </w:pPr>
      <w:r>
        <w:t xml:space="preserve"> </w:t>
      </w:r>
    </w:p>
    <w:p w:rsidR="00087370" w:rsidRDefault="003B7960">
      <w:pPr>
        <w:spacing w:after="212"/>
        <w:ind w:left="11" w:right="5"/>
      </w:pPr>
      <w:r>
        <w:t xml:space="preserve">Buyer contractual details </w:t>
      </w:r>
    </w:p>
    <w:p w:rsidR="00087370" w:rsidRDefault="003B7960">
      <w:pPr>
        <w:spacing w:after="0"/>
        <w:ind w:left="11" w:right="5"/>
      </w:pPr>
      <w:r>
        <w:t xml:space="preserve">This Order is for the G-Cloud Services outlined below. It is acknowledged by the Parties that the volume of the G-Cloud Services used by the Buyer may vary during this Call-Off Contract. </w:t>
      </w:r>
    </w:p>
    <w:tbl>
      <w:tblPr>
        <w:tblStyle w:val="TableGrid"/>
        <w:tblW w:w="10632" w:type="dxa"/>
        <w:tblInd w:w="26" w:type="dxa"/>
        <w:tblCellMar>
          <w:top w:w="75" w:type="dxa"/>
          <w:left w:w="108" w:type="dxa"/>
          <w:right w:w="67" w:type="dxa"/>
        </w:tblCellMar>
        <w:tblLook w:val="04A0" w:firstRow="1" w:lastRow="0" w:firstColumn="1" w:lastColumn="0" w:noHBand="0" w:noVBand="1"/>
      </w:tblPr>
      <w:tblGrid>
        <w:gridCol w:w="2657"/>
        <w:gridCol w:w="7975"/>
      </w:tblGrid>
      <w:tr w:rsidR="00087370">
        <w:trPr>
          <w:trHeight w:val="74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G-Cloud lot: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21" w:line="259" w:lineRule="auto"/>
              <w:ind w:left="0" w:firstLine="0"/>
            </w:pPr>
            <w:r>
              <w:t xml:space="preserve">This Call-Off Contract is for the provision of Services under:  </w:t>
            </w:r>
          </w:p>
          <w:p w:rsidR="00087370" w:rsidRDefault="003B7960">
            <w:pPr>
              <w:spacing w:after="0" w:line="259" w:lineRule="auto"/>
              <w:ind w:left="0" w:firstLine="0"/>
            </w:pPr>
            <w:r>
              <w:t xml:space="preserve">Lot 3 - Cloud support - delete as appropriate </w:t>
            </w:r>
          </w:p>
        </w:tc>
      </w:tr>
      <w:tr w:rsidR="00087370">
        <w:trPr>
          <w:trHeight w:val="365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G-Cloud services required: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3" w:line="273" w:lineRule="auto"/>
              <w:ind w:left="0" w:firstLine="0"/>
            </w:pPr>
            <w:r>
              <w:t xml:space="preserve">The Services to be provided by the Supplier under the above Lot are listed in Framework Section 2 and outlined below and detailed in Annex A the Deliverables.  </w:t>
            </w:r>
          </w:p>
          <w:p w:rsidR="00087370" w:rsidRDefault="003B7960">
            <w:pPr>
              <w:spacing w:after="58" w:line="259" w:lineRule="auto"/>
              <w:ind w:left="0" w:firstLine="0"/>
            </w:pPr>
            <w:r>
              <w:t xml:space="preserve"> </w:t>
            </w:r>
          </w:p>
          <w:p w:rsidR="00087370" w:rsidRDefault="003B7960">
            <w:pPr>
              <w:numPr>
                <w:ilvl w:val="0"/>
                <w:numId w:val="11"/>
              </w:numPr>
              <w:spacing w:after="63" w:line="259" w:lineRule="auto"/>
              <w:ind w:hanging="360"/>
            </w:pPr>
            <w:r>
              <w:t xml:space="preserve">Planning </w:t>
            </w:r>
          </w:p>
          <w:p w:rsidR="00087370" w:rsidRDefault="003B7960">
            <w:pPr>
              <w:numPr>
                <w:ilvl w:val="0"/>
                <w:numId w:val="11"/>
              </w:numPr>
              <w:spacing w:after="59" w:line="259" w:lineRule="auto"/>
              <w:ind w:hanging="360"/>
            </w:pPr>
            <w:r>
              <w:t xml:space="preserve">Setup and migration </w:t>
            </w:r>
          </w:p>
          <w:p w:rsidR="00087370" w:rsidRDefault="003B7960">
            <w:pPr>
              <w:numPr>
                <w:ilvl w:val="0"/>
                <w:numId w:val="11"/>
              </w:numPr>
              <w:spacing w:after="60" w:line="259" w:lineRule="auto"/>
              <w:ind w:hanging="360"/>
            </w:pPr>
            <w:r>
              <w:t xml:space="preserve">Quality assurance and performance testing </w:t>
            </w:r>
          </w:p>
          <w:p w:rsidR="00087370" w:rsidRDefault="003B7960">
            <w:pPr>
              <w:numPr>
                <w:ilvl w:val="0"/>
                <w:numId w:val="11"/>
              </w:numPr>
              <w:spacing w:after="59" w:line="259" w:lineRule="auto"/>
              <w:ind w:hanging="360"/>
            </w:pPr>
            <w:r>
              <w:t xml:space="preserve">Ongoing support </w:t>
            </w:r>
          </w:p>
          <w:p w:rsidR="00087370" w:rsidRDefault="003B7960">
            <w:pPr>
              <w:numPr>
                <w:ilvl w:val="0"/>
                <w:numId w:val="11"/>
              </w:numPr>
              <w:spacing w:after="20" w:line="259" w:lineRule="auto"/>
              <w:ind w:hanging="360"/>
            </w:pPr>
            <w:r>
              <w:t xml:space="preserve">User support </w:t>
            </w:r>
          </w:p>
          <w:p w:rsidR="00087370" w:rsidRDefault="003B7960">
            <w:pPr>
              <w:spacing w:after="0" w:line="259" w:lineRule="auto"/>
              <w:ind w:left="0" w:firstLine="0"/>
            </w:pPr>
            <w:r>
              <w:t xml:space="preserve"> </w:t>
            </w:r>
          </w:p>
        </w:tc>
      </w:tr>
      <w:tr w:rsidR="00087370">
        <w:trPr>
          <w:trHeight w:val="1112"/>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Additional services: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Additional services may be required from time to time. These will be agreed in writing with a variation and will be in accordance with the suppliers offering on Digital Marketplace.  </w:t>
            </w:r>
          </w:p>
        </w:tc>
      </w:tr>
      <w:tr w:rsidR="00087370">
        <w:trPr>
          <w:trHeight w:val="33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Location: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Services will be delivered to the Buyer at its key locations.  </w:t>
            </w:r>
          </w:p>
        </w:tc>
      </w:tr>
      <w:tr w:rsidR="00087370">
        <w:trPr>
          <w:trHeight w:val="650"/>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Quality standards: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quality standards required for this Call-Off Contract will be agreed for each instruction.  </w:t>
            </w:r>
          </w:p>
        </w:tc>
      </w:tr>
      <w:tr w:rsidR="00087370">
        <w:trPr>
          <w:trHeight w:val="1284"/>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Technical standards: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39" w:lineRule="auto"/>
              <w:ind w:left="0" w:firstLine="0"/>
            </w:pPr>
            <w:r>
              <w:t xml:space="preserve">The technical standards required for this Call-Off Contract are a partner who holds the relevant vendor accreditations, skills and experience to support and deliver the required professional and managed services. </w:t>
            </w:r>
          </w:p>
          <w:p w:rsidR="00087370" w:rsidRDefault="003B7960">
            <w:pPr>
              <w:spacing w:after="0" w:line="259" w:lineRule="auto"/>
              <w:ind w:left="0" w:firstLine="0"/>
            </w:pPr>
            <w:r>
              <w:t xml:space="preserve"> </w:t>
            </w:r>
          </w:p>
        </w:tc>
      </w:tr>
      <w:tr w:rsidR="00087370">
        <w:trPr>
          <w:trHeight w:val="970"/>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lastRenderedPageBreak/>
              <w:t xml:space="preserve">Service level agreement: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service level and availability criteria required for this Call-Off Contract are detailed in Annex A, Deliverables. This document will be updated and agreed by both parties.  </w:t>
            </w:r>
          </w:p>
        </w:tc>
      </w:tr>
      <w:tr w:rsidR="00087370">
        <w:trPr>
          <w:trHeight w:val="384"/>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Onboarding: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Not applicable.   </w:t>
            </w:r>
          </w:p>
        </w:tc>
      </w:tr>
      <w:tr w:rsidR="00087370">
        <w:trPr>
          <w:trHeight w:val="74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Offboarding: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An offboarding plan will be agreed between both parties prior to expiry of the contract.   </w:t>
            </w:r>
          </w:p>
        </w:tc>
      </w:tr>
      <w:tr w:rsidR="00087370">
        <w:trPr>
          <w:trHeight w:val="74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Collaboration agreement: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Not applicable.  </w:t>
            </w:r>
          </w:p>
        </w:tc>
      </w:tr>
      <w:tr w:rsidR="00087370">
        <w:trPr>
          <w:trHeight w:val="384"/>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Limit on Parties’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annual total liability of either Party for all Property defaults will not </w:t>
            </w:r>
          </w:p>
        </w:tc>
      </w:tr>
      <w:tr w:rsidR="00087370">
        <w:trPr>
          <w:trHeight w:val="2928"/>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liability: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21" w:line="259" w:lineRule="auto"/>
              <w:ind w:left="0" w:firstLine="0"/>
            </w:pPr>
            <w:r>
              <w:t xml:space="preserve">exceed £5,000,000  </w:t>
            </w:r>
          </w:p>
          <w:p w:rsidR="00087370" w:rsidRDefault="003B7960">
            <w:pPr>
              <w:spacing w:after="0" w:line="275" w:lineRule="auto"/>
              <w:ind w:left="0" w:firstLine="0"/>
            </w:pPr>
            <w:r>
              <w:t xml:space="preserve">The annual total liability for Buyer Data defaults will not exceed 125% of the Charges payable by the Buyer to the Supplier during the Call-Off Contract Term (whichever is the greater). </w:t>
            </w:r>
          </w:p>
          <w:p w:rsidR="00087370" w:rsidRDefault="003B7960">
            <w:pPr>
              <w:spacing w:after="1" w:line="274" w:lineRule="auto"/>
              <w:ind w:left="0" w:firstLine="0"/>
            </w:pPr>
            <w:r>
              <w:t>The annual total liability for all other defaults will not exceed the greater of 125</w:t>
            </w:r>
            <w:proofErr w:type="gramStart"/>
            <w:r>
              <w:t>%  of</w:t>
            </w:r>
            <w:proofErr w:type="gramEnd"/>
            <w:r>
              <w:t xml:space="preserve"> the Charges payable by the Buyer to the Supplier during the </w:t>
            </w:r>
            <w:proofErr w:type="spellStart"/>
            <w:r>
              <w:t>CallOff</w:t>
            </w:r>
            <w:proofErr w:type="spellEnd"/>
            <w:r>
              <w:t xml:space="preserve"> Contract Term (whichever is the greater). </w:t>
            </w:r>
          </w:p>
          <w:p w:rsidR="00087370" w:rsidRDefault="003B7960">
            <w:pPr>
              <w:spacing w:after="0" w:line="259" w:lineRule="auto"/>
              <w:ind w:left="0" w:firstLine="0"/>
            </w:pPr>
            <w:r>
              <w:t xml:space="preserve"> </w:t>
            </w:r>
          </w:p>
        </w:tc>
      </w:tr>
      <w:tr w:rsidR="00087370">
        <w:trPr>
          <w:trHeight w:val="3814"/>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Insurance: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13" w:line="259" w:lineRule="auto"/>
              <w:ind w:left="0" w:firstLine="0"/>
            </w:pPr>
            <w:r>
              <w:t xml:space="preserve">The insurance(s) required will be:  </w:t>
            </w:r>
          </w:p>
          <w:p w:rsidR="00087370" w:rsidRDefault="003B7960">
            <w:pPr>
              <w:numPr>
                <w:ilvl w:val="0"/>
                <w:numId w:val="12"/>
              </w:numPr>
              <w:spacing w:after="42" w:line="237" w:lineRule="auto"/>
              <w:ind w:hanging="360"/>
            </w:pPr>
            <w:r>
              <w:t xml:space="preserve">a minimum insurance period of 6 years following the expiration or Ending of this Call-Off Contract </w:t>
            </w:r>
          </w:p>
          <w:p w:rsidR="00087370" w:rsidRDefault="003B7960">
            <w:pPr>
              <w:numPr>
                <w:ilvl w:val="0"/>
                <w:numId w:val="12"/>
              </w:numPr>
              <w:spacing w:after="41" w:line="238"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087370" w:rsidRDefault="003B7960">
            <w:pPr>
              <w:numPr>
                <w:ilvl w:val="0"/>
                <w:numId w:val="12"/>
              </w:numPr>
              <w:spacing w:after="0" w:line="239" w:lineRule="auto"/>
              <w:ind w:hanging="360"/>
            </w:pPr>
            <w:r>
              <w:t xml:space="preserve">employers' liability insurance with a minimum limit of £5,000,000 or any higher minimum limit required by Law </w:t>
            </w:r>
          </w:p>
          <w:p w:rsidR="00087370" w:rsidRDefault="003B7960">
            <w:pPr>
              <w:spacing w:after="0" w:line="259" w:lineRule="auto"/>
              <w:ind w:left="0" w:firstLine="0"/>
            </w:pPr>
            <w:r>
              <w:t xml:space="preserve"> </w:t>
            </w:r>
          </w:p>
        </w:tc>
      </w:tr>
      <w:tr w:rsidR="00087370">
        <w:trPr>
          <w:trHeight w:val="650"/>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Force majeure: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A Party </w:t>
            </w:r>
            <w:proofErr w:type="gramStart"/>
            <w:r>
              <w:t>may</w:t>
            </w:r>
            <w:proofErr w:type="gramEnd"/>
            <w:r>
              <w:t xml:space="preserve"> End this Call-Off Contract if the Other Party is affected by a Force Majeure Event that lasts for more than 30 consecutive days. </w:t>
            </w:r>
          </w:p>
        </w:tc>
      </w:tr>
      <w:tr w:rsidR="00087370">
        <w:trPr>
          <w:trHeight w:val="970"/>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Audit: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following Framework Agreement audit provisions will be incorporated under clause 2.1 of this Call-Off Contract to enable the Buyer to carry out audits. </w:t>
            </w:r>
          </w:p>
        </w:tc>
      </w:tr>
      <w:tr w:rsidR="00087370">
        <w:trPr>
          <w:trHeight w:val="1284"/>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lastRenderedPageBreak/>
              <w:t xml:space="preserve">Buyer’s responsibilities: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Buyer is responsible for:  </w:t>
            </w:r>
          </w:p>
          <w:p w:rsidR="00087370" w:rsidRDefault="003B7960">
            <w:pPr>
              <w:spacing w:after="0" w:line="259" w:lineRule="auto"/>
              <w:ind w:left="0" w:firstLine="0"/>
            </w:pPr>
            <w:r>
              <w:t xml:space="preserve"> </w:t>
            </w:r>
          </w:p>
          <w:p w:rsidR="00087370" w:rsidRDefault="003B7960">
            <w:pPr>
              <w:spacing w:after="0" w:line="259" w:lineRule="auto"/>
              <w:ind w:left="0" w:firstLine="0"/>
            </w:pPr>
            <w:r>
              <w:t xml:space="preserve">Providing clear instruction for each deliverable  </w:t>
            </w:r>
          </w:p>
          <w:p w:rsidR="00087370" w:rsidRDefault="003B7960">
            <w:pPr>
              <w:spacing w:after="0" w:line="259" w:lineRule="auto"/>
              <w:ind w:left="0" w:firstLine="0"/>
            </w:pPr>
            <w:r>
              <w:t xml:space="preserve">Decision making and direction  </w:t>
            </w:r>
          </w:p>
        </w:tc>
      </w:tr>
      <w:tr w:rsidR="00087370">
        <w:trPr>
          <w:trHeight w:val="970"/>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Buyer’s equipment: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2" w:line="237" w:lineRule="auto"/>
              <w:ind w:left="0" w:firstLine="0"/>
            </w:pPr>
            <w:r>
              <w:t xml:space="preserve">The Buyer’s equipment to be used with this Call-Off Contract will be specified and agreed by the parties for each deliverable.  </w:t>
            </w:r>
          </w:p>
          <w:p w:rsidR="00087370" w:rsidRDefault="003B7960">
            <w:pPr>
              <w:spacing w:after="0" w:line="259" w:lineRule="auto"/>
              <w:ind w:left="0" w:firstLine="0"/>
            </w:pPr>
            <w:r>
              <w:t xml:space="preserve"> </w:t>
            </w:r>
          </w:p>
        </w:tc>
      </w:tr>
    </w:tbl>
    <w:p w:rsidR="00087370" w:rsidRDefault="003B7960">
      <w:pPr>
        <w:spacing w:after="219" w:line="259" w:lineRule="auto"/>
        <w:ind w:left="16" w:firstLine="0"/>
      </w:pPr>
      <w:r>
        <w:t xml:space="preserve"> </w:t>
      </w:r>
    </w:p>
    <w:p w:rsidR="00087370" w:rsidRDefault="003B7960">
      <w:pPr>
        <w:spacing w:after="0"/>
      </w:pPr>
      <w:r>
        <w:t xml:space="preserve">Supplier’s information </w:t>
      </w:r>
    </w:p>
    <w:tbl>
      <w:tblPr>
        <w:tblStyle w:val="TableGrid"/>
        <w:tblW w:w="10632" w:type="dxa"/>
        <w:tblInd w:w="26" w:type="dxa"/>
        <w:tblCellMar>
          <w:top w:w="75" w:type="dxa"/>
          <w:left w:w="108" w:type="dxa"/>
          <w:right w:w="115" w:type="dxa"/>
        </w:tblCellMar>
        <w:tblLook w:val="04A0" w:firstRow="1" w:lastRow="0" w:firstColumn="1" w:lastColumn="0" w:noHBand="0" w:noVBand="1"/>
      </w:tblPr>
      <w:tblGrid>
        <w:gridCol w:w="2657"/>
        <w:gridCol w:w="7975"/>
      </w:tblGrid>
      <w:tr w:rsidR="00087370">
        <w:trPr>
          <w:trHeight w:val="653"/>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Subcontractors or partners: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Not applicable.  </w:t>
            </w:r>
          </w:p>
        </w:tc>
      </w:tr>
    </w:tbl>
    <w:p w:rsidR="00087370" w:rsidRDefault="003B7960">
      <w:pPr>
        <w:spacing w:after="220" w:line="259" w:lineRule="auto"/>
        <w:ind w:left="16" w:firstLine="0"/>
      </w:pPr>
      <w:r>
        <w:t xml:space="preserve"> </w:t>
      </w:r>
    </w:p>
    <w:p w:rsidR="00087370" w:rsidRDefault="003B7960">
      <w:pPr>
        <w:spacing w:after="0"/>
        <w:ind w:left="11"/>
        <w:jc w:val="both"/>
      </w:pPr>
      <w:r>
        <w:t xml:space="preserve">Call-Off Contract charges and payment The Call-Off Contract charges and payment details are in the table below. See Schedule 2 for a full breakdown. </w:t>
      </w:r>
    </w:p>
    <w:tbl>
      <w:tblPr>
        <w:tblStyle w:val="TableGrid"/>
        <w:tblW w:w="10632" w:type="dxa"/>
        <w:tblInd w:w="26" w:type="dxa"/>
        <w:tblCellMar>
          <w:top w:w="75" w:type="dxa"/>
          <w:left w:w="108" w:type="dxa"/>
          <w:right w:w="115" w:type="dxa"/>
        </w:tblCellMar>
        <w:tblLook w:val="04A0" w:firstRow="1" w:lastRow="0" w:firstColumn="1" w:lastColumn="0" w:noHBand="0" w:noVBand="1"/>
      </w:tblPr>
      <w:tblGrid>
        <w:gridCol w:w="2657"/>
        <w:gridCol w:w="7975"/>
      </w:tblGrid>
      <w:tr w:rsidR="00087370">
        <w:trPr>
          <w:trHeight w:val="33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Payment method: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payment method for this Call-Off Contract is by BACS.  </w:t>
            </w:r>
          </w:p>
        </w:tc>
      </w:tr>
      <w:tr w:rsidR="00087370">
        <w:trPr>
          <w:trHeight w:val="653"/>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Payment profile: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payment profile for this Call-Off Contract is monthly in arrears.  </w:t>
            </w:r>
          </w:p>
          <w:p w:rsidR="00087370" w:rsidRDefault="003B7960">
            <w:pPr>
              <w:spacing w:after="0" w:line="259" w:lineRule="auto"/>
              <w:ind w:left="0" w:firstLine="0"/>
            </w:pPr>
            <w:r>
              <w:t xml:space="preserve"> </w:t>
            </w:r>
          </w:p>
        </w:tc>
      </w:tr>
      <w:tr w:rsidR="00087370">
        <w:trPr>
          <w:trHeight w:val="653"/>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Invoice details: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Supplier will issue electronic invoices monthly in arrears. The Buyer will pay the Supplier within 30 days of receipt of a valid invoice. </w:t>
            </w:r>
          </w:p>
        </w:tc>
      </w:tr>
      <w:tr w:rsidR="00087370">
        <w:trPr>
          <w:trHeight w:val="650"/>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jc w:val="both"/>
            </w:pPr>
            <w:r>
              <w:t xml:space="preserve">Who and where to send invoices to: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Invoices will be sent to </w:t>
            </w:r>
            <w:r>
              <w:rPr>
                <w:color w:val="0563C1"/>
                <w:u w:val="single" w:color="0563C1"/>
              </w:rPr>
              <w:t>invoices@highwaysengland.co.uk</w:t>
            </w:r>
            <w:r>
              <w:t xml:space="preserve">  </w:t>
            </w:r>
          </w:p>
        </w:tc>
      </w:tr>
      <w:tr w:rsidR="00087370">
        <w:trPr>
          <w:trHeight w:val="1287"/>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right="121" w:firstLine="0"/>
              <w:jc w:val="both"/>
            </w:pPr>
            <w:r>
              <w:t xml:space="preserve">Invoice information required – for example purchase order, project reference: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All invoices must include a valid purchase order and sufficient supporting information.  </w:t>
            </w:r>
          </w:p>
        </w:tc>
      </w:tr>
      <w:tr w:rsidR="00087370">
        <w:trPr>
          <w:trHeight w:val="33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Invoice frequency: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Invoice will be sent to the Buyer monthly.  </w:t>
            </w:r>
          </w:p>
        </w:tc>
      </w:tr>
      <w:tr w:rsidR="00087370">
        <w:trPr>
          <w:trHeight w:val="336"/>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Call-Off Contract value: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total value of this Call-Off Contract is £967,500  </w:t>
            </w:r>
          </w:p>
        </w:tc>
      </w:tr>
      <w:tr w:rsidR="00087370">
        <w:trPr>
          <w:trHeight w:val="653"/>
        </w:trPr>
        <w:tc>
          <w:tcPr>
            <w:tcW w:w="2657"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Call-Off Contract charges: </w:t>
            </w:r>
          </w:p>
        </w:tc>
        <w:tc>
          <w:tcPr>
            <w:tcW w:w="797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The breakdown of the Charges is as per Schedule 2.  </w:t>
            </w:r>
          </w:p>
        </w:tc>
      </w:tr>
    </w:tbl>
    <w:p w:rsidR="00087370" w:rsidRDefault="003B7960">
      <w:pPr>
        <w:spacing w:after="218" w:line="259" w:lineRule="auto"/>
        <w:ind w:left="16" w:firstLine="0"/>
      </w:pPr>
      <w:r>
        <w:t xml:space="preserve"> </w:t>
      </w:r>
    </w:p>
    <w:p w:rsidR="00087370" w:rsidRDefault="003B7960">
      <w:pPr>
        <w:spacing w:after="0"/>
        <w:ind w:left="11" w:right="5"/>
      </w:pPr>
      <w:r>
        <w:t xml:space="preserve">Additional buyer terms </w:t>
      </w:r>
    </w:p>
    <w:tbl>
      <w:tblPr>
        <w:tblStyle w:val="TableGrid"/>
        <w:tblW w:w="10594" w:type="dxa"/>
        <w:tblInd w:w="26" w:type="dxa"/>
        <w:tblCellMar>
          <w:top w:w="73" w:type="dxa"/>
        </w:tblCellMar>
        <w:tblLook w:val="04A0" w:firstRow="1" w:lastRow="0" w:firstColumn="1" w:lastColumn="0" w:noHBand="0" w:noVBand="1"/>
      </w:tblPr>
      <w:tblGrid>
        <w:gridCol w:w="2654"/>
        <w:gridCol w:w="7215"/>
        <w:gridCol w:w="420"/>
        <w:gridCol w:w="305"/>
      </w:tblGrid>
      <w:tr w:rsidR="00087370">
        <w:trPr>
          <w:trHeight w:val="1601"/>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firstLine="0"/>
              <w:jc w:val="both"/>
            </w:pPr>
            <w:r>
              <w:lastRenderedPageBreak/>
              <w:t xml:space="preserve">Performance of the service and deliverables: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39" w:lineRule="auto"/>
              <w:ind w:left="110" w:firstLine="0"/>
            </w:pPr>
            <w:r>
              <w:t xml:space="preserve">This Call-Off Contract will include the following implementation plan, exit and offboarding plans and milestones: </w:t>
            </w:r>
          </w:p>
          <w:p w:rsidR="00087370" w:rsidRDefault="003B7960">
            <w:pPr>
              <w:spacing w:after="0" w:line="259" w:lineRule="auto"/>
              <w:ind w:left="110" w:firstLine="0"/>
            </w:pPr>
            <w:r>
              <w:t xml:space="preserve"> </w:t>
            </w:r>
          </w:p>
          <w:p w:rsidR="00087370" w:rsidRDefault="003B7960">
            <w:pPr>
              <w:spacing w:after="0" w:line="259" w:lineRule="auto"/>
              <w:ind w:left="110" w:firstLine="0"/>
            </w:pPr>
            <w:r>
              <w:t xml:space="preserve">Deliverables to be completed by the Supplier as per Annex A.  </w:t>
            </w:r>
          </w:p>
          <w:p w:rsidR="00087370" w:rsidRDefault="003B7960">
            <w:pPr>
              <w:spacing w:after="0" w:line="259" w:lineRule="auto"/>
              <w:ind w:left="110" w:firstLine="0"/>
            </w:pPr>
            <w:r>
              <w:t xml:space="preserve"> </w:t>
            </w:r>
          </w:p>
        </w:tc>
      </w:tr>
      <w:tr w:rsidR="00087370">
        <w:trPr>
          <w:trHeight w:val="336"/>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firstLine="0"/>
            </w:pPr>
            <w:r>
              <w:t xml:space="preserve">Guarantee: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10" w:firstLine="0"/>
            </w:pPr>
            <w:r>
              <w:t xml:space="preserve">Not applicable.  </w:t>
            </w:r>
          </w:p>
        </w:tc>
      </w:tr>
      <w:tr w:rsidR="00087370">
        <w:trPr>
          <w:trHeight w:val="653"/>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firstLine="0"/>
            </w:pPr>
            <w:r>
              <w:t xml:space="preserve">Warranties, representations: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10" w:firstLine="0"/>
            </w:pPr>
            <w:r>
              <w:t xml:space="preserve">Not applicable.  </w:t>
            </w:r>
          </w:p>
        </w:tc>
      </w:tr>
      <w:tr w:rsidR="00087370">
        <w:trPr>
          <w:trHeight w:val="1284"/>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right="95" w:firstLine="0"/>
            </w:pPr>
            <w:r>
              <w:t xml:space="preserve">Supplemental requirements in addition to the Call-Off terms: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10" w:firstLine="0"/>
            </w:pPr>
            <w:r>
              <w:t xml:space="preserve">Not applicable.  </w:t>
            </w:r>
          </w:p>
        </w:tc>
      </w:tr>
      <w:tr w:rsidR="00087370">
        <w:trPr>
          <w:trHeight w:val="337"/>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firstLine="0"/>
            </w:pPr>
            <w:r>
              <w:t xml:space="preserve">Alternative clauses: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10" w:firstLine="0"/>
            </w:pPr>
            <w:r>
              <w:t xml:space="preserve">Not applicable.  </w:t>
            </w:r>
          </w:p>
        </w:tc>
      </w:tr>
      <w:tr w:rsidR="00087370">
        <w:trPr>
          <w:trHeight w:val="1284"/>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firstLine="0"/>
            </w:pPr>
            <w:r>
              <w:t xml:space="preserve">Buyer specific </w:t>
            </w:r>
          </w:p>
          <w:p w:rsidR="00087370" w:rsidRDefault="003B7960">
            <w:pPr>
              <w:spacing w:after="0" w:line="259" w:lineRule="auto"/>
              <w:ind w:left="108" w:firstLine="0"/>
            </w:pPr>
            <w:r>
              <w:t xml:space="preserve">amendments </w:t>
            </w:r>
          </w:p>
          <w:p w:rsidR="00087370" w:rsidRDefault="003B7960">
            <w:pPr>
              <w:spacing w:after="0" w:line="259" w:lineRule="auto"/>
              <w:ind w:left="108" w:firstLine="0"/>
            </w:pPr>
            <w:r>
              <w:t xml:space="preserve">to/refinements of the </w:t>
            </w:r>
          </w:p>
          <w:p w:rsidR="00087370" w:rsidRDefault="003B7960">
            <w:pPr>
              <w:spacing w:after="0" w:line="259" w:lineRule="auto"/>
              <w:ind w:left="108" w:firstLine="0"/>
            </w:pPr>
            <w:r>
              <w:t xml:space="preserve">Call-Off Contract terms: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10" w:firstLine="0"/>
            </w:pPr>
            <w:r>
              <w:t xml:space="preserve">Not applicable.  </w:t>
            </w:r>
          </w:p>
        </w:tc>
      </w:tr>
      <w:tr w:rsidR="00087370">
        <w:trPr>
          <w:trHeight w:val="655"/>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firstLine="0"/>
            </w:pPr>
            <w:r>
              <w:t xml:space="preserve">Public Services Network (PSN):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10" w:right="87" w:firstLine="0"/>
            </w:pPr>
            <w:r>
              <w:t xml:space="preserve">The Public Services Network (PSN) is the Government’s secure network. Not applicable.  </w:t>
            </w:r>
          </w:p>
        </w:tc>
      </w:tr>
      <w:tr w:rsidR="00087370">
        <w:trPr>
          <w:trHeight w:val="331"/>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108" w:firstLine="0"/>
            </w:pPr>
            <w:r>
              <w:t xml:space="preserve">Personal Data and Data </w:t>
            </w:r>
          </w:p>
        </w:tc>
        <w:tc>
          <w:tcPr>
            <w:tcW w:w="7221" w:type="dxa"/>
            <w:tcBorders>
              <w:top w:val="single" w:sz="8" w:space="0" w:color="000000"/>
              <w:left w:val="single" w:sz="8" w:space="0" w:color="000000"/>
              <w:bottom w:val="single" w:sz="8" w:space="0" w:color="000000"/>
              <w:right w:val="nil"/>
            </w:tcBorders>
          </w:tcPr>
          <w:p w:rsidR="00087370" w:rsidRDefault="003B7960">
            <w:pPr>
              <w:spacing w:after="0" w:line="259" w:lineRule="auto"/>
              <w:ind w:left="110" w:firstLine="0"/>
            </w:pPr>
            <w:r>
              <w:rPr>
                <w:color w:val="353535"/>
              </w:rPr>
              <w:t xml:space="preserve">Will Schedule 7 – Processing, Personal Data and Data Subjects be used </w:t>
            </w:r>
          </w:p>
        </w:tc>
        <w:tc>
          <w:tcPr>
            <w:tcW w:w="413" w:type="dxa"/>
            <w:tcBorders>
              <w:top w:val="single" w:sz="8" w:space="0" w:color="000000"/>
              <w:left w:val="nil"/>
              <w:bottom w:val="single" w:sz="8" w:space="0" w:color="000000"/>
              <w:right w:val="nil"/>
            </w:tcBorders>
            <w:shd w:val="clear" w:color="auto" w:fill="FFFF00"/>
          </w:tcPr>
          <w:p w:rsidR="00087370" w:rsidRDefault="003B7960">
            <w:pPr>
              <w:spacing w:after="0" w:line="259" w:lineRule="auto"/>
              <w:ind w:left="0" w:right="-5" w:firstLine="0"/>
              <w:jc w:val="both"/>
            </w:pPr>
            <w:r>
              <w:rPr>
                <w:color w:val="353535"/>
              </w:rPr>
              <w:t>N/A</w:t>
            </w:r>
          </w:p>
        </w:tc>
        <w:tc>
          <w:tcPr>
            <w:tcW w:w="305" w:type="dxa"/>
            <w:tcBorders>
              <w:top w:val="single" w:sz="8" w:space="0" w:color="000000"/>
              <w:left w:val="nil"/>
              <w:bottom w:val="single" w:sz="8" w:space="0" w:color="000000"/>
              <w:right w:val="single" w:sz="8" w:space="0" w:color="000000"/>
            </w:tcBorders>
          </w:tcPr>
          <w:p w:rsidR="00087370" w:rsidRDefault="003B7960">
            <w:pPr>
              <w:spacing w:after="0" w:line="259" w:lineRule="auto"/>
              <w:ind w:left="0" w:firstLine="0"/>
            </w:pPr>
            <w:r>
              <w:rPr>
                <w:color w:val="353535"/>
              </w:rPr>
              <w:t xml:space="preserve"> </w:t>
            </w:r>
          </w:p>
        </w:tc>
      </w:tr>
      <w:tr w:rsidR="00087370">
        <w:trPr>
          <w:trHeight w:val="336"/>
        </w:trPr>
        <w:tc>
          <w:tcPr>
            <w:tcW w:w="265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Subjects: </w:t>
            </w:r>
          </w:p>
        </w:tc>
        <w:tc>
          <w:tcPr>
            <w:tcW w:w="7939" w:type="dxa"/>
            <w:gridSpan w:val="3"/>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2" w:firstLine="0"/>
            </w:pPr>
            <w:r>
              <w:t xml:space="preserve"> </w:t>
            </w:r>
          </w:p>
        </w:tc>
      </w:tr>
    </w:tbl>
    <w:p w:rsidR="00087370" w:rsidRDefault="003B7960">
      <w:pPr>
        <w:spacing w:after="221" w:line="259" w:lineRule="auto"/>
        <w:ind w:left="16" w:firstLine="0"/>
      </w:pPr>
      <w:r>
        <w:t xml:space="preserve"> </w:t>
      </w:r>
    </w:p>
    <w:p w:rsidR="00087370" w:rsidRDefault="003B7960">
      <w:pPr>
        <w:numPr>
          <w:ilvl w:val="0"/>
          <w:numId w:val="1"/>
        </w:numPr>
        <w:ind w:right="5" w:hanging="238"/>
      </w:pPr>
      <w:r>
        <w:t xml:space="preserve">Formation of contract  </w:t>
      </w:r>
    </w:p>
    <w:p w:rsidR="00087370" w:rsidRDefault="003B7960">
      <w:pPr>
        <w:numPr>
          <w:ilvl w:val="1"/>
          <w:numId w:val="1"/>
        </w:numPr>
        <w:ind w:right="5" w:hanging="725"/>
      </w:pPr>
      <w:r>
        <w:t xml:space="preserve">By signing and returning this Order Form (Part A), the Supplier agrees to enter into a Call-Off Contract with the Buyer. </w:t>
      </w:r>
    </w:p>
    <w:p w:rsidR="00087370" w:rsidRDefault="003B7960">
      <w:pPr>
        <w:numPr>
          <w:ilvl w:val="1"/>
          <w:numId w:val="1"/>
        </w:numPr>
        <w:ind w:right="5" w:hanging="725"/>
      </w:pPr>
      <w:r>
        <w:t xml:space="preserve">The Parties agree that they have read the Order Form (Part A) and the Call-Off Contract terms and by signing below agree to be bound by this Call-Off Contract. </w:t>
      </w:r>
    </w:p>
    <w:p w:rsidR="00087370" w:rsidRDefault="003B7960">
      <w:pPr>
        <w:numPr>
          <w:ilvl w:val="1"/>
          <w:numId w:val="1"/>
        </w:numPr>
        <w:ind w:right="5" w:hanging="725"/>
      </w:pPr>
      <w:r>
        <w:t xml:space="preserve">This Call-Off Contract will be formed when the Buyer acknowledges receipt of the signed copy of the Order Form from the Supplier. </w:t>
      </w:r>
    </w:p>
    <w:p w:rsidR="00087370" w:rsidRDefault="003B7960">
      <w:pPr>
        <w:numPr>
          <w:ilvl w:val="1"/>
          <w:numId w:val="1"/>
        </w:numPr>
        <w:spacing w:after="208"/>
        <w:ind w:right="5" w:hanging="725"/>
      </w:pPr>
      <w:r>
        <w:t xml:space="preserve">In cases of any ambiguity or conflict the terms and conditions of the Call-Off Contract and Order Form will supersede those of the Supplier Terms and Conditions. </w:t>
      </w:r>
    </w:p>
    <w:p w:rsidR="00087370" w:rsidRDefault="003B7960">
      <w:pPr>
        <w:numPr>
          <w:ilvl w:val="0"/>
          <w:numId w:val="1"/>
        </w:numPr>
        <w:ind w:right="5" w:hanging="238"/>
      </w:pPr>
      <w:r>
        <w:t xml:space="preserve">Background to the agreement  </w:t>
      </w:r>
    </w:p>
    <w:p w:rsidR="00087370" w:rsidRDefault="003B7960">
      <w:pPr>
        <w:numPr>
          <w:ilvl w:val="0"/>
          <w:numId w:val="2"/>
        </w:numPr>
        <w:ind w:right="5" w:hanging="725"/>
      </w:pPr>
      <w:r>
        <w:lastRenderedPageBreak/>
        <w:t xml:space="preserve">The Supplier is a provider of G-Cloud Services and agreed to provide the Services under the terms of Framework Agreement number RM1557.10. </w:t>
      </w:r>
    </w:p>
    <w:p w:rsidR="00087370" w:rsidRDefault="003B7960">
      <w:pPr>
        <w:numPr>
          <w:ilvl w:val="0"/>
          <w:numId w:val="2"/>
        </w:numPr>
        <w:spacing w:after="0"/>
        <w:ind w:right="5" w:hanging="725"/>
      </w:pPr>
      <w:r>
        <w:t xml:space="preserve">The Buyer provided an Order Form for Services to the Supplier. </w:t>
      </w:r>
    </w:p>
    <w:tbl>
      <w:tblPr>
        <w:tblStyle w:val="TableGrid"/>
        <w:tblW w:w="10622" w:type="dxa"/>
        <w:tblInd w:w="26" w:type="dxa"/>
        <w:tblCellMar>
          <w:top w:w="168" w:type="dxa"/>
          <w:left w:w="98" w:type="dxa"/>
          <w:bottom w:w="108" w:type="dxa"/>
          <w:right w:w="41" w:type="dxa"/>
        </w:tblCellMar>
        <w:tblLook w:val="04A0" w:firstRow="1" w:lastRow="0" w:firstColumn="1" w:lastColumn="0" w:noHBand="0" w:noVBand="1"/>
      </w:tblPr>
      <w:tblGrid>
        <w:gridCol w:w="2280"/>
        <w:gridCol w:w="4172"/>
        <w:gridCol w:w="4170"/>
      </w:tblGrid>
      <w:tr w:rsidR="00087370">
        <w:trPr>
          <w:trHeight w:val="536"/>
        </w:trPr>
        <w:tc>
          <w:tcPr>
            <w:tcW w:w="2280"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 xml:space="preserve">Signed: </w:t>
            </w:r>
          </w:p>
        </w:tc>
        <w:tc>
          <w:tcPr>
            <w:tcW w:w="4172"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 xml:space="preserve">Supplier </w:t>
            </w:r>
          </w:p>
        </w:tc>
        <w:tc>
          <w:tcPr>
            <w:tcW w:w="4170"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 xml:space="preserve">Buyer </w:t>
            </w:r>
          </w:p>
        </w:tc>
      </w:tr>
      <w:tr w:rsidR="00087370">
        <w:trPr>
          <w:trHeight w:val="535"/>
        </w:trPr>
        <w:tc>
          <w:tcPr>
            <w:tcW w:w="2280"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 xml:space="preserve">Name: </w:t>
            </w:r>
          </w:p>
        </w:tc>
        <w:tc>
          <w:tcPr>
            <w:tcW w:w="4172" w:type="dxa"/>
            <w:tcBorders>
              <w:top w:val="single" w:sz="8" w:space="0" w:color="000000"/>
              <w:left w:val="single" w:sz="8" w:space="0" w:color="000000"/>
              <w:bottom w:val="single" w:sz="8" w:space="0" w:color="000000"/>
              <w:right w:val="single" w:sz="8" w:space="0" w:color="000000"/>
            </w:tcBorders>
            <w:vAlign w:val="center"/>
          </w:tcPr>
          <w:p w:rsidR="00087370" w:rsidRDefault="00AA5A6F">
            <w:pPr>
              <w:spacing w:after="0" w:line="259" w:lineRule="auto"/>
              <w:ind w:left="3" w:firstLine="0"/>
            </w:pPr>
            <w:r>
              <w:rPr>
                <w:i/>
              </w:rPr>
              <w:t>Redacted</w:t>
            </w:r>
          </w:p>
        </w:tc>
        <w:tc>
          <w:tcPr>
            <w:tcW w:w="4170" w:type="dxa"/>
            <w:tcBorders>
              <w:top w:val="single" w:sz="8" w:space="0" w:color="000000"/>
              <w:left w:val="single" w:sz="8" w:space="0" w:color="000000"/>
              <w:bottom w:val="single" w:sz="8" w:space="0" w:color="000000"/>
              <w:right w:val="single" w:sz="8" w:space="0" w:color="000000"/>
            </w:tcBorders>
            <w:vAlign w:val="center"/>
          </w:tcPr>
          <w:p w:rsidR="00087370" w:rsidRDefault="00AA5A6F">
            <w:pPr>
              <w:spacing w:after="0" w:line="259" w:lineRule="auto"/>
              <w:ind w:left="3" w:firstLine="0"/>
            </w:pPr>
            <w:r>
              <w:rPr>
                <w:i/>
              </w:rPr>
              <w:t>Redacted</w:t>
            </w:r>
          </w:p>
        </w:tc>
      </w:tr>
      <w:tr w:rsidR="00087370">
        <w:trPr>
          <w:trHeight w:val="538"/>
        </w:trPr>
        <w:tc>
          <w:tcPr>
            <w:tcW w:w="2280"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 xml:space="preserve">Title: </w:t>
            </w:r>
          </w:p>
        </w:tc>
        <w:tc>
          <w:tcPr>
            <w:tcW w:w="4172" w:type="dxa"/>
            <w:tcBorders>
              <w:top w:val="single" w:sz="8" w:space="0" w:color="000000"/>
              <w:left w:val="single" w:sz="8" w:space="0" w:color="000000"/>
              <w:bottom w:val="single" w:sz="8" w:space="0" w:color="000000"/>
              <w:right w:val="single" w:sz="8" w:space="0" w:color="000000"/>
            </w:tcBorders>
            <w:vAlign w:val="center"/>
          </w:tcPr>
          <w:p w:rsidR="00087370" w:rsidRDefault="00AA5A6F">
            <w:pPr>
              <w:spacing w:after="0" w:line="259" w:lineRule="auto"/>
              <w:ind w:left="3" w:firstLine="0"/>
            </w:pPr>
            <w:r>
              <w:rPr>
                <w:i/>
              </w:rPr>
              <w:t>Redacted</w:t>
            </w:r>
          </w:p>
        </w:tc>
        <w:tc>
          <w:tcPr>
            <w:tcW w:w="4170" w:type="dxa"/>
            <w:tcBorders>
              <w:top w:val="single" w:sz="8" w:space="0" w:color="000000"/>
              <w:left w:val="single" w:sz="8" w:space="0" w:color="000000"/>
              <w:bottom w:val="single" w:sz="8" w:space="0" w:color="000000"/>
              <w:right w:val="single" w:sz="8" w:space="0" w:color="000000"/>
            </w:tcBorders>
            <w:vAlign w:val="center"/>
          </w:tcPr>
          <w:p w:rsidR="00087370" w:rsidRDefault="00AA5A6F">
            <w:pPr>
              <w:spacing w:after="0" w:line="259" w:lineRule="auto"/>
              <w:ind w:left="3" w:firstLine="0"/>
            </w:pPr>
            <w:r>
              <w:rPr>
                <w:i/>
              </w:rPr>
              <w:t>Redacted</w:t>
            </w:r>
          </w:p>
        </w:tc>
      </w:tr>
      <w:tr w:rsidR="00087370">
        <w:trPr>
          <w:trHeight w:val="1226"/>
        </w:trPr>
        <w:tc>
          <w:tcPr>
            <w:tcW w:w="2280"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3" w:firstLine="0"/>
            </w:pPr>
            <w:r>
              <w:t xml:space="preserve">Signature: </w:t>
            </w:r>
          </w:p>
        </w:tc>
        <w:tc>
          <w:tcPr>
            <w:tcW w:w="4172" w:type="dxa"/>
            <w:tcBorders>
              <w:top w:val="single" w:sz="8" w:space="0" w:color="000000"/>
              <w:left w:val="single" w:sz="8" w:space="0" w:color="000000"/>
              <w:bottom w:val="single" w:sz="8" w:space="0" w:color="000000"/>
              <w:right w:val="single" w:sz="8" w:space="0" w:color="000000"/>
            </w:tcBorders>
            <w:vAlign w:val="bottom"/>
          </w:tcPr>
          <w:p w:rsidR="00087370" w:rsidRDefault="00AA5A6F">
            <w:pPr>
              <w:tabs>
                <w:tab w:val="right" w:pos="4033"/>
              </w:tabs>
              <w:spacing w:after="0" w:line="259" w:lineRule="auto"/>
              <w:ind w:left="0" w:firstLine="0"/>
            </w:pPr>
            <w:r>
              <w:rPr>
                <w:i/>
              </w:rPr>
              <w:t>Redacted</w:t>
            </w:r>
            <w:r w:rsidR="003B7960">
              <w:t xml:space="preserve"> </w:t>
            </w:r>
            <w:r w:rsidR="003B7960">
              <w:tab/>
              <w:t xml:space="preserve"> </w:t>
            </w:r>
          </w:p>
        </w:tc>
        <w:tc>
          <w:tcPr>
            <w:tcW w:w="4170" w:type="dxa"/>
            <w:tcBorders>
              <w:top w:val="single" w:sz="8" w:space="0" w:color="000000"/>
              <w:left w:val="single" w:sz="8" w:space="0" w:color="000000"/>
              <w:bottom w:val="single" w:sz="8" w:space="0" w:color="000000"/>
              <w:right w:val="single" w:sz="8" w:space="0" w:color="000000"/>
            </w:tcBorders>
            <w:vAlign w:val="bottom"/>
          </w:tcPr>
          <w:p w:rsidR="00087370" w:rsidRDefault="00AA5A6F">
            <w:pPr>
              <w:spacing w:after="0" w:line="259" w:lineRule="auto"/>
              <w:ind w:left="0" w:right="848" w:firstLine="0"/>
              <w:jc w:val="center"/>
            </w:pPr>
            <w:r>
              <w:rPr>
                <w:i/>
              </w:rPr>
              <w:t>Redacted</w:t>
            </w:r>
            <w:r w:rsidR="003B7960">
              <w:t xml:space="preserve"> </w:t>
            </w:r>
          </w:p>
        </w:tc>
      </w:tr>
      <w:tr w:rsidR="00087370">
        <w:trPr>
          <w:trHeight w:val="538"/>
        </w:trPr>
        <w:tc>
          <w:tcPr>
            <w:tcW w:w="2280"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 xml:space="preserve">Date: </w:t>
            </w:r>
          </w:p>
        </w:tc>
        <w:tc>
          <w:tcPr>
            <w:tcW w:w="4172"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5</w:t>
            </w:r>
            <w:r>
              <w:rPr>
                <w:sz w:val="21"/>
                <w:vertAlign w:val="superscript"/>
              </w:rPr>
              <w:t>th</w:t>
            </w:r>
            <w:r>
              <w:t xml:space="preserve"> Oct 18  </w:t>
            </w:r>
          </w:p>
        </w:tc>
        <w:tc>
          <w:tcPr>
            <w:tcW w:w="4170" w:type="dxa"/>
            <w:tcBorders>
              <w:top w:val="single" w:sz="8" w:space="0" w:color="000000"/>
              <w:left w:val="single" w:sz="8" w:space="0" w:color="000000"/>
              <w:bottom w:val="single" w:sz="8" w:space="0" w:color="000000"/>
              <w:right w:val="single" w:sz="8" w:space="0" w:color="000000"/>
            </w:tcBorders>
            <w:vAlign w:val="center"/>
          </w:tcPr>
          <w:p w:rsidR="00087370" w:rsidRDefault="003B7960">
            <w:pPr>
              <w:spacing w:after="0" w:line="259" w:lineRule="auto"/>
              <w:ind w:left="3" w:firstLine="0"/>
            </w:pPr>
            <w:r>
              <w:t xml:space="preserve">11 October 2018  </w:t>
            </w:r>
          </w:p>
        </w:tc>
      </w:tr>
    </w:tbl>
    <w:p w:rsidR="00087370" w:rsidRDefault="003B7960">
      <w:pPr>
        <w:spacing w:after="19" w:line="259" w:lineRule="auto"/>
        <w:ind w:left="16" w:firstLine="0"/>
      </w:pPr>
      <w:r>
        <w:t xml:space="preserve"> </w:t>
      </w:r>
    </w:p>
    <w:p w:rsidR="00087370" w:rsidRDefault="003B7960">
      <w:pPr>
        <w:spacing w:after="220" w:line="259" w:lineRule="auto"/>
        <w:ind w:left="16" w:firstLine="0"/>
      </w:pPr>
      <w:r>
        <w:t xml:space="preserve"> </w:t>
      </w:r>
    </w:p>
    <w:p w:rsidR="00087370" w:rsidRDefault="003B7960">
      <w:pPr>
        <w:pStyle w:val="Heading1"/>
        <w:spacing w:after="212"/>
        <w:ind w:left="11" w:right="5"/>
      </w:pPr>
      <w:bookmarkStart w:id="1" w:name="_Toc72192"/>
      <w:r>
        <w:t xml:space="preserve">Schedule 1 - Services </w:t>
      </w:r>
      <w:bookmarkEnd w:id="1"/>
    </w:p>
    <w:p w:rsidR="00087370" w:rsidRDefault="003B7960">
      <w:pPr>
        <w:spacing w:after="19" w:line="259" w:lineRule="auto"/>
        <w:ind w:left="16" w:firstLine="0"/>
      </w:pPr>
      <w:r>
        <w:t xml:space="preserve"> </w:t>
      </w:r>
    </w:p>
    <w:p w:rsidR="00087370" w:rsidRDefault="003B7960">
      <w:pPr>
        <w:spacing w:after="13"/>
        <w:ind w:left="11" w:right="5"/>
      </w:pPr>
      <w:r>
        <w:t xml:space="preserve">Planning </w:t>
      </w:r>
    </w:p>
    <w:p w:rsidR="00087370" w:rsidRDefault="003B7960">
      <w:pPr>
        <w:spacing w:after="27"/>
        <w:ind w:left="11" w:right="5"/>
      </w:pPr>
      <w:r>
        <w:t xml:space="preserve">The Supplier conducts </w:t>
      </w:r>
      <w:proofErr w:type="gramStart"/>
      <w:r>
        <w:t>a number of</w:t>
      </w:r>
      <w:proofErr w:type="gramEnd"/>
      <w:r>
        <w:t xml:space="preserve"> tailored workshops with all the relevant project stakeholders. A strategy document is created so all that parties understand the project outcomes, with a </w:t>
      </w:r>
      <w:proofErr w:type="gramStart"/>
      <w:r>
        <w:t>high level</w:t>
      </w:r>
      <w:proofErr w:type="gramEnd"/>
      <w:r>
        <w:t xml:space="preserve"> plan and costs. The client can then choose to engage Supplier to deliver the scope of work. </w:t>
      </w:r>
    </w:p>
    <w:p w:rsidR="00087370" w:rsidRDefault="003B7960">
      <w:pPr>
        <w:spacing w:after="19" w:line="259" w:lineRule="auto"/>
        <w:ind w:left="16" w:firstLine="0"/>
      </w:pPr>
      <w:r>
        <w:t xml:space="preserve"> </w:t>
      </w:r>
    </w:p>
    <w:p w:rsidR="00087370" w:rsidRDefault="003B7960">
      <w:pPr>
        <w:spacing w:after="11"/>
        <w:ind w:left="11" w:right="5"/>
      </w:pPr>
      <w:r>
        <w:t xml:space="preserve">Setup and migration </w:t>
      </w:r>
    </w:p>
    <w:p w:rsidR="00087370" w:rsidRDefault="003B7960">
      <w:pPr>
        <w:spacing w:after="7"/>
        <w:ind w:left="11" w:right="5"/>
      </w:pPr>
      <w:r>
        <w:t xml:space="preserve">The Supplier would need to understand the requirements and business outcomes prior to any setup or migration. We'd then undertake a discovery exercise, as this would provide invaluable insight into the organisational challenges and a snapshot of the current state. Following this, we would undertake the relevant high and low-level designs and create a requirements matrix to ensure that all the requirements were addressed and by selecting the optimal technologies and services. After the designs are approved we would plan the setup of the solution and any relevant testing required. Any migration would be carefully thought out and planned to </w:t>
      </w:r>
      <w:proofErr w:type="spellStart"/>
      <w:r>
        <w:t>derisk</w:t>
      </w:r>
      <w:proofErr w:type="spellEnd"/>
      <w:r>
        <w:t xml:space="preserve"> any potential issues and ensure minimal downtime and disruption to the organisation. Once migration is complete, we can provide early life support, handover to internal or external support teams and any required user and admin training. </w:t>
      </w:r>
    </w:p>
    <w:p w:rsidR="00087370" w:rsidRDefault="003B7960">
      <w:pPr>
        <w:spacing w:after="21" w:line="259" w:lineRule="auto"/>
        <w:ind w:left="16" w:firstLine="0"/>
      </w:pPr>
      <w:r>
        <w:lastRenderedPageBreak/>
        <w:t xml:space="preserve"> </w:t>
      </w:r>
    </w:p>
    <w:p w:rsidR="00087370" w:rsidRDefault="003B7960">
      <w:pPr>
        <w:spacing w:after="56"/>
        <w:ind w:left="11" w:right="5"/>
      </w:pPr>
      <w:r>
        <w:t xml:space="preserve">Quality assurance and performance testing </w:t>
      </w:r>
    </w:p>
    <w:p w:rsidR="00087370" w:rsidRDefault="003B7960">
      <w:pPr>
        <w:spacing w:after="8"/>
        <w:ind w:left="136" w:right="5"/>
      </w:pPr>
      <w:r>
        <w:t xml:space="preserve">The Supplier provides a rigorous quality assurance internal review against all project objectives. All solutions are designed in line with industry/vendor design best practices with references included. The Supplier can further leverage our partnerships with vendors to ratify designs if so required. Depending on the scope of the engagement The Supplier will fully test the solution against any agreed Test </w:t>
      </w:r>
    </w:p>
    <w:p w:rsidR="00087370" w:rsidRDefault="003B7960">
      <w:pPr>
        <w:spacing w:after="7"/>
        <w:ind w:left="136" w:right="5"/>
      </w:pPr>
      <w:r>
        <w:t xml:space="preserve">Strategy, the output would be a detailed test report. Any risks that will affect the testing process will be listed along with the mitigation. This will ensure the final solution not only meets the stated requirements but exceeds the project expectations.  </w:t>
      </w:r>
    </w:p>
    <w:p w:rsidR="00087370" w:rsidRDefault="003B7960">
      <w:pPr>
        <w:spacing w:after="81" w:line="259" w:lineRule="auto"/>
        <w:ind w:left="62" w:firstLine="0"/>
      </w:pPr>
      <w:r>
        <w:t xml:space="preserve">  </w:t>
      </w:r>
    </w:p>
    <w:p w:rsidR="00087370" w:rsidRDefault="003B7960">
      <w:pPr>
        <w:spacing w:after="11"/>
        <w:ind w:left="136" w:right="5"/>
      </w:pPr>
      <w:r>
        <w:t xml:space="preserve">Ongoing support </w:t>
      </w:r>
    </w:p>
    <w:p w:rsidR="00087370" w:rsidRDefault="003B7960">
      <w:pPr>
        <w:spacing w:after="7"/>
        <w:ind w:left="136" w:right="5"/>
      </w:pPr>
      <w:r>
        <w:t xml:space="preserve">The Supplier and </w:t>
      </w:r>
      <w:proofErr w:type="spellStart"/>
      <w:proofErr w:type="gramStart"/>
      <w:r>
        <w:t>it's</w:t>
      </w:r>
      <w:proofErr w:type="spellEnd"/>
      <w:proofErr w:type="gramEnd"/>
      <w:r>
        <w:t xml:space="preserve"> parent company </w:t>
      </w:r>
      <w:proofErr w:type="spellStart"/>
      <w:r>
        <w:t>iomart's</w:t>
      </w:r>
      <w:proofErr w:type="spellEnd"/>
      <w:r>
        <w:t xml:space="preserve"> support teams are available 24/7 to respond to alerts, take calls, make decisions and act to ensure our customer services are operating effectively every second of the day. The support desk is accredited to ISO20000-2011 and ISO27001-2013 standards and brings together 250 technical operations staff employed to cover everything with a guaranteed qualified engineering response within 15 minutes of notice dependent on the severity of the incident. </w:t>
      </w:r>
    </w:p>
    <w:p w:rsidR="00087370" w:rsidRDefault="003B7960">
      <w:pPr>
        <w:spacing w:after="9" w:line="259" w:lineRule="auto"/>
        <w:ind w:left="126" w:firstLine="0"/>
      </w:pPr>
      <w:r>
        <w:t xml:space="preserve"> </w:t>
      </w:r>
    </w:p>
    <w:p w:rsidR="00087370" w:rsidRDefault="003B7960">
      <w:pPr>
        <w:spacing w:after="19" w:line="259" w:lineRule="auto"/>
        <w:ind w:left="16" w:firstLine="0"/>
      </w:pPr>
      <w:r>
        <w:rPr>
          <w:rFonts w:ascii="Arial" w:eastAsia="Arial" w:hAnsi="Arial" w:cs="Arial"/>
          <w:sz w:val="20"/>
        </w:rPr>
        <w:t xml:space="preserve"> </w:t>
      </w:r>
    </w:p>
    <w:p w:rsidR="00087370" w:rsidRDefault="003B7960">
      <w:pPr>
        <w:spacing w:after="72" w:line="259" w:lineRule="auto"/>
        <w:ind w:left="16" w:firstLine="0"/>
      </w:pPr>
      <w:r>
        <w:rPr>
          <w:rFonts w:ascii="Arial" w:eastAsia="Arial" w:hAnsi="Arial" w:cs="Arial"/>
          <w:sz w:val="20"/>
        </w:rPr>
        <w:t xml:space="preserve"> </w:t>
      </w:r>
    </w:p>
    <w:p w:rsidR="00087370" w:rsidRDefault="003B7960">
      <w:pPr>
        <w:spacing w:after="19" w:line="259" w:lineRule="auto"/>
        <w:ind w:left="16" w:firstLine="0"/>
      </w:pPr>
      <w:r>
        <w:t xml:space="preserve"> </w:t>
      </w:r>
    </w:p>
    <w:p w:rsidR="00087370" w:rsidRDefault="003B7960">
      <w:pPr>
        <w:pStyle w:val="Heading1"/>
        <w:spacing w:after="212"/>
        <w:ind w:left="11" w:right="5"/>
      </w:pPr>
      <w:bookmarkStart w:id="2" w:name="_Toc72193"/>
      <w:r>
        <w:t xml:space="preserve">Schedule 2 - Call-Off Contract charges </w:t>
      </w:r>
      <w:bookmarkEnd w:id="2"/>
    </w:p>
    <w:p w:rsidR="00087370" w:rsidRDefault="003B7960">
      <w:pPr>
        <w:spacing w:after="7"/>
        <w:ind w:left="11" w:right="5"/>
      </w:pPr>
      <w: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w:t>
      </w:r>
    </w:p>
    <w:p w:rsidR="00087370" w:rsidRDefault="003B7960">
      <w:pPr>
        <w:spacing w:after="0" w:line="259" w:lineRule="auto"/>
        <w:ind w:left="16" w:firstLine="0"/>
      </w:pPr>
      <w:r>
        <w:t xml:space="preserve"> </w:t>
      </w:r>
    </w:p>
    <w:p w:rsidR="00087370" w:rsidRDefault="003B7960">
      <w:pPr>
        <w:spacing w:after="715" w:line="259" w:lineRule="auto"/>
        <w:ind w:left="16" w:firstLine="0"/>
      </w:pPr>
      <w:r>
        <w:t xml:space="preserve"> </w:t>
      </w:r>
    </w:p>
    <w:tbl>
      <w:tblPr>
        <w:tblStyle w:val="TableGrid"/>
        <w:tblpPr w:vertAnchor="text" w:tblpX="16" w:tblpY="-818"/>
        <w:tblOverlap w:val="never"/>
        <w:tblW w:w="10398" w:type="dxa"/>
        <w:tblInd w:w="0" w:type="dxa"/>
        <w:tblCellMar>
          <w:top w:w="48" w:type="dxa"/>
          <w:left w:w="22" w:type="dxa"/>
          <w:bottom w:w="160" w:type="dxa"/>
          <w:right w:w="115" w:type="dxa"/>
        </w:tblCellMar>
        <w:tblLook w:val="04A0" w:firstRow="1" w:lastRow="0" w:firstColumn="1" w:lastColumn="0" w:noHBand="0" w:noVBand="1"/>
      </w:tblPr>
      <w:tblGrid>
        <w:gridCol w:w="2127"/>
        <w:gridCol w:w="1342"/>
        <w:gridCol w:w="1362"/>
        <w:gridCol w:w="1387"/>
        <w:gridCol w:w="1443"/>
        <w:gridCol w:w="1408"/>
        <w:gridCol w:w="1329"/>
      </w:tblGrid>
      <w:tr w:rsidR="00087370">
        <w:trPr>
          <w:trHeight w:val="769"/>
        </w:trPr>
        <w:tc>
          <w:tcPr>
            <w:tcW w:w="2128" w:type="dxa"/>
            <w:tcBorders>
              <w:top w:val="single" w:sz="5" w:space="0" w:color="000001"/>
              <w:left w:val="nil"/>
              <w:bottom w:val="single" w:sz="6" w:space="0" w:color="000001"/>
              <w:right w:val="single" w:sz="6" w:space="0" w:color="000001"/>
            </w:tcBorders>
          </w:tcPr>
          <w:p w:rsidR="00087370" w:rsidRDefault="00087370">
            <w:pPr>
              <w:spacing w:after="160" w:line="259" w:lineRule="auto"/>
              <w:ind w:left="0" w:firstLine="0"/>
            </w:pPr>
          </w:p>
        </w:tc>
        <w:tc>
          <w:tcPr>
            <w:tcW w:w="1342" w:type="dxa"/>
            <w:tcBorders>
              <w:top w:val="single" w:sz="5" w:space="0" w:color="000001"/>
              <w:left w:val="single" w:sz="6" w:space="0" w:color="000001"/>
              <w:bottom w:val="single" w:sz="6" w:space="0" w:color="000001"/>
              <w:right w:val="single" w:sz="6" w:space="0" w:color="000001"/>
            </w:tcBorders>
            <w:vAlign w:val="center"/>
          </w:tcPr>
          <w:p w:rsidR="00087370" w:rsidRDefault="003B7960">
            <w:pPr>
              <w:spacing w:after="0" w:line="259" w:lineRule="auto"/>
              <w:ind w:left="0" w:firstLine="0"/>
              <w:jc w:val="center"/>
            </w:pPr>
            <w:r>
              <w:rPr>
                <w:sz w:val="15"/>
              </w:rPr>
              <w:t>Strategy &amp; architecture</w:t>
            </w:r>
            <w:r>
              <w:rPr>
                <w:rFonts w:ascii="Calibri" w:eastAsia="Calibri" w:hAnsi="Calibri" w:cs="Calibri"/>
                <w:sz w:val="17"/>
              </w:rPr>
              <w:t xml:space="preserve"> </w:t>
            </w:r>
          </w:p>
        </w:tc>
        <w:tc>
          <w:tcPr>
            <w:tcW w:w="1362" w:type="dxa"/>
            <w:tcBorders>
              <w:top w:val="single" w:sz="5" w:space="0" w:color="000001"/>
              <w:left w:val="single" w:sz="6" w:space="0" w:color="000001"/>
              <w:bottom w:val="single" w:sz="6" w:space="0" w:color="000001"/>
              <w:right w:val="single" w:sz="6" w:space="0" w:color="000001"/>
            </w:tcBorders>
            <w:vAlign w:val="bottom"/>
          </w:tcPr>
          <w:p w:rsidR="00087370" w:rsidRDefault="003B7960">
            <w:pPr>
              <w:spacing w:after="0" w:line="259" w:lineRule="auto"/>
              <w:ind w:left="95" w:firstLine="0"/>
              <w:jc w:val="center"/>
            </w:pPr>
            <w:r>
              <w:rPr>
                <w:sz w:val="15"/>
              </w:rPr>
              <w:t>Business change</w:t>
            </w:r>
            <w:r>
              <w:rPr>
                <w:rFonts w:ascii="Calibri" w:eastAsia="Calibri" w:hAnsi="Calibri" w:cs="Calibri"/>
                <w:sz w:val="17"/>
              </w:rPr>
              <w:t xml:space="preserve"> </w:t>
            </w:r>
          </w:p>
        </w:tc>
        <w:tc>
          <w:tcPr>
            <w:tcW w:w="1387" w:type="dxa"/>
            <w:tcBorders>
              <w:top w:val="single" w:sz="5" w:space="0" w:color="000001"/>
              <w:left w:val="single" w:sz="6" w:space="0" w:color="000001"/>
              <w:bottom w:val="single" w:sz="6" w:space="0" w:color="000001"/>
              <w:right w:val="single" w:sz="6" w:space="0" w:color="000001"/>
            </w:tcBorders>
          </w:tcPr>
          <w:p w:rsidR="00087370" w:rsidRDefault="003B7960">
            <w:pPr>
              <w:spacing w:after="0" w:line="259" w:lineRule="auto"/>
              <w:ind w:left="0" w:firstLine="20"/>
              <w:jc w:val="center"/>
            </w:pPr>
            <w:r>
              <w:rPr>
                <w:sz w:val="15"/>
              </w:rPr>
              <w:t>Solution development &amp; implementation</w:t>
            </w:r>
            <w:r>
              <w:rPr>
                <w:rFonts w:ascii="Calibri" w:eastAsia="Calibri" w:hAnsi="Calibri" w:cs="Calibri"/>
                <w:sz w:val="17"/>
              </w:rPr>
              <w:t xml:space="preserve"> </w:t>
            </w:r>
          </w:p>
        </w:tc>
        <w:tc>
          <w:tcPr>
            <w:tcW w:w="1443" w:type="dxa"/>
            <w:tcBorders>
              <w:top w:val="single" w:sz="5" w:space="0" w:color="000001"/>
              <w:left w:val="single" w:sz="6" w:space="0" w:color="000001"/>
              <w:bottom w:val="single" w:sz="6" w:space="0" w:color="000001"/>
              <w:right w:val="single" w:sz="6" w:space="0" w:color="000001"/>
            </w:tcBorders>
            <w:vAlign w:val="center"/>
          </w:tcPr>
          <w:p w:rsidR="00087370" w:rsidRDefault="003B7960">
            <w:pPr>
              <w:spacing w:after="0" w:line="259" w:lineRule="auto"/>
              <w:ind w:left="67" w:firstLine="0"/>
              <w:jc w:val="center"/>
            </w:pPr>
            <w:r>
              <w:rPr>
                <w:sz w:val="15"/>
              </w:rPr>
              <w:t>Service management</w:t>
            </w:r>
            <w:r>
              <w:rPr>
                <w:rFonts w:ascii="Calibri" w:eastAsia="Calibri" w:hAnsi="Calibri" w:cs="Calibri"/>
                <w:sz w:val="17"/>
              </w:rPr>
              <w:t xml:space="preserve"> </w:t>
            </w:r>
          </w:p>
        </w:tc>
        <w:tc>
          <w:tcPr>
            <w:tcW w:w="1408" w:type="dxa"/>
            <w:tcBorders>
              <w:top w:val="single" w:sz="5" w:space="0" w:color="000001"/>
              <w:left w:val="single" w:sz="6" w:space="0" w:color="000001"/>
              <w:bottom w:val="single" w:sz="6" w:space="0" w:color="000001"/>
              <w:right w:val="single" w:sz="6" w:space="0" w:color="000001"/>
            </w:tcBorders>
          </w:tcPr>
          <w:p w:rsidR="00087370" w:rsidRDefault="003B7960">
            <w:pPr>
              <w:spacing w:after="0" w:line="259" w:lineRule="auto"/>
              <w:ind w:left="38" w:firstLine="0"/>
              <w:jc w:val="center"/>
            </w:pPr>
            <w:r>
              <w:rPr>
                <w:sz w:val="15"/>
              </w:rPr>
              <w:t>Procurement &amp; management support</w:t>
            </w:r>
            <w:r>
              <w:rPr>
                <w:rFonts w:ascii="Calibri" w:eastAsia="Calibri" w:hAnsi="Calibri" w:cs="Calibri"/>
                <w:sz w:val="17"/>
              </w:rPr>
              <w:t xml:space="preserve"> </w:t>
            </w:r>
          </w:p>
        </w:tc>
        <w:tc>
          <w:tcPr>
            <w:tcW w:w="1329" w:type="dxa"/>
            <w:tcBorders>
              <w:top w:val="single" w:sz="5" w:space="0" w:color="000001"/>
              <w:left w:val="single" w:sz="6" w:space="0" w:color="000001"/>
              <w:bottom w:val="single" w:sz="6" w:space="0" w:color="000001"/>
              <w:right w:val="single" w:sz="6" w:space="0" w:color="000001"/>
            </w:tcBorders>
            <w:vAlign w:val="bottom"/>
          </w:tcPr>
          <w:p w:rsidR="00087370" w:rsidRDefault="003B7960">
            <w:pPr>
              <w:spacing w:after="0" w:line="259" w:lineRule="auto"/>
              <w:ind w:left="95" w:firstLine="0"/>
              <w:jc w:val="center"/>
            </w:pPr>
            <w:r>
              <w:rPr>
                <w:sz w:val="15"/>
              </w:rPr>
              <w:t>Client interface</w:t>
            </w:r>
            <w:r>
              <w:rPr>
                <w:rFonts w:ascii="Calibri" w:eastAsia="Calibri" w:hAnsi="Calibri" w:cs="Calibri"/>
                <w:sz w:val="17"/>
              </w:rPr>
              <w:t xml:space="preserve"> </w:t>
            </w:r>
          </w:p>
        </w:tc>
      </w:tr>
      <w:tr w:rsidR="00087370">
        <w:trPr>
          <w:trHeight w:val="399"/>
        </w:trPr>
        <w:tc>
          <w:tcPr>
            <w:tcW w:w="2128" w:type="dxa"/>
            <w:tcBorders>
              <w:top w:val="single" w:sz="6" w:space="0" w:color="000001"/>
              <w:left w:val="nil"/>
              <w:bottom w:val="single" w:sz="6" w:space="0" w:color="000001"/>
              <w:right w:val="single" w:sz="6" w:space="0" w:color="000001"/>
            </w:tcBorders>
          </w:tcPr>
          <w:p w:rsidR="00087370" w:rsidRDefault="003B7960">
            <w:pPr>
              <w:spacing w:after="0" w:line="259" w:lineRule="auto"/>
              <w:ind w:left="0" w:firstLine="0"/>
            </w:pPr>
            <w:r>
              <w:rPr>
                <w:sz w:val="15"/>
              </w:rPr>
              <w:t xml:space="preserve">     Follow</w:t>
            </w:r>
            <w:r>
              <w:rPr>
                <w:rFonts w:ascii="Calibri" w:eastAsia="Calibri" w:hAnsi="Calibri" w:cs="Calibri"/>
                <w:sz w:val="17"/>
              </w:rPr>
              <w:t xml:space="preserve"> </w:t>
            </w:r>
          </w:p>
        </w:tc>
        <w:tc>
          <w:tcPr>
            <w:tcW w:w="134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£575.00</w:t>
            </w:r>
            <w:r>
              <w:rPr>
                <w:rFonts w:ascii="Calibri" w:eastAsia="Calibri" w:hAnsi="Calibri" w:cs="Calibri"/>
                <w:sz w:val="17"/>
              </w:rPr>
              <w:t xml:space="preserve"> </w:t>
            </w:r>
          </w:p>
        </w:tc>
        <w:tc>
          <w:tcPr>
            <w:tcW w:w="136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£575.00</w:t>
            </w:r>
            <w:r>
              <w:rPr>
                <w:rFonts w:ascii="Calibri" w:eastAsia="Calibri" w:hAnsi="Calibri" w:cs="Calibri"/>
                <w:sz w:val="17"/>
              </w:rPr>
              <w:t xml:space="preserve"> </w:t>
            </w:r>
          </w:p>
        </w:tc>
        <w:tc>
          <w:tcPr>
            <w:tcW w:w="1387"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0" w:firstLine="0"/>
              <w:jc w:val="center"/>
            </w:pPr>
            <w:r>
              <w:rPr>
                <w:sz w:val="15"/>
              </w:rPr>
              <w:t>£575.00</w:t>
            </w:r>
            <w:r>
              <w:rPr>
                <w:rFonts w:ascii="Calibri" w:eastAsia="Calibri" w:hAnsi="Calibri" w:cs="Calibri"/>
                <w:sz w:val="17"/>
              </w:rPr>
              <w:t xml:space="preserve"> </w:t>
            </w:r>
          </w:p>
        </w:tc>
        <w:tc>
          <w:tcPr>
            <w:tcW w:w="1443"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£575.00</w:t>
            </w:r>
            <w:r>
              <w:rPr>
                <w:rFonts w:ascii="Calibri" w:eastAsia="Calibri" w:hAnsi="Calibri" w:cs="Calibri"/>
                <w:sz w:val="17"/>
              </w:rPr>
              <w:t xml:space="preserve"> </w:t>
            </w:r>
          </w:p>
        </w:tc>
        <w:tc>
          <w:tcPr>
            <w:tcW w:w="1408"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£575.00</w:t>
            </w:r>
            <w:r>
              <w:rPr>
                <w:rFonts w:ascii="Calibri" w:eastAsia="Calibri" w:hAnsi="Calibri" w:cs="Calibri"/>
                <w:sz w:val="17"/>
              </w:rPr>
              <w:t xml:space="preserve"> </w:t>
            </w:r>
          </w:p>
        </w:tc>
        <w:tc>
          <w:tcPr>
            <w:tcW w:w="1329"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£575.00</w:t>
            </w:r>
            <w:r>
              <w:rPr>
                <w:rFonts w:ascii="Calibri" w:eastAsia="Calibri" w:hAnsi="Calibri" w:cs="Calibri"/>
                <w:sz w:val="17"/>
              </w:rPr>
              <w:t xml:space="preserve"> </w:t>
            </w:r>
          </w:p>
        </w:tc>
      </w:tr>
      <w:tr w:rsidR="00087370">
        <w:trPr>
          <w:trHeight w:val="398"/>
        </w:trPr>
        <w:tc>
          <w:tcPr>
            <w:tcW w:w="2128" w:type="dxa"/>
            <w:tcBorders>
              <w:top w:val="single" w:sz="6" w:space="0" w:color="000001"/>
              <w:left w:val="nil"/>
              <w:bottom w:val="single" w:sz="6" w:space="0" w:color="000001"/>
              <w:right w:val="single" w:sz="6" w:space="0" w:color="000001"/>
            </w:tcBorders>
          </w:tcPr>
          <w:p w:rsidR="00087370" w:rsidRDefault="003B7960">
            <w:pPr>
              <w:spacing w:after="0" w:line="259" w:lineRule="auto"/>
              <w:ind w:left="0" w:firstLine="0"/>
            </w:pPr>
            <w:r>
              <w:rPr>
                <w:sz w:val="15"/>
              </w:rPr>
              <w:t xml:space="preserve">     Assist</w:t>
            </w:r>
            <w:r>
              <w:rPr>
                <w:rFonts w:ascii="Calibri" w:eastAsia="Calibri" w:hAnsi="Calibri" w:cs="Calibri"/>
                <w:sz w:val="17"/>
              </w:rPr>
              <w:t xml:space="preserve"> </w:t>
            </w:r>
          </w:p>
        </w:tc>
        <w:tc>
          <w:tcPr>
            <w:tcW w:w="134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£695.00</w:t>
            </w:r>
            <w:r>
              <w:rPr>
                <w:rFonts w:ascii="Calibri" w:eastAsia="Calibri" w:hAnsi="Calibri" w:cs="Calibri"/>
                <w:sz w:val="17"/>
              </w:rPr>
              <w:t xml:space="preserve"> </w:t>
            </w:r>
          </w:p>
        </w:tc>
        <w:tc>
          <w:tcPr>
            <w:tcW w:w="136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£695.00</w:t>
            </w:r>
            <w:r>
              <w:rPr>
                <w:rFonts w:ascii="Calibri" w:eastAsia="Calibri" w:hAnsi="Calibri" w:cs="Calibri"/>
                <w:sz w:val="17"/>
              </w:rPr>
              <w:t xml:space="preserve"> </w:t>
            </w:r>
          </w:p>
        </w:tc>
        <w:tc>
          <w:tcPr>
            <w:tcW w:w="1387"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0" w:firstLine="0"/>
              <w:jc w:val="center"/>
            </w:pPr>
            <w:r>
              <w:rPr>
                <w:sz w:val="15"/>
              </w:rPr>
              <w:t>£695.00</w:t>
            </w:r>
            <w:r>
              <w:rPr>
                <w:rFonts w:ascii="Calibri" w:eastAsia="Calibri" w:hAnsi="Calibri" w:cs="Calibri"/>
                <w:sz w:val="17"/>
              </w:rPr>
              <w:t xml:space="preserve"> </w:t>
            </w:r>
          </w:p>
        </w:tc>
        <w:tc>
          <w:tcPr>
            <w:tcW w:w="1443"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£695.00</w:t>
            </w:r>
            <w:r>
              <w:rPr>
                <w:rFonts w:ascii="Calibri" w:eastAsia="Calibri" w:hAnsi="Calibri" w:cs="Calibri"/>
                <w:sz w:val="17"/>
              </w:rPr>
              <w:t xml:space="preserve"> </w:t>
            </w:r>
          </w:p>
        </w:tc>
        <w:tc>
          <w:tcPr>
            <w:tcW w:w="1408"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£695.00</w:t>
            </w:r>
            <w:r>
              <w:rPr>
                <w:rFonts w:ascii="Calibri" w:eastAsia="Calibri" w:hAnsi="Calibri" w:cs="Calibri"/>
                <w:sz w:val="17"/>
              </w:rPr>
              <w:t xml:space="preserve"> </w:t>
            </w:r>
          </w:p>
        </w:tc>
        <w:tc>
          <w:tcPr>
            <w:tcW w:w="1329"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£695.00</w:t>
            </w:r>
            <w:r>
              <w:rPr>
                <w:rFonts w:ascii="Calibri" w:eastAsia="Calibri" w:hAnsi="Calibri" w:cs="Calibri"/>
                <w:sz w:val="17"/>
              </w:rPr>
              <w:t xml:space="preserve"> </w:t>
            </w:r>
          </w:p>
        </w:tc>
      </w:tr>
      <w:tr w:rsidR="00087370">
        <w:trPr>
          <w:trHeight w:val="397"/>
        </w:trPr>
        <w:tc>
          <w:tcPr>
            <w:tcW w:w="2128" w:type="dxa"/>
            <w:tcBorders>
              <w:top w:val="single" w:sz="6" w:space="0" w:color="000001"/>
              <w:left w:val="nil"/>
              <w:bottom w:val="single" w:sz="6" w:space="0" w:color="000001"/>
              <w:right w:val="single" w:sz="6" w:space="0" w:color="000001"/>
            </w:tcBorders>
          </w:tcPr>
          <w:p w:rsidR="00087370" w:rsidRDefault="003B7960">
            <w:pPr>
              <w:spacing w:after="0" w:line="259" w:lineRule="auto"/>
              <w:ind w:left="0" w:firstLine="0"/>
            </w:pPr>
            <w:r>
              <w:rPr>
                <w:sz w:val="15"/>
              </w:rPr>
              <w:t xml:space="preserve">     Apply</w:t>
            </w:r>
            <w:r>
              <w:rPr>
                <w:rFonts w:ascii="Calibri" w:eastAsia="Calibri" w:hAnsi="Calibri" w:cs="Calibri"/>
                <w:sz w:val="17"/>
              </w:rPr>
              <w:t xml:space="preserve"> </w:t>
            </w:r>
          </w:p>
        </w:tc>
        <w:tc>
          <w:tcPr>
            <w:tcW w:w="134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£875.00</w:t>
            </w:r>
            <w:r>
              <w:rPr>
                <w:rFonts w:ascii="Calibri" w:eastAsia="Calibri" w:hAnsi="Calibri" w:cs="Calibri"/>
                <w:sz w:val="17"/>
              </w:rPr>
              <w:t xml:space="preserve"> </w:t>
            </w:r>
          </w:p>
        </w:tc>
        <w:tc>
          <w:tcPr>
            <w:tcW w:w="136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£875.00</w:t>
            </w:r>
            <w:r>
              <w:rPr>
                <w:rFonts w:ascii="Calibri" w:eastAsia="Calibri" w:hAnsi="Calibri" w:cs="Calibri"/>
                <w:sz w:val="17"/>
              </w:rPr>
              <w:t xml:space="preserve"> </w:t>
            </w:r>
          </w:p>
        </w:tc>
        <w:tc>
          <w:tcPr>
            <w:tcW w:w="1387"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0" w:firstLine="0"/>
              <w:jc w:val="center"/>
            </w:pPr>
            <w:r>
              <w:rPr>
                <w:sz w:val="15"/>
              </w:rPr>
              <w:t>£875.00</w:t>
            </w:r>
            <w:r>
              <w:rPr>
                <w:rFonts w:ascii="Calibri" w:eastAsia="Calibri" w:hAnsi="Calibri" w:cs="Calibri"/>
                <w:sz w:val="17"/>
              </w:rPr>
              <w:t xml:space="preserve"> </w:t>
            </w:r>
          </w:p>
        </w:tc>
        <w:tc>
          <w:tcPr>
            <w:tcW w:w="1443"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£875.00</w:t>
            </w:r>
            <w:r>
              <w:rPr>
                <w:rFonts w:ascii="Calibri" w:eastAsia="Calibri" w:hAnsi="Calibri" w:cs="Calibri"/>
                <w:sz w:val="17"/>
              </w:rPr>
              <w:t xml:space="preserve"> </w:t>
            </w:r>
          </w:p>
        </w:tc>
        <w:tc>
          <w:tcPr>
            <w:tcW w:w="1408"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£875.00</w:t>
            </w:r>
            <w:r>
              <w:rPr>
                <w:rFonts w:ascii="Calibri" w:eastAsia="Calibri" w:hAnsi="Calibri" w:cs="Calibri"/>
                <w:sz w:val="17"/>
              </w:rPr>
              <w:t xml:space="preserve"> </w:t>
            </w:r>
          </w:p>
        </w:tc>
        <w:tc>
          <w:tcPr>
            <w:tcW w:w="1329"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£875.00</w:t>
            </w:r>
            <w:r>
              <w:rPr>
                <w:rFonts w:ascii="Calibri" w:eastAsia="Calibri" w:hAnsi="Calibri" w:cs="Calibri"/>
                <w:sz w:val="17"/>
              </w:rPr>
              <w:t xml:space="preserve"> </w:t>
            </w:r>
          </w:p>
        </w:tc>
      </w:tr>
      <w:tr w:rsidR="00087370">
        <w:trPr>
          <w:trHeight w:val="399"/>
        </w:trPr>
        <w:tc>
          <w:tcPr>
            <w:tcW w:w="2128" w:type="dxa"/>
            <w:tcBorders>
              <w:top w:val="single" w:sz="6" w:space="0" w:color="000001"/>
              <w:left w:val="nil"/>
              <w:bottom w:val="single" w:sz="6" w:space="0" w:color="000001"/>
              <w:right w:val="single" w:sz="6" w:space="0" w:color="000001"/>
            </w:tcBorders>
          </w:tcPr>
          <w:p w:rsidR="00087370" w:rsidRDefault="003B7960">
            <w:pPr>
              <w:spacing w:after="0" w:line="259" w:lineRule="auto"/>
              <w:ind w:left="0" w:firstLine="0"/>
            </w:pPr>
            <w:r>
              <w:rPr>
                <w:sz w:val="15"/>
              </w:rPr>
              <w:t xml:space="preserve">     Enable</w:t>
            </w:r>
            <w:r>
              <w:rPr>
                <w:rFonts w:ascii="Calibri" w:eastAsia="Calibri" w:hAnsi="Calibri" w:cs="Calibri"/>
                <w:sz w:val="17"/>
              </w:rPr>
              <w:t xml:space="preserve"> </w:t>
            </w:r>
          </w:p>
        </w:tc>
        <w:tc>
          <w:tcPr>
            <w:tcW w:w="134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£920.00</w:t>
            </w:r>
            <w:r>
              <w:rPr>
                <w:rFonts w:ascii="Calibri" w:eastAsia="Calibri" w:hAnsi="Calibri" w:cs="Calibri"/>
                <w:sz w:val="17"/>
              </w:rPr>
              <w:t xml:space="preserve"> </w:t>
            </w:r>
          </w:p>
        </w:tc>
        <w:tc>
          <w:tcPr>
            <w:tcW w:w="136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£920.00</w:t>
            </w:r>
            <w:r>
              <w:rPr>
                <w:rFonts w:ascii="Calibri" w:eastAsia="Calibri" w:hAnsi="Calibri" w:cs="Calibri"/>
                <w:sz w:val="17"/>
              </w:rPr>
              <w:t xml:space="preserve"> </w:t>
            </w:r>
          </w:p>
        </w:tc>
        <w:tc>
          <w:tcPr>
            <w:tcW w:w="1387"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0" w:firstLine="0"/>
              <w:jc w:val="center"/>
            </w:pPr>
            <w:r>
              <w:rPr>
                <w:sz w:val="15"/>
              </w:rPr>
              <w:t>£920.00</w:t>
            </w:r>
            <w:r>
              <w:rPr>
                <w:rFonts w:ascii="Calibri" w:eastAsia="Calibri" w:hAnsi="Calibri" w:cs="Calibri"/>
                <w:sz w:val="17"/>
              </w:rPr>
              <w:t xml:space="preserve"> </w:t>
            </w:r>
          </w:p>
        </w:tc>
        <w:tc>
          <w:tcPr>
            <w:tcW w:w="1443"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£920.00</w:t>
            </w:r>
            <w:r>
              <w:rPr>
                <w:rFonts w:ascii="Calibri" w:eastAsia="Calibri" w:hAnsi="Calibri" w:cs="Calibri"/>
                <w:sz w:val="17"/>
              </w:rPr>
              <w:t xml:space="preserve"> </w:t>
            </w:r>
          </w:p>
        </w:tc>
        <w:tc>
          <w:tcPr>
            <w:tcW w:w="1408"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£920.00</w:t>
            </w:r>
            <w:r>
              <w:rPr>
                <w:rFonts w:ascii="Calibri" w:eastAsia="Calibri" w:hAnsi="Calibri" w:cs="Calibri"/>
                <w:sz w:val="17"/>
              </w:rPr>
              <w:t xml:space="preserve"> </w:t>
            </w:r>
          </w:p>
        </w:tc>
        <w:tc>
          <w:tcPr>
            <w:tcW w:w="1329"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£920.00</w:t>
            </w:r>
            <w:r>
              <w:rPr>
                <w:rFonts w:ascii="Calibri" w:eastAsia="Calibri" w:hAnsi="Calibri" w:cs="Calibri"/>
                <w:sz w:val="17"/>
              </w:rPr>
              <w:t xml:space="preserve"> </w:t>
            </w:r>
          </w:p>
        </w:tc>
      </w:tr>
      <w:tr w:rsidR="00087370">
        <w:trPr>
          <w:trHeight w:val="398"/>
        </w:trPr>
        <w:tc>
          <w:tcPr>
            <w:tcW w:w="2128" w:type="dxa"/>
            <w:tcBorders>
              <w:top w:val="single" w:sz="6" w:space="0" w:color="000001"/>
              <w:left w:val="nil"/>
              <w:bottom w:val="single" w:sz="6" w:space="0" w:color="000001"/>
              <w:right w:val="single" w:sz="6" w:space="0" w:color="000001"/>
            </w:tcBorders>
          </w:tcPr>
          <w:p w:rsidR="00087370" w:rsidRDefault="003B7960">
            <w:pPr>
              <w:spacing w:after="0" w:line="259" w:lineRule="auto"/>
              <w:ind w:left="0" w:firstLine="0"/>
            </w:pPr>
            <w:r>
              <w:rPr>
                <w:sz w:val="15"/>
              </w:rPr>
              <w:t xml:space="preserve">     Ensure/Advise</w:t>
            </w:r>
            <w:r>
              <w:rPr>
                <w:rFonts w:ascii="Calibri" w:eastAsia="Calibri" w:hAnsi="Calibri" w:cs="Calibri"/>
                <w:sz w:val="17"/>
              </w:rPr>
              <w:t xml:space="preserve"> </w:t>
            </w:r>
          </w:p>
        </w:tc>
        <w:tc>
          <w:tcPr>
            <w:tcW w:w="134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£975.00</w:t>
            </w:r>
            <w:r>
              <w:rPr>
                <w:rFonts w:ascii="Calibri" w:eastAsia="Calibri" w:hAnsi="Calibri" w:cs="Calibri"/>
                <w:sz w:val="17"/>
              </w:rPr>
              <w:t xml:space="preserve"> </w:t>
            </w:r>
          </w:p>
        </w:tc>
        <w:tc>
          <w:tcPr>
            <w:tcW w:w="136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£975.00</w:t>
            </w:r>
            <w:r>
              <w:rPr>
                <w:rFonts w:ascii="Calibri" w:eastAsia="Calibri" w:hAnsi="Calibri" w:cs="Calibri"/>
                <w:sz w:val="17"/>
              </w:rPr>
              <w:t xml:space="preserve"> </w:t>
            </w:r>
          </w:p>
        </w:tc>
        <w:tc>
          <w:tcPr>
            <w:tcW w:w="1387"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0" w:firstLine="0"/>
              <w:jc w:val="center"/>
            </w:pPr>
            <w:r>
              <w:rPr>
                <w:sz w:val="15"/>
              </w:rPr>
              <w:t>£975.00</w:t>
            </w:r>
            <w:r>
              <w:rPr>
                <w:rFonts w:ascii="Calibri" w:eastAsia="Calibri" w:hAnsi="Calibri" w:cs="Calibri"/>
                <w:sz w:val="17"/>
              </w:rPr>
              <w:t xml:space="preserve"> </w:t>
            </w:r>
          </w:p>
        </w:tc>
        <w:tc>
          <w:tcPr>
            <w:tcW w:w="1443"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£975.00</w:t>
            </w:r>
            <w:r>
              <w:rPr>
                <w:rFonts w:ascii="Calibri" w:eastAsia="Calibri" w:hAnsi="Calibri" w:cs="Calibri"/>
                <w:sz w:val="17"/>
              </w:rPr>
              <w:t xml:space="preserve"> </w:t>
            </w:r>
          </w:p>
        </w:tc>
        <w:tc>
          <w:tcPr>
            <w:tcW w:w="1408"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2" w:firstLine="0"/>
              <w:jc w:val="center"/>
            </w:pPr>
            <w:r>
              <w:rPr>
                <w:sz w:val="15"/>
              </w:rPr>
              <w:t>£975.00</w:t>
            </w:r>
            <w:r>
              <w:rPr>
                <w:rFonts w:ascii="Calibri" w:eastAsia="Calibri" w:hAnsi="Calibri" w:cs="Calibri"/>
                <w:sz w:val="17"/>
              </w:rPr>
              <w:t xml:space="preserve"> </w:t>
            </w:r>
          </w:p>
        </w:tc>
        <w:tc>
          <w:tcPr>
            <w:tcW w:w="1329"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£975.00</w:t>
            </w:r>
            <w:r>
              <w:rPr>
                <w:rFonts w:ascii="Calibri" w:eastAsia="Calibri" w:hAnsi="Calibri" w:cs="Calibri"/>
                <w:sz w:val="17"/>
              </w:rPr>
              <w:t xml:space="preserve"> </w:t>
            </w:r>
          </w:p>
        </w:tc>
      </w:tr>
      <w:tr w:rsidR="00087370">
        <w:trPr>
          <w:trHeight w:val="399"/>
        </w:trPr>
        <w:tc>
          <w:tcPr>
            <w:tcW w:w="2128" w:type="dxa"/>
            <w:tcBorders>
              <w:top w:val="single" w:sz="6" w:space="0" w:color="000001"/>
              <w:left w:val="nil"/>
              <w:bottom w:val="single" w:sz="6" w:space="0" w:color="000001"/>
              <w:right w:val="single" w:sz="6" w:space="0" w:color="000001"/>
            </w:tcBorders>
          </w:tcPr>
          <w:p w:rsidR="00087370" w:rsidRDefault="003B7960">
            <w:pPr>
              <w:spacing w:after="0" w:line="259" w:lineRule="auto"/>
              <w:ind w:left="0" w:firstLine="0"/>
            </w:pPr>
            <w:r>
              <w:rPr>
                <w:sz w:val="15"/>
              </w:rPr>
              <w:t xml:space="preserve">     Initiate/Influence</w:t>
            </w:r>
            <w:r>
              <w:rPr>
                <w:rFonts w:ascii="Calibri" w:eastAsia="Calibri" w:hAnsi="Calibri" w:cs="Calibri"/>
                <w:sz w:val="17"/>
              </w:rPr>
              <w:t xml:space="preserve"> </w:t>
            </w:r>
          </w:p>
        </w:tc>
        <w:tc>
          <w:tcPr>
            <w:tcW w:w="134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1" w:firstLine="0"/>
              <w:jc w:val="center"/>
            </w:pPr>
            <w:r>
              <w:rPr>
                <w:sz w:val="15"/>
              </w:rPr>
              <w:t>£1,025.00</w:t>
            </w:r>
            <w:r>
              <w:rPr>
                <w:rFonts w:ascii="Calibri" w:eastAsia="Calibri" w:hAnsi="Calibri" w:cs="Calibri"/>
                <w:sz w:val="17"/>
              </w:rPr>
              <w:t xml:space="preserve"> </w:t>
            </w:r>
          </w:p>
        </w:tc>
        <w:tc>
          <w:tcPr>
            <w:tcW w:w="136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£1,025.00</w:t>
            </w:r>
            <w:r>
              <w:rPr>
                <w:rFonts w:ascii="Calibri" w:eastAsia="Calibri" w:hAnsi="Calibri" w:cs="Calibri"/>
                <w:sz w:val="17"/>
              </w:rPr>
              <w:t xml:space="preserve"> </w:t>
            </w:r>
          </w:p>
        </w:tc>
        <w:tc>
          <w:tcPr>
            <w:tcW w:w="1387"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0" w:firstLine="0"/>
              <w:jc w:val="center"/>
            </w:pPr>
            <w:r>
              <w:rPr>
                <w:sz w:val="15"/>
              </w:rPr>
              <w:t>£1,025.00</w:t>
            </w:r>
            <w:r>
              <w:rPr>
                <w:rFonts w:ascii="Calibri" w:eastAsia="Calibri" w:hAnsi="Calibri" w:cs="Calibri"/>
                <w:sz w:val="17"/>
              </w:rPr>
              <w:t xml:space="preserve"> </w:t>
            </w:r>
          </w:p>
        </w:tc>
        <w:tc>
          <w:tcPr>
            <w:tcW w:w="1443"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£1,025.00</w:t>
            </w:r>
            <w:r>
              <w:rPr>
                <w:rFonts w:ascii="Calibri" w:eastAsia="Calibri" w:hAnsi="Calibri" w:cs="Calibri"/>
                <w:sz w:val="17"/>
              </w:rPr>
              <w:t xml:space="preserve"> </w:t>
            </w:r>
          </w:p>
        </w:tc>
        <w:tc>
          <w:tcPr>
            <w:tcW w:w="1408"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1" w:firstLine="0"/>
              <w:jc w:val="center"/>
            </w:pPr>
            <w:r>
              <w:rPr>
                <w:sz w:val="15"/>
              </w:rPr>
              <w:t>£1,025.00</w:t>
            </w:r>
            <w:r>
              <w:rPr>
                <w:rFonts w:ascii="Calibri" w:eastAsia="Calibri" w:hAnsi="Calibri" w:cs="Calibri"/>
                <w:sz w:val="17"/>
              </w:rPr>
              <w:t xml:space="preserve"> </w:t>
            </w:r>
          </w:p>
        </w:tc>
        <w:tc>
          <w:tcPr>
            <w:tcW w:w="1329"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£1,025.00</w:t>
            </w:r>
            <w:r>
              <w:rPr>
                <w:rFonts w:ascii="Calibri" w:eastAsia="Calibri" w:hAnsi="Calibri" w:cs="Calibri"/>
                <w:sz w:val="17"/>
              </w:rPr>
              <w:t xml:space="preserve"> </w:t>
            </w:r>
          </w:p>
        </w:tc>
      </w:tr>
      <w:tr w:rsidR="00087370">
        <w:trPr>
          <w:trHeight w:val="399"/>
        </w:trPr>
        <w:tc>
          <w:tcPr>
            <w:tcW w:w="2128" w:type="dxa"/>
            <w:tcBorders>
              <w:top w:val="single" w:sz="6" w:space="0" w:color="000001"/>
              <w:left w:val="nil"/>
              <w:bottom w:val="single" w:sz="6" w:space="0" w:color="000001"/>
              <w:right w:val="single" w:sz="6" w:space="0" w:color="000001"/>
            </w:tcBorders>
          </w:tcPr>
          <w:p w:rsidR="00087370" w:rsidRDefault="003B7960">
            <w:pPr>
              <w:spacing w:after="0" w:line="259" w:lineRule="auto"/>
              <w:ind w:left="0" w:firstLine="0"/>
            </w:pPr>
            <w:r>
              <w:rPr>
                <w:sz w:val="15"/>
              </w:rPr>
              <w:t xml:space="preserve">     Set Strategy/Inspire</w:t>
            </w:r>
            <w:r>
              <w:rPr>
                <w:rFonts w:ascii="Calibri" w:eastAsia="Calibri" w:hAnsi="Calibri" w:cs="Calibri"/>
                <w:sz w:val="17"/>
              </w:rPr>
              <w:t xml:space="preserve"> </w:t>
            </w:r>
          </w:p>
        </w:tc>
        <w:tc>
          <w:tcPr>
            <w:tcW w:w="134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1" w:firstLine="0"/>
              <w:jc w:val="center"/>
            </w:pPr>
            <w:r>
              <w:rPr>
                <w:sz w:val="15"/>
              </w:rPr>
              <w:t>£1,075.00</w:t>
            </w:r>
            <w:r>
              <w:rPr>
                <w:rFonts w:ascii="Calibri" w:eastAsia="Calibri" w:hAnsi="Calibri" w:cs="Calibri"/>
                <w:sz w:val="17"/>
              </w:rPr>
              <w:t xml:space="preserve"> </w:t>
            </w:r>
          </w:p>
        </w:tc>
        <w:tc>
          <w:tcPr>
            <w:tcW w:w="1362"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£1,075.00</w:t>
            </w:r>
            <w:r>
              <w:rPr>
                <w:rFonts w:ascii="Calibri" w:eastAsia="Calibri" w:hAnsi="Calibri" w:cs="Calibri"/>
                <w:sz w:val="17"/>
              </w:rPr>
              <w:t xml:space="preserve"> </w:t>
            </w:r>
          </w:p>
        </w:tc>
        <w:tc>
          <w:tcPr>
            <w:tcW w:w="1387"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0" w:firstLine="0"/>
              <w:jc w:val="center"/>
            </w:pPr>
            <w:r>
              <w:rPr>
                <w:sz w:val="15"/>
              </w:rPr>
              <w:t>£1,075.00</w:t>
            </w:r>
            <w:r>
              <w:rPr>
                <w:rFonts w:ascii="Calibri" w:eastAsia="Calibri" w:hAnsi="Calibri" w:cs="Calibri"/>
                <w:sz w:val="17"/>
              </w:rPr>
              <w:t xml:space="preserve"> </w:t>
            </w:r>
          </w:p>
        </w:tc>
        <w:tc>
          <w:tcPr>
            <w:tcW w:w="1443"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£1,075.00</w:t>
            </w:r>
            <w:r>
              <w:rPr>
                <w:rFonts w:ascii="Calibri" w:eastAsia="Calibri" w:hAnsi="Calibri" w:cs="Calibri"/>
                <w:sz w:val="17"/>
              </w:rPr>
              <w:t xml:space="preserve"> </w:t>
            </w:r>
          </w:p>
        </w:tc>
        <w:tc>
          <w:tcPr>
            <w:tcW w:w="1408"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1" w:firstLine="0"/>
              <w:jc w:val="center"/>
            </w:pPr>
            <w:r>
              <w:rPr>
                <w:sz w:val="15"/>
              </w:rPr>
              <w:t>£1,075.00</w:t>
            </w:r>
            <w:r>
              <w:rPr>
                <w:rFonts w:ascii="Calibri" w:eastAsia="Calibri" w:hAnsi="Calibri" w:cs="Calibri"/>
                <w:sz w:val="17"/>
              </w:rPr>
              <w:t xml:space="preserve"> </w:t>
            </w:r>
          </w:p>
        </w:tc>
        <w:tc>
          <w:tcPr>
            <w:tcW w:w="1329" w:type="dxa"/>
            <w:tcBorders>
              <w:top w:val="single" w:sz="6" w:space="0" w:color="000001"/>
              <w:left w:val="single" w:sz="6" w:space="0" w:color="000001"/>
              <w:bottom w:val="single" w:sz="6" w:space="0" w:color="000001"/>
              <w:right w:val="single" w:sz="6" w:space="0" w:color="000001"/>
            </w:tcBorders>
          </w:tcPr>
          <w:p w:rsidR="00087370" w:rsidRDefault="003B7960">
            <w:pPr>
              <w:spacing w:after="0" w:line="259" w:lineRule="auto"/>
              <w:ind w:left="93" w:firstLine="0"/>
              <w:jc w:val="center"/>
            </w:pPr>
            <w:r>
              <w:rPr>
                <w:sz w:val="15"/>
              </w:rPr>
              <w:t>£1,075.00</w:t>
            </w:r>
            <w:r>
              <w:rPr>
                <w:rFonts w:ascii="Calibri" w:eastAsia="Calibri" w:hAnsi="Calibri" w:cs="Calibri"/>
                <w:sz w:val="17"/>
              </w:rPr>
              <w:t xml:space="preserve"> </w:t>
            </w:r>
          </w:p>
        </w:tc>
      </w:tr>
    </w:tbl>
    <w:p w:rsidR="00087370" w:rsidRDefault="003B7960">
      <w:pPr>
        <w:spacing w:after="181" w:line="259" w:lineRule="auto"/>
        <w:ind w:left="-5" w:right="10646"/>
      </w:pPr>
      <w:r>
        <w:rPr>
          <w:sz w:val="15"/>
        </w:rPr>
        <w:t>.</w:t>
      </w:r>
    </w:p>
    <w:p w:rsidR="00087370" w:rsidRDefault="003B7960">
      <w:pPr>
        <w:spacing w:after="181" w:line="259" w:lineRule="auto"/>
        <w:ind w:left="-5" w:right="10646"/>
      </w:pPr>
      <w:r>
        <w:rPr>
          <w:sz w:val="15"/>
        </w:rPr>
        <w:t>.</w:t>
      </w:r>
    </w:p>
    <w:p w:rsidR="00087370" w:rsidRDefault="003B7960">
      <w:pPr>
        <w:spacing w:after="181" w:line="259" w:lineRule="auto"/>
        <w:ind w:left="-5" w:right="10646"/>
      </w:pPr>
      <w:r>
        <w:rPr>
          <w:sz w:val="15"/>
        </w:rPr>
        <w:t>.</w:t>
      </w:r>
    </w:p>
    <w:p w:rsidR="00087370" w:rsidRDefault="003B7960">
      <w:pPr>
        <w:spacing w:after="181" w:line="259" w:lineRule="auto"/>
        <w:ind w:left="-5" w:right="10646"/>
      </w:pPr>
      <w:r>
        <w:rPr>
          <w:sz w:val="15"/>
        </w:rPr>
        <w:t>.</w:t>
      </w:r>
    </w:p>
    <w:p w:rsidR="00087370" w:rsidRDefault="003B7960">
      <w:pPr>
        <w:spacing w:after="181" w:line="259" w:lineRule="auto"/>
        <w:ind w:left="-5" w:right="10646"/>
      </w:pPr>
      <w:r>
        <w:rPr>
          <w:sz w:val="15"/>
        </w:rPr>
        <w:t>.</w:t>
      </w:r>
    </w:p>
    <w:p w:rsidR="00087370" w:rsidRDefault="003B7960">
      <w:pPr>
        <w:spacing w:after="181" w:line="259" w:lineRule="auto"/>
        <w:ind w:left="-5" w:right="10646"/>
      </w:pPr>
      <w:r>
        <w:rPr>
          <w:sz w:val="15"/>
        </w:rPr>
        <w:t>.</w:t>
      </w:r>
    </w:p>
    <w:p w:rsidR="00087370" w:rsidRDefault="003B7960">
      <w:pPr>
        <w:spacing w:after="0" w:line="473" w:lineRule="auto"/>
        <w:ind w:left="-5" w:right="10646"/>
      </w:pPr>
      <w:r>
        <w:rPr>
          <w:sz w:val="15"/>
        </w:rPr>
        <w:t xml:space="preserve">. </w:t>
      </w:r>
      <w:r>
        <w:rPr>
          <w:rFonts w:ascii="Calibri" w:eastAsia="Calibri" w:hAnsi="Calibri" w:cs="Calibri"/>
          <w:sz w:val="17"/>
        </w:rPr>
        <w:t xml:space="preserve"> </w:t>
      </w:r>
    </w:p>
    <w:p w:rsidR="00087370" w:rsidRDefault="003B7960">
      <w:pPr>
        <w:spacing w:after="0" w:line="259" w:lineRule="auto"/>
        <w:ind w:left="0" w:firstLine="0"/>
        <w:jc w:val="right"/>
      </w:pPr>
      <w:r>
        <w:t xml:space="preserve"> </w:t>
      </w:r>
    </w:p>
    <w:p w:rsidR="00087370" w:rsidRDefault="003B7960">
      <w:pPr>
        <w:spacing w:after="8"/>
        <w:ind w:left="736" w:right="5" w:hanging="360"/>
      </w:pPr>
      <w:r>
        <w:rPr>
          <w:rFonts w:ascii="Segoe UI Symbol" w:eastAsia="Segoe UI Symbol" w:hAnsi="Segoe UI Symbol" w:cs="Segoe UI Symbol"/>
        </w:rPr>
        <w:t>•</w:t>
      </w:r>
      <w:r>
        <w:rPr>
          <w:rFonts w:ascii="Arial" w:eastAsia="Arial" w:hAnsi="Arial" w:cs="Arial"/>
        </w:rPr>
        <w:t xml:space="preserve"> </w:t>
      </w:r>
      <w:r>
        <w:t xml:space="preserve">The costs above represent the standard SFIA rate card submitted as part of the G Cloud 10 submission and is for guidelines only and not to be exceeded. </w:t>
      </w:r>
    </w:p>
    <w:p w:rsidR="00087370" w:rsidRDefault="003B7960">
      <w:pPr>
        <w:spacing w:after="13"/>
        <w:ind w:left="747" w:right="5"/>
      </w:pPr>
      <w:r>
        <w:t xml:space="preserve">The rate agreed under the call off contract is £820.00 per day across the skills required. </w:t>
      </w:r>
    </w:p>
    <w:p w:rsidR="00087370" w:rsidRDefault="003B7960">
      <w:pPr>
        <w:spacing w:after="19" w:line="259" w:lineRule="auto"/>
        <w:ind w:left="16" w:firstLine="0"/>
      </w:pPr>
      <w:r>
        <w:t xml:space="preserve"> </w:t>
      </w:r>
    </w:p>
    <w:p w:rsidR="00087370" w:rsidRDefault="003B7960">
      <w:pPr>
        <w:pStyle w:val="Heading1"/>
        <w:spacing w:after="13"/>
        <w:ind w:left="11" w:right="5"/>
      </w:pPr>
      <w:bookmarkStart w:id="3" w:name="_Toc72194"/>
      <w:r>
        <w:t xml:space="preserve">Part B - Terms and conditions </w:t>
      </w:r>
      <w:bookmarkEnd w:id="3"/>
    </w:p>
    <w:p w:rsidR="00087370" w:rsidRDefault="003B7960">
      <w:pPr>
        <w:spacing w:after="19" w:line="259" w:lineRule="auto"/>
        <w:ind w:left="16" w:firstLine="0"/>
      </w:pPr>
      <w:r>
        <w:t xml:space="preserve"> </w:t>
      </w:r>
    </w:p>
    <w:p w:rsidR="00087370" w:rsidRDefault="003B7960">
      <w:pPr>
        <w:numPr>
          <w:ilvl w:val="0"/>
          <w:numId w:val="3"/>
        </w:numPr>
        <w:ind w:right="5" w:hanging="238"/>
      </w:pPr>
      <w:r>
        <w:t xml:space="preserve">Call-Off Contract start date and length </w:t>
      </w:r>
    </w:p>
    <w:p w:rsidR="00087370" w:rsidRDefault="003B7960">
      <w:pPr>
        <w:numPr>
          <w:ilvl w:val="1"/>
          <w:numId w:val="3"/>
        </w:numPr>
        <w:spacing w:after="51"/>
        <w:ind w:right="5" w:hanging="725"/>
      </w:pPr>
      <w:r>
        <w:t xml:space="preserve">The Supplier must start providing the Services on the date specified in the Order Form. </w:t>
      </w:r>
    </w:p>
    <w:p w:rsidR="00087370" w:rsidRDefault="003B7960">
      <w:pPr>
        <w:numPr>
          <w:ilvl w:val="1"/>
          <w:numId w:val="3"/>
        </w:numPr>
        <w:spacing w:after="48"/>
        <w:ind w:right="5" w:hanging="725"/>
      </w:pPr>
      <w:r>
        <w:t xml:space="preserve">This Call-Off Contract will expire on the Expiry Date in the Order Form. It will be for up to 24 months from the Start Date unless Ended earlier under clause 18 or extended by the Buyer under clause 1.3. </w:t>
      </w:r>
    </w:p>
    <w:p w:rsidR="00087370" w:rsidRDefault="003B7960">
      <w:pPr>
        <w:numPr>
          <w:ilvl w:val="1"/>
          <w:numId w:val="3"/>
        </w:numPr>
        <w:ind w:right="5" w:hanging="725"/>
      </w:pPr>
      <w:r>
        <w:t xml:space="preserve">The Buyer can extend this Call-Off Contract, with written notice to the Supplier, by the period in the Order Form, </w:t>
      </w:r>
      <w:proofErr w:type="gramStart"/>
      <w:r>
        <w:t>as long as</w:t>
      </w:r>
      <w:proofErr w:type="gramEnd"/>
      <w:r>
        <w:t xml:space="preserve"> this is within the maximum permitted under the Framework Agreement of 2 periods of up to 12 months each. </w:t>
      </w:r>
    </w:p>
    <w:p w:rsidR="00087370" w:rsidRDefault="003B7960">
      <w:pPr>
        <w:numPr>
          <w:ilvl w:val="1"/>
          <w:numId w:val="3"/>
        </w:numPr>
        <w:spacing w:after="205"/>
        <w:ind w:right="5" w:hanging="725"/>
      </w:pPr>
      <w:r>
        <w:lastRenderedPageBreak/>
        <w:t xml:space="preserve">The Parties must comply with the requirements under clauses 21.3 to 1.8 if the Buyer reserves the right in the Order Form to extend the contract beyond 24 months. </w:t>
      </w:r>
    </w:p>
    <w:p w:rsidR="00087370" w:rsidRDefault="003B7960">
      <w:pPr>
        <w:numPr>
          <w:ilvl w:val="0"/>
          <w:numId w:val="3"/>
        </w:numPr>
        <w:ind w:right="5" w:hanging="238"/>
      </w:pPr>
      <w:r>
        <w:t xml:space="preserve">Incorporation of terms </w:t>
      </w:r>
    </w:p>
    <w:p w:rsidR="00087370" w:rsidRDefault="003B7960">
      <w:pPr>
        <w:numPr>
          <w:ilvl w:val="1"/>
          <w:numId w:val="3"/>
        </w:numPr>
        <w:spacing w:after="7"/>
        <w:ind w:right="5" w:hanging="725"/>
      </w:pPr>
      <w:r>
        <w:t xml:space="preserve">The following Framework Agreement clauses (including clauses and defined terms referenced by them) as modified under clause 2.2 are incorporated as separate Call-Off Contract obligations and apply between the Supplier and the Buyer: </w:t>
      </w:r>
    </w:p>
    <w:p w:rsidR="00087370" w:rsidRDefault="003B7960">
      <w:pPr>
        <w:spacing w:after="61" w:line="259" w:lineRule="auto"/>
        <w:ind w:left="737" w:firstLine="0"/>
      </w:pPr>
      <w:r>
        <w:t xml:space="preserve"> </w:t>
      </w:r>
    </w:p>
    <w:p w:rsidR="00087370" w:rsidRDefault="003B7960">
      <w:pPr>
        <w:numPr>
          <w:ilvl w:val="2"/>
          <w:numId w:val="3"/>
        </w:numPr>
        <w:spacing w:after="50"/>
        <w:ind w:right="5" w:hanging="408"/>
      </w:pPr>
      <w:r>
        <w:t xml:space="preserve">4.1 (Warranties and representations)  </w:t>
      </w:r>
    </w:p>
    <w:p w:rsidR="00087370" w:rsidRDefault="003B7960">
      <w:pPr>
        <w:numPr>
          <w:ilvl w:val="2"/>
          <w:numId w:val="3"/>
        </w:numPr>
        <w:ind w:right="5" w:hanging="408"/>
      </w:pPr>
      <w:r>
        <w:t xml:space="preserve">4.2 to 4.7 (Liability)  </w:t>
      </w:r>
    </w:p>
    <w:p w:rsidR="00087370" w:rsidRDefault="00087370">
      <w:pPr>
        <w:sectPr w:rsidR="00087370">
          <w:headerReference w:type="default" r:id="rId8"/>
          <w:footerReference w:type="even" r:id="rId9"/>
          <w:footerReference w:type="default" r:id="rId10"/>
          <w:footerReference w:type="first" r:id="rId11"/>
          <w:pgSz w:w="11906" w:h="16838"/>
          <w:pgMar w:top="965" w:right="502" w:bottom="2249" w:left="690" w:header="720" w:footer="945" w:gutter="0"/>
          <w:cols w:space="720"/>
        </w:sectPr>
      </w:pPr>
    </w:p>
    <w:p w:rsidR="00087370" w:rsidRDefault="003B7960">
      <w:pPr>
        <w:numPr>
          <w:ilvl w:val="2"/>
          <w:numId w:val="3"/>
        </w:numPr>
        <w:spacing w:after="53"/>
        <w:ind w:right="5" w:hanging="408"/>
      </w:pPr>
      <w:r>
        <w:lastRenderedPageBreak/>
        <w:t xml:space="preserve">4.11 to 4.12 (IR35) </w:t>
      </w:r>
    </w:p>
    <w:p w:rsidR="00087370" w:rsidRDefault="003B7960">
      <w:pPr>
        <w:numPr>
          <w:ilvl w:val="2"/>
          <w:numId w:val="3"/>
        </w:numPr>
        <w:spacing w:after="51"/>
        <w:ind w:right="5" w:hanging="408"/>
      </w:pPr>
      <w:r>
        <w:t xml:space="preserve">5.2 to 5.3 (Force majeure) </w:t>
      </w:r>
    </w:p>
    <w:p w:rsidR="00087370" w:rsidRDefault="003B7960">
      <w:pPr>
        <w:numPr>
          <w:ilvl w:val="2"/>
          <w:numId w:val="3"/>
        </w:numPr>
        <w:spacing w:after="51"/>
        <w:ind w:right="5" w:hanging="408"/>
      </w:pPr>
      <w:r>
        <w:t xml:space="preserve">5.6 (Continuing rights)  </w:t>
      </w:r>
    </w:p>
    <w:p w:rsidR="00087370" w:rsidRDefault="003B7960">
      <w:pPr>
        <w:numPr>
          <w:ilvl w:val="2"/>
          <w:numId w:val="3"/>
        </w:numPr>
        <w:spacing w:after="52"/>
        <w:ind w:right="5" w:hanging="408"/>
      </w:pPr>
      <w:r>
        <w:t xml:space="preserve">5.7 to 5.9 (Change of control)  </w:t>
      </w:r>
    </w:p>
    <w:p w:rsidR="00087370" w:rsidRDefault="003B7960">
      <w:pPr>
        <w:numPr>
          <w:ilvl w:val="2"/>
          <w:numId w:val="3"/>
        </w:numPr>
        <w:spacing w:after="51"/>
        <w:ind w:right="5" w:hanging="408"/>
      </w:pPr>
      <w:r>
        <w:t xml:space="preserve">5.10 (Fraud) </w:t>
      </w:r>
    </w:p>
    <w:p w:rsidR="00087370" w:rsidRDefault="003B7960">
      <w:pPr>
        <w:numPr>
          <w:ilvl w:val="2"/>
          <w:numId w:val="3"/>
        </w:numPr>
        <w:spacing w:after="53"/>
        <w:ind w:right="5" w:hanging="408"/>
      </w:pPr>
      <w:r>
        <w:t xml:space="preserve">5.11 (Notice of fraud) </w:t>
      </w:r>
    </w:p>
    <w:p w:rsidR="00087370" w:rsidRDefault="003B7960">
      <w:pPr>
        <w:numPr>
          <w:ilvl w:val="2"/>
          <w:numId w:val="3"/>
        </w:numPr>
        <w:spacing w:after="51"/>
        <w:ind w:right="5" w:hanging="408"/>
      </w:pPr>
      <w:r>
        <w:t xml:space="preserve">7.1 to 7.2 (Transparency) </w:t>
      </w:r>
    </w:p>
    <w:p w:rsidR="00087370" w:rsidRDefault="003B7960">
      <w:pPr>
        <w:numPr>
          <w:ilvl w:val="2"/>
          <w:numId w:val="3"/>
        </w:numPr>
        <w:spacing w:after="53"/>
        <w:ind w:right="5" w:hanging="408"/>
      </w:pPr>
      <w:r>
        <w:t xml:space="preserve">8.3 (Order of precedence) </w:t>
      </w:r>
    </w:p>
    <w:p w:rsidR="00087370" w:rsidRDefault="003B7960">
      <w:pPr>
        <w:numPr>
          <w:ilvl w:val="2"/>
          <w:numId w:val="3"/>
        </w:numPr>
        <w:spacing w:after="51"/>
        <w:ind w:right="5" w:hanging="408"/>
      </w:pPr>
      <w:r>
        <w:t xml:space="preserve">8.4 (Relationship) </w:t>
      </w:r>
    </w:p>
    <w:p w:rsidR="00087370" w:rsidRDefault="003B7960">
      <w:pPr>
        <w:numPr>
          <w:ilvl w:val="2"/>
          <w:numId w:val="3"/>
        </w:numPr>
        <w:spacing w:after="53"/>
        <w:ind w:right="5" w:hanging="408"/>
      </w:pPr>
      <w:r>
        <w:t xml:space="preserve">8.7 to 8.9 (Entire agreement) </w:t>
      </w:r>
    </w:p>
    <w:p w:rsidR="00087370" w:rsidRDefault="003B7960">
      <w:pPr>
        <w:numPr>
          <w:ilvl w:val="2"/>
          <w:numId w:val="3"/>
        </w:numPr>
        <w:spacing w:after="51"/>
        <w:ind w:right="5" w:hanging="408"/>
      </w:pPr>
      <w:r>
        <w:t xml:space="preserve">8.10 (Law and jurisdiction) </w:t>
      </w:r>
    </w:p>
    <w:p w:rsidR="00087370" w:rsidRDefault="003B7960">
      <w:pPr>
        <w:numPr>
          <w:ilvl w:val="2"/>
          <w:numId w:val="3"/>
        </w:numPr>
        <w:spacing w:after="51"/>
        <w:ind w:right="5" w:hanging="408"/>
      </w:pPr>
      <w:r>
        <w:t xml:space="preserve">8.11 to 8.12 (Legislative change) </w:t>
      </w:r>
    </w:p>
    <w:p w:rsidR="00087370" w:rsidRDefault="003B7960">
      <w:pPr>
        <w:numPr>
          <w:ilvl w:val="2"/>
          <w:numId w:val="3"/>
        </w:numPr>
        <w:spacing w:after="53"/>
        <w:ind w:right="5" w:hanging="408"/>
      </w:pPr>
      <w:r>
        <w:t xml:space="preserve">8.13 to 8.17 (Bribery and corruption) </w:t>
      </w:r>
    </w:p>
    <w:p w:rsidR="00087370" w:rsidRDefault="003B7960">
      <w:pPr>
        <w:numPr>
          <w:ilvl w:val="2"/>
          <w:numId w:val="3"/>
        </w:numPr>
        <w:spacing w:after="51"/>
        <w:ind w:right="5" w:hanging="408"/>
      </w:pPr>
      <w:r>
        <w:t xml:space="preserve">8.18 to 8.27 (Freedom of Information Act) </w:t>
      </w:r>
    </w:p>
    <w:p w:rsidR="00087370" w:rsidRDefault="003B7960">
      <w:pPr>
        <w:numPr>
          <w:ilvl w:val="2"/>
          <w:numId w:val="3"/>
        </w:numPr>
        <w:spacing w:after="53"/>
        <w:ind w:right="5" w:hanging="408"/>
      </w:pPr>
      <w:r>
        <w:t xml:space="preserve">8.28 to 8.29 (Promoting tax compliance)  </w:t>
      </w:r>
    </w:p>
    <w:p w:rsidR="00087370" w:rsidRDefault="003B7960">
      <w:pPr>
        <w:numPr>
          <w:ilvl w:val="2"/>
          <w:numId w:val="3"/>
        </w:numPr>
        <w:spacing w:after="51"/>
        <w:ind w:right="5" w:hanging="408"/>
      </w:pPr>
      <w:r>
        <w:t xml:space="preserve">8.30 to 8.31 (Official Secrets Act) </w:t>
      </w:r>
    </w:p>
    <w:p w:rsidR="00087370" w:rsidRDefault="003B7960">
      <w:pPr>
        <w:numPr>
          <w:ilvl w:val="2"/>
          <w:numId w:val="3"/>
        </w:numPr>
        <w:spacing w:after="53"/>
        <w:ind w:right="5" w:hanging="408"/>
      </w:pPr>
      <w:r>
        <w:t xml:space="preserve">8.32 to 8.35 (Transfer and subcontracting) </w:t>
      </w:r>
    </w:p>
    <w:p w:rsidR="00087370" w:rsidRDefault="003B7960">
      <w:pPr>
        <w:numPr>
          <w:ilvl w:val="2"/>
          <w:numId w:val="3"/>
        </w:numPr>
        <w:spacing w:after="51"/>
        <w:ind w:right="5" w:hanging="408"/>
      </w:pPr>
      <w:r>
        <w:t xml:space="preserve">8.38 to 8.41 (Complaints handling and resolution) </w:t>
      </w:r>
    </w:p>
    <w:p w:rsidR="00087370" w:rsidRDefault="003B7960">
      <w:pPr>
        <w:numPr>
          <w:ilvl w:val="2"/>
          <w:numId w:val="3"/>
        </w:numPr>
        <w:spacing w:after="51"/>
        <w:ind w:right="5" w:hanging="408"/>
      </w:pPr>
      <w:r>
        <w:t xml:space="preserve">8.49 to 8.51 (Publicity and branding </w:t>
      </w:r>
    </w:p>
    <w:p w:rsidR="00087370" w:rsidRDefault="003B7960">
      <w:pPr>
        <w:numPr>
          <w:ilvl w:val="2"/>
          <w:numId w:val="3"/>
        </w:numPr>
        <w:spacing w:after="53"/>
        <w:ind w:right="5" w:hanging="408"/>
      </w:pPr>
      <w:r>
        <w:t xml:space="preserve">8.42 to 8.48 (Conflicts of interest and ethical walls) </w:t>
      </w:r>
    </w:p>
    <w:p w:rsidR="00087370" w:rsidRDefault="003B7960">
      <w:pPr>
        <w:numPr>
          <w:ilvl w:val="2"/>
          <w:numId w:val="3"/>
        </w:numPr>
        <w:spacing w:after="51"/>
        <w:ind w:right="5" w:hanging="408"/>
      </w:pPr>
      <w:r>
        <w:t xml:space="preserve">8.52 to 8.54 (Equality and diversity) </w:t>
      </w:r>
    </w:p>
    <w:p w:rsidR="00087370" w:rsidRDefault="003B7960">
      <w:pPr>
        <w:numPr>
          <w:ilvl w:val="2"/>
          <w:numId w:val="3"/>
        </w:numPr>
        <w:spacing w:after="53"/>
        <w:ind w:right="5" w:hanging="408"/>
      </w:pPr>
      <w:r>
        <w:t xml:space="preserve">8.66 to 8.67 (Severability) </w:t>
      </w:r>
    </w:p>
    <w:p w:rsidR="00087370" w:rsidRDefault="003B7960">
      <w:pPr>
        <w:numPr>
          <w:ilvl w:val="2"/>
          <w:numId w:val="3"/>
        </w:numPr>
        <w:spacing w:after="51"/>
        <w:ind w:right="5" w:hanging="408"/>
      </w:pPr>
      <w:r>
        <w:t xml:space="preserve">8.68 to 8.82 (Managing disputes)  </w:t>
      </w:r>
    </w:p>
    <w:p w:rsidR="00087370" w:rsidRDefault="003B7960">
      <w:pPr>
        <w:numPr>
          <w:ilvl w:val="2"/>
          <w:numId w:val="3"/>
        </w:numPr>
        <w:spacing w:after="53"/>
        <w:ind w:right="5" w:hanging="408"/>
      </w:pPr>
      <w:r>
        <w:t xml:space="preserve">8.83 to 8.91 (Confidentiality)  </w:t>
      </w:r>
    </w:p>
    <w:p w:rsidR="00087370" w:rsidRDefault="003B7960">
      <w:pPr>
        <w:numPr>
          <w:ilvl w:val="2"/>
          <w:numId w:val="3"/>
        </w:numPr>
        <w:spacing w:after="51"/>
        <w:ind w:right="5" w:hanging="408"/>
      </w:pPr>
      <w:r>
        <w:t xml:space="preserve">8.92 to 8.93 (Waiver and cumulative remedies) </w:t>
      </w:r>
    </w:p>
    <w:p w:rsidR="00087370" w:rsidRDefault="003B7960">
      <w:pPr>
        <w:numPr>
          <w:ilvl w:val="2"/>
          <w:numId w:val="3"/>
        </w:numPr>
        <w:spacing w:after="53"/>
        <w:ind w:right="5" w:hanging="408"/>
      </w:pPr>
      <w:r>
        <w:t xml:space="preserve">paragraphs 1 to 10 of the Framework Agreement glossary and interpretations </w:t>
      </w:r>
    </w:p>
    <w:p w:rsidR="00087370" w:rsidRDefault="003B7960">
      <w:pPr>
        <w:numPr>
          <w:ilvl w:val="2"/>
          <w:numId w:val="3"/>
        </w:numPr>
        <w:ind w:right="5" w:hanging="408"/>
      </w:pPr>
      <w:r>
        <w:t xml:space="preserve">any audit provisions from the Framework Agreement set out by the Buyer in the Order Form </w:t>
      </w:r>
    </w:p>
    <w:p w:rsidR="00087370" w:rsidRDefault="003B7960">
      <w:pPr>
        <w:numPr>
          <w:ilvl w:val="1"/>
          <w:numId w:val="3"/>
        </w:numPr>
        <w:spacing w:after="11"/>
        <w:ind w:right="5" w:hanging="725"/>
      </w:pPr>
      <w:r>
        <w:t xml:space="preserve">The Framework Agreement provisions in clause 2.1 will be modified as follows: </w:t>
      </w:r>
    </w:p>
    <w:p w:rsidR="00087370" w:rsidRDefault="003B7960">
      <w:pPr>
        <w:spacing w:after="62" w:line="259" w:lineRule="auto"/>
        <w:ind w:left="725" w:firstLine="0"/>
      </w:pPr>
      <w:r>
        <w:t xml:space="preserve"> </w:t>
      </w:r>
    </w:p>
    <w:p w:rsidR="00087370" w:rsidRDefault="003B7960">
      <w:pPr>
        <w:numPr>
          <w:ilvl w:val="2"/>
          <w:numId w:val="3"/>
        </w:numPr>
        <w:ind w:right="5" w:hanging="408"/>
      </w:pPr>
      <w:r>
        <w:t xml:space="preserve">a reference to the ‘Framework Agreement’ will be a reference to the ‘Call-Off Contract’ </w:t>
      </w:r>
    </w:p>
    <w:p w:rsidR="00087370" w:rsidRDefault="003B7960">
      <w:pPr>
        <w:numPr>
          <w:ilvl w:val="2"/>
          <w:numId w:val="3"/>
        </w:numPr>
        <w:ind w:right="5" w:hanging="408"/>
      </w:pPr>
      <w:r>
        <w:lastRenderedPageBreak/>
        <w:t xml:space="preserve">a reference to ‘CCS’ will be a reference to ‘the Buyer’ </w:t>
      </w:r>
    </w:p>
    <w:p w:rsidR="00087370" w:rsidRDefault="003B7960">
      <w:pPr>
        <w:numPr>
          <w:ilvl w:val="2"/>
          <w:numId w:val="3"/>
        </w:numPr>
        <w:spacing w:after="224"/>
        <w:ind w:right="5" w:hanging="408"/>
      </w:pPr>
      <w:r>
        <w:t xml:space="preserve">a reference to the ‘Parties’ and a ‘Party’ will be a reference to the Buyer and Supplier as Parties under this Call-Off Contract </w:t>
      </w:r>
    </w:p>
    <w:p w:rsidR="00087370" w:rsidRDefault="003B7960">
      <w:pPr>
        <w:numPr>
          <w:ilvl w:val="1"/>
          <w:numId w:val="3"/>
        </w:numPr>
        <w:spacing w:after="53"/>
        <w:ind w:right="5" w:hanging="725"/>
      </w:pPr>
      <w:r>
        <w:t xml:space="preserve">The Framework Agreement incorporated clauses will be referred to as ‘incorporated Framework clause XX’, where ‘XX’ is the Framework Agreement clause number. </w:t>
      </w:r>
    </w:p>
    <w:p w:rsidR="00087370" w:rsidRDefault="003B7960">
      <w:pPr>
        <w:numPr>
          <w:ilvl w:val="1"/>
          <w:numId w:val="3"/>
        </w:numPr>
        <w:spacing w:after="6"/>
        <w:ind w:right="5" w:hanging="725"/>
      </w:pPr>
      <w:r>
        <w:t xml:space="preserve">When an Order Form is signed, the terms and conditions agreed in it will be incorporated into this Call-Off Contract. </w:t>
      </w:r>
    </w:p>
    <w:p w:rsidR="00087370" w:rsidRDefault="003B7960">
      <w:pPr>
        <w:spacing w:after="21" w:line="259" w:lineRule="auto"/>
        <w:ind w:left="725" w:firstLine="0"/>
      </w:pPr>
      <w:r>
        <w:t xml:space="preserve"> </w:t>
      </w:r>
    </w:p>
    <w:p w:rsidR="00087370" w:rsidRDefault="003B7960">
      <w:pPr>
        <w:numPr>
          <w:ilvl w:val="0"/>
          <w:numId w:val="3"/>
        </w:numPr>
        <w:ind w:right="5" w:hanging="238"/>
      </w:pPr>
      <w:r>
        <w:t xml:space="preserve">Supply of services </w:t>
      </w:r>
    </w:p>
    <w:p w:rsidR="00087370" w:rsidRDefault="003B7960">
      <w:pPr>
        <w:numPr>
          <w:ilvl w:val="1"/>
          <w:numId w:val="3"/>
        </w:numPr>
        <w:ind w:right="5" w:hanging="725"/>
      </w:pPr>
      <w:r>
        <w:t xml:space="preserve">The Supplier agrees to supply the G-Cloud Services and any Additional Services under the terms of the Call-Off Contract and the Supplier’s Application. </w:t>
      </w:r>
    </w:p>
    <w:p w:rsidR="00087370" w:rsidRDefault="003B7960">
      <w:pPr>
        <w:numPr>
          <w:ilvl w:val="1"/>
          <w:numId w:val="3"/>
        </w:numPr>
        <w:spacing w:after="208"/>
        <w:ind w:right="5" w:hanging="725"/>
      </w:pPr>
      <w:r>
        <w:t xml:space="preserve">The Supplier undertakes that each G-Cloud Service will meet the Buyer’s acceptance criteria, as defined in the Order Form. </w:t>
      </w:r>
    </w:p>
    <w:p w:rsidR="00087370" w:rsidRDefault="003B7960">
      <w:pPr>
        <w:numPr>
          <w:ilvl w:val="0"/>
          <w:numId w:val="3"/>
        </w:numPr>
        <w:ind w:right="5" w:hanging="238"/>
      </w:pPr>
      <w:r>
        <w:t xml:space="preserve">Supplier staff </w:t>
      </w:r>
    </w:p>
    <w:p w:rsidR="00087370" w:rsidRDefault="003B7960">
      <w:pPr>
        <w:numPr>
          <w:ilvl w:val="1"/>
          <w:numId w:val="3"/>
        </w:numPr>
        <w:spacing w:after="11"/>
        <w:ind w:right="5" w:hanging="725"/>
      </w:pPr>
      <w:r>
        <w:t xml:space="preserve">The Supplier Staff must: </w:t>
      </w:r>
    </w:p>
    <w:p w:rsidR="00087370" w:rsidRDefault="003B7960">
      <w:pPr>
        <w:spacing w:after="61" w:line="259" w:lineRule="auto"/>
        <w:ind w:left="725" w:firstLine="0"/>
      </w:pPr>
      <w:r>
        <w:t xml:space="preserve"> </w:t>
      </w:r>
    </w:p>
    <w:p w:rsidR="00087370" w:rsidRDefault="003B7960">
      <w:pPr>
        <w:numPr>
          <w:ilvl w:val="2"/>
          <w:numId w:val="3"/>
        </w:numPr>
        <w:spacing w:after="51"/>
        <w:ind w:right="5" w:hanging="408"/>
      </w:pPr>
      <w:r>
        <w:t xml:space="preserve">be appropriately experienced, qualified and trained to supply the Services </w:t>
      </w:r>
    </w:p>
    <w:p w:rsidR="00087370" w:rsidRDefault="003B7960">
      <w:pPr>
        <w:numPr>
          <w:ilvl w:val="2"/>
          <w:numId w:val="3"/>
        </w:numPr>
        <w:spacing w:after="53"/>
        <w:ind w:right="5" w:hanging="408"/>
      </w:pPr>
      <w:r>
        <w:t xml:space="preserve">apply all due skill, care and diligence in faithfully performing those duties </w:t>
      </w:r>
    </w:p>
    <w:p w:rsidR="00087370" w:rsidRDefault="003B7960">
      <w:pPr>
        <w:numPr>
          <w:ilvl w:val="2"/>
          <w:numId w:val="3"/>
        </w:numPr>
        <w:spacing w:after="46"/>
        <w:ind w:right="5" w:hanging="408"/>
      </w:pPr>
      <w:r>
        <w:t xml:space="preserve">obey all lawful instructions and reasonable directions of the Buyer and provide the Services to the reasonable satisfaction of the Buyer </w:t>
      </w:r>
    </w:p>
    <w:p w:rsidR="00087370" w:rsidRDefault="003B7960">
      <w:pPr>
        <w:numPr>
          <w:ilvl w:val="2"/>
          <w:numId w:val="3"/>
        </w:numPr>
        <w:spacing w:after="53"/>
        <w:ind w:right="5" w:hanging="408"/>
      </w:pPr>
      <w:r>
        <w:t xml:space="preserve">respond to any enquiries about the Services as soon as reasonably possible </w:t>
      </w:r>
    </w:p>
    <w:p w:rsidR="00087370" w:rsidRDefault="003B7960">
      <w:pPr>
        <w:numPr>
          <w:ilvl w:val="2"/>
          <w:numId w:val="3"/>
        </w:numPr>
        <w:spacing w:after="11"/>
        <w:ind w:right="5" w:hanging="408"/>
      </w:pPr>
      <w:r>
        <w:t xml:space="preserve">complete any necessary Supplier Staff vetting as specified by the Buyer </w:t>
      </w:r>
    </w:p>
    <w:p w:rsidR="00087370" w:rsidRDefault="003B7960">
      <w:pPr>
        <w:spacing w:after="62" w:line="259" w:lineRule="auto"/>
        <w:ind w:left="1445" w:firstLine="0"/>
      </w:pPr>
      <w:r>
        <w:t xml:space="preserve"> </w:t>
      </w:r>
    </w:p>
    <w:p w:rsidR="00087370" w:rsidRDefault="003B7960">
      <w:pPr>
        <w:numPr>
          <w:ilvl w:val="1"/>
          <w:numId w:val="3"/>
        </w:numPr>
        <w:spacing w:after="48"/>
        <w:ind w:right="5" w:hanging="725"/>
      </w:pPr>
      <w:r>
        <w:t xml:space="preserve">The Supplier must retain overall control of the Supplier Staff so that they are not considered to be employees, workers, agents or contractors of the Buyer. </w:t>
      </w:r>
    </w:p>
    <w:p w:rsidR="00087370" w:rsidRDefault="003B7960">
      <w:pPr>
        <w:numPr>
          <w:ilvl w:val="1"/>
          <w:numId w:val="3"/>
        </w:numPr>
        <w:spacing w:after="48"/>
        <w:ind w:right="5" w:hanging="725"/>
      </w:pPr>
      <w:r>
        <w:t xml:space="preserve">The Supplier may substitute any Supplier Staff </w:t>
      </w:r>
      <w:proofErr w:type="gramStart"/>
      <w:r>
        <w:t>as long as</w:t>
      </w:r>
      <w:proofErr w:type="gramEnd"/>
      <w:r>
        <w:t xml:space="preserve"> they have the equivalent experience and qualifications to the substituted staff member. </w:t>
      </w:r>
    </w:p>
    <w:p w:rsidR="00087370" w:rsidRDefault="003B7960">
      <w:pPr>
        <w:numPr>
          <w:ilvl w:val="1"/>
          <w:numId w:val="3"/>
        </w:numPr>
        <w:ind w:right="5" w:hanging="725"/>
      </w:pPr>
      <w:r>
        <w:t xml:space="preserve">The Buyer may conduct IR35 Assessments using the ESI tool to assess whether the Supplier’s engagement under the Call-Off Contract is Inside or Outside IR35. </w:t>
      </w:r>
    </w:p>
    <w:p w:rsidR="00087370" w:rsidRDefault="003B7960">
      <w:pPr>
        <w:numPr>
          <w:ilvl w:val="1"/>
          <w:numId w:val="3"/>
        </w:numPr>
        <w:ind w:right="5" w:hanging="725"/>
      </w:pPr>
      <w:r>
        <w:t xml:space="preserve">The Buyer </w:t>
      </w:r>
      <w:proofErr w:type="gramStart"/>
      <w:r>
        <w:t>may</w:t>
      </w:r>
      <w:proofErr w:type="gramEnd"/>
      <w:r>
        <w:t xml:space="preserve"> End this Call-Off Contract for Material Breach if the Supplier is delivering the Services Inside IR35. </w:t>
      </w:r>
    </w:p>
    <w:p w:rsidR="00087370" w:rsidRDefault="003B7960">
      <w:pPr>
        <w:numPr>
          <w:ilvl w:val="1"/>
          <w:numId w:val="3"/>
        </w:numPr>
        <w:spacing w:after="11"/>
        <w:ind w:right="5" w:hanging="725"/>
      </w:pPr>
      <w:r>
        <w:lastRenderedPageBreak/>
        <w:t xml:space="preserve">The Buyer may need the Supplier to complete an Indicative Test using the ESI tool before the Start </w:t>
      </w:r>
    </w:p>
    <w:p w:rsidR="00087370" w:rsidRDefault="003B7960">
      <w:pPr>
        <w:spacing w:after="13"/>
        <w:ind w:left="735" w:right="5"/>
      </w:pPr>
      <w:r>
        <w:t xml:space="preserve">Date or at any time during the provision of Services to provide a preliminary view of whether the </w:t>
      </w:r>
    </w:p>
    <w:p w:rsidR="00087370" w:rsidRDefault="003B7960">
      <w:pPr>
        <w:ind w:left="735" w:right="5"/>
      </w:pPr>
      <w:r>
        <w:t xml:space="preserve">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087370" w:rsidRDefault="003B7960">
      <w:pPr>
        <w:numPr>
          <w:ilvl w:val="1"/>
          <w:numId w:val="3"/>
        </w:numPr>
        <w:ind w:right="5" w:hanging="725"/>
      </w:pPr>
      <w:r>
        <w:t xml:space="preserve">If the Indicative Test indicates the delivery of the Services could potentially be Inside IR35, the Supplier must provide the Buyer with all relevant information needed to enable the Buyer to conduct its own IR35 Assessment.  </w:t>
      </w:r>
    </w:p>
    <w:p w:rsidR="00087370" w:rsidRDefault="003B7960">
      <w:pPr>
        <w:numPr>
          <w:ilvl w:val="1"/>
          <w:numId w:val="3"/>
        </w:numPr>
        <w:spacing w:after="207"/>
        <w:ind w:right="5" w:hanging="725"/>
      </w:pPr>
      <w:r>
        <w:t xml:space="preserve">If it is determined by the Buyer that the Supplier is Outside IR35, the Buyer will provide the ESI reference number and a copy of the PDF to the Supplier. </w:t>
      </w:r>
    </w:p>
    <w:p w:rsidR="00087370" w:rsidRDefault="003B7960">
      <w:pPr>
        <w:numPr>
          <w:ilvl w:val="0"/>
          <w:numId w:val="3"/>
        </w:numPr>
        <w:ind w:right="5" w:hanging="238"/>
      </w:pPr>
      <w:r>
        <w:t xml:space="preserve">Due diligence </w:t>
      </w:r>
    </w:p>
    <w:p w:rsidR="00087370" w:rsidRDefault="003B7960">
      <w:pPr>
        <w:numPr>
          <w:ilvl w:val="1"/>
          <w:numId w:val="3"/>
        </w:numPr>
        <w:ind w:right="5" w:hanging="725"/>
      </w:pPr>
      <w:r>
        <w:t xml:space="preserve">Both Parties agree that when entering into a Call-Off Contract they: </w:t>
      </w:r>
    </w:p>
    <w:p w:rsidR="00087370" w:rsidRDefault="003B7960">
      <w:pPr>
        <w:numPr>
          <w:ilvl w:val="2"/>
          <w:numId w:val="3"/>
        </w:numPr>
        <w:spacing w:after="45"/>
        <w:ind w:right="5" w:hanging="408"/>
      </w:pPr>
      <w:r>
        <w:t xml:space="preserve">have made their own enquiries and are satisfied by the accuracy of any information supplied by the other Party </w:t>
      </w:r>
    </w:p>
    <w:p w:rsidR="00087370" w:rsidRDefault="003B7960">
      <w:pPr>
        <w:numPr>
          <w:ilvl w:val="2"/>
          <w:numId w:val="3"/>
        </w:numPr>
        <w:spacing w:after="60" w:line="259" w:lineRule="auto"/>
        <w:ind w:right="5" w:hanging="408"/>
      </w:pPr>
      <w:r>
        <w:t xml:space="preserve">are confident that they can fulfil their obligations according to the Call-Off Contract terms </w:t>
      </w:r>
    </w:p>
    <w:p w:rsidR="00087370" w:rsidRDefault="003B7960">
      <w:pPr>
        <w:numPr>
          <w:ilvl w:val="2"/>
          <w:numId w:val="3"/>
        </w:numPr>
        <w:spacing w:after="53"/>
        <w:ind w:right="5" w:hanging="408"/>
      </w:pPr>
      <w:r>
        <w:t xml:space="preserve">have raised all due diligence questions before signing the Call-Off Contract </w:t>
      </w:r>
    </w:p>
    <w:p w:rsidR="00087370" w:rsidRDefault="003B7960">
      <w:pPr>
        <w:numPr>
          <w:ilvl w:val="2"/>
          <w:numId w:val="3"/>
        </w:numPr>
        <w:spacing w:after="11"/>
        <w:ind w:right="5" w:hanging="408"/>
      </w:pPr>
      <w:r>
        <w:t xml:space="preserve">have entered into the Call-Off Contract relying on its own due diligence </w:t>
      </w:r>
    </w:p>
    <w:p w:rsidR="00087370" w:rsidRDefault="003B7960">
      <w:pPr>
        <w:spacing w:after="21" w:line="259" w:lineRule="auto"/>
        <w:ind w:left="5" w:firstLine="0"/>
      </w:pPr>
      <w:r>
        <w:t xml:space="preserve"> </w:t>
      </w:r>
    </w:p>
    <w:p w:rsidR="00087370" w:rsidRDefault="003B7960">
      <w:pPr>
        <w:numPr>
          <w:ilvl w:val="0"/>
          <w:numId w:val="3"/>
        </w:numPr>
        <w:ind w:right="5" w:hanging="238"/>
      </w:pPr>
      <w:r>
        <w:t xml:space="preserve">Business continuity and disaster recovery </w:t>
      </w:r>
    </w:p>
    <w:p w:rsidR="00087370" w:rsidRDefault="003B7960">
      <w:pPr>
        <w:numPr>
          <w:ilvl w:val="1"/>
          <w:numId w:val="3"/>
        </w:numPr>
        <w:ind w:right="5" w:hanging="725"/>
      </w:pPr>
      <w:r>
        <w:t xml:space="preserve">The Supplier will have a clear business continuity and disaster recovery plan in their service descriptions. </w:t>
      </w:r>
    </w:p>
    <w:p w:rsidR="00087370" w:rsidRDefault="003B7960">
      <w:pPr>
        <w:numPr>
          <w:ilvl w:val="1"/>
          <w:numId w:val="3"/>
        </w:numPr>
        <w:ind w:right="5" w:hanging="725"/>
      </w:pPr>
      <w:r>
        <w:t xml:space="preserve">The Supplier’s business continuity and disaster recovery services are part of the Services and will be performed by the Supplier when required. </w:t>
      </w:r>
    </w:p>
    <w:p w:rsidR="00087370" w:rsidRDefault="003B7960">
      <w:pPr>
        <w:numPr>
          <w:ilvl w:val="1"/>
          <w:numId w:val="3"/>
        </w:numPr>
        <w:spacing w:after="208"/>
        <w:ind w:right="5" w:hanging="725"/>
      </w:pPr>
      <w:r>
        <w:t xml:space="preserve">If requested by the Buyer prior to entering into this Call-Off Contract, the Supplier must ensure that its business continuity and disaster recovery plan is consistent with the Buyer’s own plans. </w:t>
      </w:r>
    </w:p>
    <w:p w:rsidR="00087370" w:rsidRDefault="003B7960">
      <w:pPr>
        <w:numPr>
          <w:ilvl w:val="0"/>
          <w:numId w:val="3"/>
        </w:numPr>
        <w:ind w:right="5" w:hanging="238"/>
      </w:pPr>
      <w:r>
        <w:t xml:space="preserve">Payment, VAT and Call-Off Contract charges </w:t>
      </w:r>
    </w:p>
    <w:p w:rsidR="00087370" w:rsidRDefault="003B7960">
      <w:pPr>
        <w:numPr>
          <w:ilvl w:val="1"/>
          <w:numId w:val="3"/>
        </w:numPr>
        <w:ind w:right="5" w:hanging="725"/>
      </w:pPr>
      <w:r>
        <w:t xml:space="preserve">The Buyer must pay the Charges following clauses 7.2 to 7.11 for the Supplier’s delivery of the Services. </w:t>
      </w:r>
    </w:p>
    <w:p w:rsidR="00087370" w:rsidRDefault="003B7960">
      <w:pPr>
        <w:numPr>
          <w:ilvl w:val="1"/>
          <w:numId w:val="3"/>
        </w:numPr>
        <w:ind w:right="5" w:hanging="725"/>
      </w:pPr>
      <w:r>
        <w:lastRenderedPageBreak/>
        <w:t xml:space="preserve">The Buyer will pay the Supplier within the number of days specified in the Order Form on receipt of a valid invoice. </w:t>
      </w:r>
    </w:p>
    <w:p w:rsidR="00087370" w:rsidRDefault="003B7960">
      <w:pPr>
        <w:numPr>
          <w:ilvl w:val="1"/>
          <w:numId w:val="3"/>
        </w:numPr>
        <w:ind w:right="5" w:hanging="725"/>
      </w:pPr>
      <w:r>
        <w:t xml:space="preserve">The Call-Off Contract Charges include all Charges for payment processing. All invoices submitted to the Buyer for the Services will be exclusive of any Management Charge. </w:t>
      </w:r>
    </w:p>
    <w:p w:rsidR="00087370" w:rsidRDefault="003B7960">
      <w:pPr>
        <w:numPr>
          <w:ilvl w:val="1"/>
          <w:numId w:val="3"/>
        </w:numPr>
        <w:spacing w:after="226"/>
        <w:ind w:right="5" w:hanging="725"/>
      </w:pP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87370" w:rsidRDefault="003B7960">
      <w:pPr>
        <w:numPr>
          <w:ilvl w:val="1"/>
          <w:numId w:val="3"/>
        </w:numPr>
        <w:spacing w:after="245"/>
        <w:ind w:right="5" w:hanging="725"/>
      </w:pPr>
      <w:r>
        <w:t xml:space="preserve">The Supplier must ensure that each invoice contains a detailed breakdown of the G-Cloud Services supplied. The Buyer may request the Supplier provides further documentation to substantiate the invoice.  </w:t>
      </w:r>
    </w:p>
    <w:p w:rsidR="00087370" w:rsidRDefault="003B7960">
      <w:pPr>
        <w:numPr>
          <w:ilvl w:val="1"/>
          <w:numId w:val="3"/>
        </w:numPr>
        <w:ind w:right="5" w:hanging="725"/>
      </w:pPr>
      <w:r>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rsidR="00087370" w:rsidRDefault="003B7960">
      <w:pPr>
        <w:numPr>
          <w:ilvl w:val="1"/>
          <w:numId w:val="3"/>
        </w:numPr>
        <w:ind w:right="5" w:hanging="725"/>
      </w:pPr>
      <w:r>
        <w:t xml:space="preserve">All Charges payable by the Buyer to the Supplier will include VAT at the appropriate rate. </w:t>
      </w:r>
    </w:p>
    <w:p w:rsidR="00087370" w:rsidRDefault="003B7960">
      <w:pPr>
        <w:numPr>
          <w:ilvl w:val="1"/>
          <w:numId w:val="3"/>
        </w:numPr>
        <w:ind w:right="5" w:hanging="725"/>
      </w:pPr>
      <w:r>
        <w:t xml:space="preserve">The Supplier must add VAT to the Charges at the appropriate rate with visibility of the amount as a separate line item.  </w:t>
      </w:r>
    </w:p>
    <w:p w:rsidR="00087370" w:rsidRDefault="003B7960">
      <w:pPr>
        <w:numPr>
          <w:ilvl w:val="1"/>
          <w:numId w:val="3"/>
        </w:numPr>
        <w:ind w:right="5" w:hanging="725"/>
      </w:pP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87370" w:rsidRDefault="003B7960">
      <w:pPr>
        <w:numPr>
          <w:ilvl w:val="1"/>
          <w:numId w:val="3"/>
        </w:numPr>
        <w:ind w:right="5" w:hanging="725"/>
      </w:pP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87370" w:rsidRDefault="003B7960">
      <w:pPr>
        <w:numPr>
          <w:ilvl w:val="1"/>
          <w:numId w:val="3"/>
        </w:numPr>
        <w:ind w:right="5" w:hanging="725"/>
      </w:pPr>
      <w: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087370" w:rsidRDefault="003B7960">
      <w:pPr>
        <w:numPr>
          <w:ilvl w:val="1"/>
          <w:numId w:val="3"/>
        </w:numPr>
        <w:spacing w:after="205"/>
        <w:ind w:right="5" w:hanging="725"/>
      </w:pPr>
      <w:r>
        <w:lastRenderedPageBreak/>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rsidR="00087370" w:rsidRDefault="003B7960">
      <w:pPr>
        <w:numPr>
          <w:ilvl w:val="0"/>
          <w:numId w:val="3"/>
        </w:numPr>
        <w:ind w:right="5" w:hanging="238"/>
      </w:pPr>
      <w:r>
        <w:t xml:space="preserve">Recovery of sums due and right of set-off </w:t>
      </w:r>
    </w:p>
    <w:p w:rsidR="00087370" w:rsidRDefault="003B7960">
      <w:pPr>
        <w:numPr>
          <w:ilvl w:val="1"/>
          <w:numId w:val="3"/>
        </w:numPr>
        <w:spacing w:after="141" w:line="350" w:lineRule="auto"/>
        <w:ind w:right="5" w:hanging="725"/>
      </w:pPr>
      <w:r>
        <w:t xml:space="preserve">If a Supplier owes money to the Buyer, the Buyer may deduct that sum from the Call-Off Contract Charges. 9. Insurance </w:t>
      </w:r>
    </w:p>
    <w:p w:rsidR="00087370" w:rsidRDefault="003B7960">
      <w:pPr>
        <w:numPr>
          <w:ilvl w:val="1"/>
          <w:numId w:val="4"/>
        </w:numPr>
        <w:ind w:right="5" w:hanging="725"/>
      </w:pPr>
      <w:r>
        <w:t xml:space="preserve">The Supplier will maintain the insurances required by the Buyer including those in this clause. </w:t>
      </w:r>
    </w:p>
    <w:p w:rsidR="00087370" w:rsidRDefault="003B7960">
      <w:pPr>
        <w:numPr>
          <w:ilvl w:val="1"/>
          <w:numId w:val="4"/>
        </w:numPr>
        <w:ind w:right="5" w:hanging="725"/>
      </w:pPr>
      <w:r>
        <w:t xml:space="preserve">The Supplier will ensure that: </w:t>
      </w:r>
    </w:p>
    <w:p w:rsidR="00087370" w:rsidRDefault="003B7960">
      <w:pPr>
        <w:numPr>
          <w:ilvl w:val="2"/>
          <w:numId w:val="3"/>
        </w:numPr>
        <w:ind w:right="5" w:hanging="408"/>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087370" w:rsidRDefault="003B7960">
      <w:pPr>
        <w:numPr>
          <w:ilvl w:val="2"/>
          <w:numId w:val="3"/>
        </w:numPr>
        <w:ind w:right="5" w:hanging="408"/>
      </w:pPr>
      <w:r>
        <w:t xml:space="preserve">the third-party public and products liability insurance contains an ‘indemnity to principals’ clause for the Buyer’s benefit  </w:t>
      </w:r>
    </w:p>
    <w:p w:rsidR="00087370" w:rsidRDefault="003B7960">
      <w:pPr>
        <w:numPr>
          <w:ilvl w:val="2"/>
          <w:numId w:val="3"/>
        </w:numPr>
        <w:ind w:right="5" w:hanging="408"/>
      </w:pPr>
      <w:r>
        <w:t xml:space="preserve">all agents and professional consultants involved in the Services hold professional indemnity insurance to a minimum indemnity of £1,000,000 for each individual claim during the </w:t>
      </w:r>
      <w:proofErr w:type="spellStart"/>
      <w:r>
        <w:t>CallOff</w:t>
      </w:r>
      <w:proofErr w:type="spellEnd"/>
      <w:r>
        <w:t xml:space="preserve"> Contract, and for 6 years after the End or Expiry Date </w:t>
      </w:r>
    </w:p>
    <w:p w:rsidR="00087370" w:rsidRDefault="003B7960">
      <w:pPr>
        <w:numPr>
          <w:ilvl w:val="2"/>
          <w:numId w:val="3"/>
        </w:numPr>
        <w:ind w:right="5" w:hanging="408"/>
      </w:pPr>
      <w:r>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087370" w:rsidRDefault="003B7960">
      <w:pPr>
        <w:numPr>
          <w:ilvl w:val="1"/>
          <w:numId w:val="6"/>
        </w:numPr>
        <w:ind w:right="5" w:hanging="725"/>
      </w:pPr>
      <w:r>
        <w:t xml:space="preserve">If requested by the Buyer, the Supplier will obtain additional insurance policies, or extend existing policies bought under the Framework Agreement. </w:t>
      </w:r>
    </w:p>
    <w:p w:rsidR="00087370" w:rsidRDefault="003B7960">
      <w:pPr>
        <w:numPr>
          <w:ilvl w:val="1"/>
          <w:numId w:val="6"/>
        </w:numPr>
        <w:ind w:right="5" w:hanging="725"/>
      </w:pPr>
      <w:r>
        <w:t xml:space="preserve">If requested by the Buyer, the Supplier will provide the following to show compliance with this clause: </w:t>
      </w:r>
    </w:p>
    <w:p w:rsidR="00087370" w:rsidRDefault="003B7960">
      <w:pPr>
        <w:numPr>
          <w:ilvl w:val="2"/>
          <w:numId w:val="3"/>
        </w:numPr>
        <w:ind w:right="5" w:hanging="408"/>
      </w:pPr>
      <w:r>
        <w:t xml:space="preserve">a broker's verification of insurance </w:t>
      </w:r>
    </w:p>
    <w:p w:rsidR="00087370" w:rsidRDefault="003B7960">
      <w:pPr>
        <w:numPr>
          <w:ilvl w:val="2"/>
          <w:numId w:val="3"/>
        </w:numPr>
        <w:ind w:right="5" w:hanging="408"/>
      </w:pPr>
      <w:r>
        <w:t xml:space="preserve">receipts for the insurance premium </w:t>
      </w:r>
    </w:p>
    <w:p w:rsidR="00087370" w:rsidRDefault="003B7960">
      <w:pPr>
        <w:numPr>
          <w:ilvl w:val="2"/>
          <w:numId w:val="3"/>
        </w:numPr>
        <w:ind w:right="5" w:hanging="408"/>
      </w:pPr>
      <w:r>
        <w:lastRenderedPageBreak/>
        <w:t xml:space="preserve">evidence of payment of the latest premiums due </w:t>
      </w:r>
    </w:p>
    <w:p w:rsidR="00087370" w:rsidRDefault="003B7960">
      <w:pPr>
        <w:ind w:left="726" w:right="5"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rsidR="00087370" w:rsidRDefault="003B7960">
      <w:pPr>
        <w:numPr>
          <w:ilvl w:val="2"/>
          <w:numId w:val="3"/>
        </w:numPr>
        <w:spacing w:after="45"/>
        <w:ind w:right="5" w:hanging="408"/>
      </w:pPr>
      <w:r>
        <w:t xml:space="preserve">take all risk control measures using Good Industry Practice, including the investigation and reports of claims to insurers </w:t>
      </w:r>
    </w:p>
    <w:p w:rsidR="00087370" w:rsidRDefault="003B7960">
      <w:pPr>
        <w:numPr>
          <w:ilvl w:val="2"/>
          <w:numId w:val="3"/>
        </w:numPr>
        <w:spacing w:after="60" w:line="259" w:lineRule="auto"/>
        <w:ind w:right="5" w:hanging="408"/>
      </w:pPr>
      <w:r>
        <w:t xml:space="preserve">promptly notify the insurers in writing of any relevant material fact under any insurances  </w:t>
      </w:r>
    </w:p>
    <w:p w:rsidR="00087370" w:rsidRDefault="003B7960">
      <w:pPr>
        <w:numPr>
          <w:ilvl w:val="2"/>
          <w:numId w:val="3"/>
        </w:numPr>
        <w:spacing w:after="8"/>
        <w:ind w:right="5" w:hanging="408"/>
      </w:pPr>
      <w:r>
        <w:t xml:space="preserve">hold all insurance policies and require any broker arranging the insurance to hold any insurance slips and other evidence of insurance </w:t>
      </w:r>
    </w:p>
    <w:p w:rsidR="00087370" w:rsidRDefault="003B7960">
      <w:pPr>
        <w:spacing w:after="61" w:line="259" w:lineRule="auto"/>
        <w:ind w:left="1548" w:firstLine="0"/>
      </w:pPr>
      <w:r>
        <w:t xml:space="preserve"> </w:t>
      </w:r>
    </w:p>
    <w:p w:rsidR="00087370" w:rsidRDefault="003B7960">
      <w:pPr>
        <w:numPr>
          <w:ilvl w:val="1"/>
          <w:numId w:val="5"/>
        </w:numPr>
        <w:spacing w:after="226"/>
        <w:ind w:right="5" w:hanging="725"/>
      </w:pPr>
      <w:r>
        <w:t xml:space="preserve">The Supplier will not do or omit to do anything, which would destroy or impair the legal validity of the insurance. </w:t>
      </w:r>
    </w:p>
    <w:p w:rsidR="00087370" w:rsidRDefault="003B7960">
      <w:pPr>
        <w:numPr>
          <w:ilvl w:val="1"/>
          <w:numId w:val="5"/>
        </w:numPr>
        <w:ind w:right="5" w:hanging="725"/>
      </w:pPr>
      <w:r>
        <w:t xml:space="preserve">The Supplier will notify CCS and the Buyer as soon as possible if any insurance policies have been, or are due to be, cancelled, suspended, Ended or not renewed. </w:t>
      </w:r>
    </w:p>
    <w:p w:rsidR="00087370" w:rsidRDefault="003B7960">
      <w:pPr>
        <w:numPr>
          <w:ilvl w:val="1"/>
          <w:numId w:val="5"/>
        </w:numPr>
        <w:ind w:right="5" w:hanging="725"/>
      </w:pPr>
      <w:r>
        <w:t xml:space="preserve">The Supplier will be liable for the payment of any: </w:t>
      </w:r>
    </w:p>
    <w:p w:rsidR="00087370" w:rsidRDefault="003B7960">
      <w:pPr>
        <w:numPr>
          <w:ilvl w:val="2"/>
          <w:numId w:val="3"/>
        </w:numPr>
        <w:ind w:right="5" w:hanging="408"/>
      </w:pPr>
      <w:r>
        <w:t xml:space="preserve">premiums, which it will pay promptly </w:t>
      </w:r>
    </w:p>
    <w:p w:rsidR="00087370" w:rsidRDefault="003B7960">
      <w:pPr>
        <w:numPr>
          <w:ilvl w:val="2"/>
          <w:numId w:val="3"/>
        </w:numPr>
        <w:spacing w:after="212"/>
        <w:ind w:right="5" w:hanging="408"/>
      </w:pPr>
      <w:r>
        <w:t xml:space="preserve">excess or deductibles and will not be entitled to recover this from the Buyer  </w:t>
      </w:r>
    </w:p>
    <w:p w:rsidR="00087370" w:rsidRDefault="003B7960">
      <w:pPr>
        <w:numPr>
          <w:ilvl w:val="0"/>
          <w:numId w:val="7"/>
        </w:numPr>
        <w:ind w:right="5" w:hanging="355"/>
      </w:pPr>
      <w:r>
        <w:t xml:space="preserve">Confidentiality  </w:t>
      </w:r>
    </w:p>
    <w:p w:rsidR="00087370" w:rsidRDefault="003B7960">
      <w:pPr>
        <w:numPr>
          <w:ilvl w:val="1"/>
          <w:numId w:val="7"/>
        </w:numPr>
        <w:spacing w:after="207"/>
        <w:ind w:right="5" w:hanging="725"/>
      </w:pP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 </w:t>
      </w:r>
    </w:p>
    <w:p w:rsidR="00087370" w:rsidRDefault="003B7960">
      <w:pPr>
        <w:numPr>
          <w:ilvl w:val="0"/>
          <w:numId w:val="7"/>
        </w:numPr>
        <w:ind w:right="5" w:hanging="355"/>
      </w:pPr>
      <w:r>
        <w:t xml:space="preserve">Intellectual Property Rights </w:t>
      </w:r>
    </w:p>
    <w:p w:rsidR="00087370" w:rsidRDefault="003B7960">
      <w:pPr>
        <w:numPr>
          <w:ilvl w:val="1"/>
          <w:numId w:val="7"/>
        </w:numPr>
        <w:ind w:right="5" w:hanging="725"/>
      </w:pPr>
      <w:r>
        <w:t xml:space="preserve">Unless otherwise specified in this Call-Off Contract, a Party will not acquire any right, title or interest in or to the Intellectual Property Rights (IPRs) of the other Party or its licensors. </w:t>
      </w:r>
    </w:p>
    <w:p w:rsidR="00087370" w:rsidRDefault="003B7960">
      <w:pPr>
        <w:numPr>
          <w:ilvl w:val="1"/>
          <w:numId w:val="7"/>
        </w:numPr>
        <w:ind w:right="5" w:hanging="725"/>
      </w:pP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rsidR="00087370" w:rsidRDefault="003B7960">
      <w:pPr>
        <w:numPr>
          <w:ilvl w:val="1"/>
          <w:numId w:val="7"/>
        </w:numPr>
        <w:ind w:right="5" w:hanging="725"/>
      </w:pPr>
      <w:r>
        <w:lastRenderedPageBreak/>
        <w:t xml:space="preserve">The Supplier must obtain the grant of any third-party IPRs and Background </w:t>
      </w:r>
      <w:proofErr w:type="gramStart"/>
      <w:r>
        <w:t>IPRs</w:t>
      </w:r>
      <w:proofErr w:type="gramEnd"/>
      <w:r>
        <w:t xml:space="preserve"> so the Buyer can enjoy full use of the Project Specific IPRs, including the Buyer’s right to publish the IPR as open source.  </w:t>
      </w:r>
    </w:p>
    <w:p w:rsidR="00087370" w:rsidRDefault="003B7960">
      <w:pPr>
        <w:numPr>
          <w:ilvl w:val="1"/>
          <w:numId w:val="7"/>
        </w:numPr>
        <w:ind w:right="5" w:hanging="725"/>
      </w:pP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rsidR="00087370" w:rsidRDefault="003B7960">
      <w:pPr>
        <w:numPr>
          <w:ilvl w:val="1"/>
          <w:numId w:val="7"/>
        </w:numPr>
        <w:ind w:right="5" w:hanging="725"/>
      </w:pPr>
      <w:r>
        <w:t xml:space="preserve">The Supplier will, on written demand, fully indemnify the Buyer and the Crown for all Losses which it may incur at any time from any claim of infringement or alleged infringement of a third party’s IPRs because of the: </w:t>
      </w:r>
    </w:p>
    <w:p w:rsidR="00087370" w:rsidRDefault="003B7960">
      <w:pPr>
        <w:numPr>
          <w:ilvl w:val="2"/>
          <w:numId w:val="7"/>
        </w:numPr>
        <w:ind w:right="5" w:hanging="408"/>
      </w:pPr>
      <w:r>
        <w:t xml:space="preserve">rights granted to the Buyer under this Call-Off Contract </w:t>
      </w:r>
    </w:p>
    <w:p w:rsidR="00087370" w:rsidRDefault="003B7960">
      <w:pPr>
        <w:numPr>
          <w:ilvl w:val="2"/>
          <w:numId w:val="7"/>
        </w:numPr>
        <w:ind w:right="5" w:hanging="408"/>
      </w:pPr>
      <w:r>
        <w:t xml:space="preserve">Supplier’s performance of the Services  </w:t>
      </w:r>
    </w:p>
    <w:p w:rsidR="00087370" w:rsidRDefault="003B7960">
      <w:pPr>
        <w:numPr>
          <w:ilvl w:val="2"/>
          <w:numId w:val="7"/>
        </w:numPr>
        <w:ind w:right="5" w:hanging="408"/>
      </w:pPr>
      <w:r>
        <w:t xml:space="preserve">use by the Buyer of the Services  </w:t>
      </w:r>
    </w:p>
    <w:p w:rsidR="00087370" w:rsidRDefault="003B7960">
      <w:pPr>
        <w:numPr>
          <w:ilvl w:val="1"/>
          <w:numId w:val="7"/>
        </w:numPr>
        <w:ind w:right="5" w:hanging="725"/>
      </w:pPr>
      <w:r>
        <w:t xml:space="preserve">If an IPR Claim is made, or is likely to be made, the Supplier will immediately notify the Buyer in writing and must at its own expense after written approval from the Buyer, either: </w:t>
      </w:r>
    </w:p>
    <w:p w:rsidR="00087370" w:rsidRDefault="003B7960">
      <w:pPr>
        <w:numPr>
          <w:ilvl w:val="2"/>
          <w:numId w:val="7"/>
        </w:numPr>
        <w:ind w:right="5" w:hanging="408"/>
      </w:pPr>
      <w:r>
        <w:t xml:space="preserve">modify the relevant part of the Services without reducing its functionality or performance </w:t>
      </w:r>
    </w:p>
    <w:p w:rsidR="00087370" w:rsidRDefault="003B7960">
      <w:pPr>
        <w:numPr>
          <w:ilvl w:val="2"/>
          <w:numId w:val="7"/>
        </w:numPr>
        <w:ind w:right="5" w:hanging="408"/>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rsidR="00087370" w:rsidRDefault="003B7960">
      <w:pPr>
        <w:numPr>
          <w:ilvl w:val="2"/>
          <w:numId w:val="7"/>
        </w:numPr>
        <w:ind w:right="5" w:hanging="408"/>
      </w:pPr>
      <w:r>
        <w:t xml:space="preserve">buy a licence to use and supply the Services which are the subject of the alleged infringement, on terms acceptable to the Buyer </w:t>
      </w:r>
    </w:p>
    <w:p w:rsidR="00087370" w:rsidRDefault="003B7960">
      <w:pPr>
        <w:numPr>
          <w:ilvl w:val="1"/>
          <w:numId w:val="7"/>
        </w:numPr>
        <w:ind w:right="5" w:hanging="725"/>
      </w:pPr>
      <w:r>
        <w:t xml:space="preserve">Clause 11.5 will not apply if the IPR Claim is from: </w:t>
      </w:r>
    </w:p>
    <w:p w:rsidR="00087370" w:rsidRDefault="003B7960">
      <w:pPr>
        <w:numPr>
          <w:ilvl w:val="2"/>
          <w:numId w:val="7"/>
        </w:numPr>
        <w:ind w:right="5" w:hanging="408"/>
      </w:pPr>
      <w:r>
        <w:t xml:space="preserve">the use of data supplied by the Buyer which the Supplier isn’t required to verify under this Call-Off Contract </w:t>
      </w:r>
    </w:p>
    <w:p w:rsidR="00087370" w:rsidRDefault="003B7960">
      <w:pPr>
        <w:numPr>
          <w:ilvl w:val="2"/>
          <w:numId w:val="7"/>
        </w:numPr>
        <w:ind w:right="5" w:hanging="408"/>
      </w:pPr>
      <w:r>
        <w:t xml:space="preserve">other material provided by the Buyer necessary for the Services </w:t>
      </w:r>
    </w:p>
    <w:p w:rsidR="00087370" w:rsidRDefault="003B7960">
      <w:pPr>
        <w:numPr>
          <w:ilvl w:val="1"/>
          <w:numId w:val="7"/>
        </w:numPr>
        <w:spacing w:after="207"/>
        <w:ind w:right="5" w:hanging="725"/>
      </w:pPr>
      <w:r>
        <w:t xml:space="preserve">If the Supplier does not comply with clauses 11.2 to 11.6, the Buyer </w:t>
      </w:r>
      <w:proofErr w:type="gramStart"/>
      <w:r>
        <w:t>may</w:t>
      </w:r>
      <w:proofErr w:type="gramEnd"/>
      <w:r>
        <w:t xml:space="preserve"> End this Call-Off Contract for Material Breach. The Supplier will, on demand, refund the Buyer all the money paid for the affected Services. </w:t>
      </w:r>
    </w:p>
    <w:p w:rsidR="00087370" w:rsidRDefault="003B7960">
      <w:pPr>
        <w:numPr>
          <w:ilvl w:val="0"/>
          <w:numId w:val="7"/>
        </w:numPr>
        <w:ind w:right="5" w:hanging="355"/>
      </w:pPr>
      <w:r>
        <w:t xml:space="preserve">Protection of information </w:t>
      </w:r>
    </w:p>
    <w:p w:rsidR="00087370" w:rsidRDefault="003B7960">
      <w:pPr>
        <w:numPr>
          <w:ilvl w:val="1"/>
          <w:numId w:val="7"/>
        </w:numPr>
        <w:ind w:right="5" w:hanging="725"/>
      </w:pPr>
      <w:r>
        <w:lastRenderedPageBreak/>
        <w:t xml:space="preserve">The Supplier must: </w:t>
      </w:r>
    </w:p>
    <w:p w:rsidR="00087370" w:rsidRDefault="003B7960">
      <w:pPr>
        <w:numPr>
          <w:ilvl w:val="2"/>
          <w:numId w:val="7"/>
        </w:numPr>
        <w:ind w:right="5" w:hanging="408"/>
      </w:pPr>
      <w:r>
        <w:t xml:space="preserve">comply with the Buyer’s written instructions and this Call-Off Contract when Processing Buyer Personal Data </w:t>
      </w:r>
    </w:p>
    <w:p w:rsidR="00087370" w:rsidRDefault="003B7960">
      <w:pPr>
        <w:numPr>
          <w:ilvl w:val="2"/>
          <w:numId w:val="7"/>
        </w:numPr>
        <w:ind w:right="5" w:hanging="408"/>
      </w:pPr>
      <w:r>
        <w:t xml:space="preserve">only Process the Buyer Personal Data as necessary for the provision of the G-Cloud Services or as required by Law or any Regulatory Body </w:t>
      </w:r>
    </w:p>
    <w:p w:rsidR="00087370" w:rsidRDefault="003B7960">
      <w:pPr>
        <w:numPr>
          <w:ilvl w:val="2"/>
          <w:numId w:val="7"/>
        </w:numPr>
        <w:ind w:right="5" w:hanging="408"/>
      </w:pPr>
      <w:r>
        <w:t xml:space="preserve">take reasonable steps to ensure that any Supplier Staff who have access to Buyer Personal Data act in compliance with Supplier's security processes </w:t>
      </w:r>
    </w:p>
    <w:p w:rsidR="00087370" w:rsidRDefault="003B7960">
      <w:pPr>
        <w:numPr>
          <w:ilvl w:val="1"/>
          <w:numId w:val="7"/>
        </w:numPr>
        <w:ind w:right="5" w:hanging="725"/>
      </w:pPr>
      <w:r>
        <w:t xml:space="preserve">The Supplier must fully assist with any complaint or request for Buyer Personal Data including by: </w:t>
      </w:r>
    </w:p>
    <w:p w:rsidR="00087370" w:rsidRDefault="003B7960">
      <w:pPr>
        <w:numPr>
          <w:ilvl w:val="2"/>
          <w:numId w:val="7"/>
        </w:numPr>
        <w:ind w:right="5" w:hanging="408"/>
      </w:pPr>
      <w:r>
        <w:t xml:space="preserve">providing the Buyer with full details of the complaint or request </w:t>
      </w:r>
    </w:p>
    <w:p w:rsidR="00087370" w:rsidRDefault="003B7960">
      <w:pPr>
        <w:numPr>
          <w:ilvl w:val="2"/>
          <w:numId w:val="7"/>
        </w:numPr>
        <w:ind w:right="5" w:hanging="408"/>
      </w:pPr>
      <w:r>
        <w:t xml:space="preserve">complying with a data access request within the timescales in the Data Protection Legislation and following the Buyer’s instructions </w:t>
      </w:r>
    </w:p>
    <w:p w:rsidR="00087370" w:rsidRDefault="003B7960">
      <w:pPr>
        <w:numPr>
          <w:ilvl w:val="2"/>
          <w:numId w:val="7"/>
        </w:numPr>
        <w:ind w:right="5" w:hanging="408"/>
      </w:pPr>
      <w:r>
        <w:t xml:space="preserve">providing the Buyer with any Buyer Personal Data it holds about a Data Subject (within the timescales required by the Buyer) </w:t>
      </w:r>
    </w:p>
    <w:p w:rsidR="00087370" w:rsidRDefault="003B7960">
      <w:pPr>
        <w:numPr>
          <w:ilvl w:val="2"/>
          <w:numId w:val="7"/>
        </w:numPr>
        <w:ind w:right="5" w:hanging="408"/>
      </w:pPr>
      <w:r>
        <w:t xml:space="preserve">providing the Buyer with any information requested by the Data Subject </w:t>
      </w:r>
    </w:p>
    <w:p w:rsidR="00087370" w:rsidRDefault="003B7960">
      <w:pPr>
        <w:numPr>
          <w:ilvl w:val="1"/>
          <w:numId w:val="7"/>
        </w:numPr>
        <w:spacing w:after="208"/>
        <w:ind w:right="5" w:hanging="725"/>
      </w:pPr>
      <w:r>
        <w:t xml:space="preserve">The Supplier must get prior written consent from the Buyer to transfer Buyer Personal Data to any other person (including any Subcontractors) for the provision of the G-Cloud Services. </w:t>
      </w:r>
    </w:p>
    <w:p w:rsidR="00087370" w:rsidRDefault="003B7960">
      <w:pPr>
        <w:numPr>
          <w:ilvl w:val="0"/>
          <w:numId w:val="7"/>
        </w:numPr>
        <w:spacing w:after="212"/>
        <w:ind w:right="5" w:hanging="355"/>
      </w:pPr>
      <w:r>
        <w:t xml:space="preserve">Buyer data </w:t>
      </w:r>
    </w:p>
    <w:p w:rsidR="00087370" w:rsidRDefault="003B7960">
      <w:pPr>
        <w:spacing w:after="51"/>
        <w:ind w:left="11" w:right="5"/>
      </w:pPr>
      <w:r>
        <w:t xml:space="preserve">The Supplier must not remove any proprietary notices in the Buyer Data. </w:t>
      </w:r>
    </w:p>
    <w:p w:rsidR="00087370" w:rsidRDefault="003B7960">
      <w:pPr>
        <w:numPr>
          <w:ilvl w:val="1"/>
          <w:numId w:val="7"/>
        </w:numPr>
        <w:ind w:right="5" w:hanging="725"/>
      </w:pPr>
      <w:r>
        <w:t xml:space="preserve">The Supplier will not store or use Buyer Data except if necessary to fulfil its obligations. </w:t>
      </w:r>
    </w:p>
    <w:p w:rsidR="00087370" w:rsidRDefault="003B7960">
      <w:pPr>
        <w:numPr>
          <w:ilvl w:val="1"/>
          <w:numId w:val="7"/>
        </w:numPr>
        <w:ind w:right="5" w:hanging="725"/>
      </w:pPr>
      <w:r>
        <w:t xml:space="preserve">If Buyer Data is processed by the Supplier, the Supplier will supply the data to the Buyer as requested. </w:t>
      </w:r>
    </w:p>
    <w:p w:rsidR="00087370" w:rsidRDefault="003B7960">
      <w:pPr>
        <w:numPr>
          <w:ilvl w:val="1"/>
          <w:numId w:val="7"/>
        </w:numPr>
        <w:ind w:right="5" w:hanging="725"/>
      </w:pPr>
      <w:r>
        <w:t xml:space="preserve">The Supplier must ensure that any Supplier system that holds any Buyer Data is a secure system that complies with the Supplier’s and Buyer’s security policy and all Buyer requirements in the Order Form.  </w:t>
      </w:r>
    </w:p>
    <w:p w:rsidR="00087370" w:rsidRDefault="003B7960">
      <w:pPr>
        <w:numPr>
          <w:ilvl w:val="1"/>
          <w:numId w:val="7"/>
        </w:numPr>
        <w:ind w:right="5" w:hanging="725"/>
      </w:pPr>
      <w:r>
        <w:t xml:space="preserve">The Supplier will preserve the integrity of Buyer Data processed by the Supplier and prevent its corruption and loss. </w:t>
      </w:r>
    </w:p>
    <w:p w:rsidR="00087370" w:rsidRDefault="003B7960">
      <w:pPr>
        <w:numPr>
          <w:ilvl w:val="1"/>
          <w:numId w:val="7"/>
        </w:numPr>
        <w:ind w:right="5" w:hanging="725"/>
      </w:pPr>
      <w:r>
        <w:lastRenderedPageBreak/>
        <w:t xml:space="preserve">The Supplier will ensure that any Supplier system which holds any protectively marked Buyer Data or other government data will comply with: </w:t>
      </w:r>
    </w:p>
    <w:p w:rsidR="00087370" w:rsidRDefault="003B7960">
      <w:pPr>
        <w:numPr>
          <w:ilvl w:val="2"/>
          <w:numId w:val="7"/>
        </w:numPr>
        <w:spacing w:after="245"/>
        <w:ind w:right="5" w:hanging="408"/>
      </w:pPr>
      <w:r>
        <w:t xml:space="preserve">the principles in the Security Policy Framework at </w:t>
      </w:r>
      <w:hyperlink r:id="rId12">
        <w:r>
          <w:rPr>
            <w:color w:val="1155CC"/>
            <w:u w:val="single" w:color="1155CC"/>
          </w:rPr>
          <w:t>https://www.gov.uk/government/publications/security</w:t>
        </w:r>
      </w:hyperlink>
      <w:hyperlink r:id="rId13">
        <w:r>
          <w:rPr>
            <w:color w:val="1155CC"/>
            <w:u w:val="single" w:color="1155CC"/>
          </w:rPr>
          <w:t>-</w:t>
        </w:r>
      </w:hyperlink>
      <w:hyperlink r:id="rId14">
        <w:r>
          <w:rPr>
            <w:color w:val="1155CC"/>
            <w:u w:val="single" w:color="1155CC"/>
          </w:rPr>
          <w:t>policy</w:t>
        </w:r>
      </w:hyperlink>
      <w:hyperlink r:id="rId15">
        <w:r>
          <w:rPr>
            <w:color w:val="1155CC"/>
            <w:u w:val="single" w:color="1155CC"/>
          </w:rPr>
          <w:t>-</w:t>
        </w:r>
      </w:hyperlink>
      <w:hyperlink r:id="rId16">
        <w:r>
          <w:rPr>
            <w:color w:val="1155CC"/>
            <w:u w:val="single" w:color="1155CC"/>
          </w:rPr>
          <w:t>framework</w:t>
        </w:r>
      </w:hyperlink>
      <w:hyperlink r:id="rId17">
        <w:r>
          <w:t xml:space="preserve"> </w:t>
        </w:r>
      </w:hyperlink>
      <w:r>
        <w:t xml:space="preserve">and the Government Security Classification policy at </w:t>
      </w:r>
      <w:hyperlink r:id="rId18">
        <w:r>
          <w:rPr>
            <w:color w:val="1155CC"/>
            <w:u w:val="single" w:color="1155CC"/>
          </w:rPr>
          <w:t>https://www.gov.uk/government/publications/government</w:t>
        </w:r>
      </w:hyperlink>
      <w:hyperlink r:id="rId19">
        <w:r>
          <w:rPr>
            <w:color w:val="1155CC"/>
            <w:u w:val="single" w:color="1155CC"/>
          </w:rPr>
          <w:t>-</w:t>
        </w:r>
      </w:hyperlink>
      <w:hyperlink r:id="rId20">
        <w:r>
          <w:rPr>
            <w:color w:val="1155CC"/>
            <w:u w:val="single" w:color="1155CC"/>
          </w:rPr>
          <w:t>security</w:t>
        </w:r>
      </w:hyperlink>
      <w:hyperlink r:id="rId21">
        <w:r>
          <w:rPr>
            <w:color w:val="1155CC"/>
            <w:u w:val="single" w:color="1155CC"/>
          </w:rPr>
          <w:t>-</w:t>
        </w:r>
      </w:hyperlink>
      <w:hyperlink r:id="rId22">
        <w:r>
          <w:rPr>
            <w:color w:val="1155CC"/>
            <w:u w:val="single" w:color="1155CC"/>
          </w:rPr>
          <w:t>classifications</w:t>
        </w:r>
      </w:hyperlink>
      <w:hyperlink r:id="rId23">
        <w:r>
          <w:t xml:space="preserve"> </w:t>
        </w:r>
      </w:hyperlink>
    </w:p>
    <w:p w:rsidR="00087370" w:rsidRDefault="003B7960">
      <w:pPr>
        <w:numPr>
          <w:ilvl w:val="2"/>
          <w:numId w:val="7"/>
        </w:numPr>
        <w:spacing w:after="13"/>
        <w:ind w:right="5" w:hanging="408"/>
      </w:pPr>
      <w:r>
        <w:t xml:space="preserve">guidance issued by the Centre for Protection of National Infrastructure on Risk </w:t>
      </w:r>
    </w:p>
    <w:p w:rsidR="00087370" w:rsidRDefault="003B7960">
      <w:pPr>
        <w:spacing w:after="248"/>
        <w:ind w:left="1455"/>
      </w:pPr>
      <w:r>
        <w:t xml:space="preserve">Management at </w:t>
      </w:r>
      <w:hyperlink r:id="rId24">
        <w:r>
          <w:rPr>
            <w:color w:val="1155CC"/>
            <w:u w:val="single" w:color="1155CC"/>
          </w:rPr>
          <w:t>https://www.cpni.gov.uk/content/adopt</w:t>
        </w:r>
      </w:hyperlink>
      <w:hyperlink r:id="rId25">
        <w:r>
          <w:rPr>
            <w:color w:val="1155CC"/>
            <w:u w:val="single" w:color="1155CC"/>
          </w:rPr>
          <w:t>-</w:t>
        </w:r>
      </w:hyperlink>
      <w:hyperlink r:id="rId26">
        <w:r>
          <w:rPr>
            <w:color w:val="1155CC"/>
            <w:u w:val="single" w:color="1155CC"/>
          </w:rPr>
          <w:t>risk</w:t>
        </w:r>
      </w:hyperlink>
      <w:hyperlink r:id="rId27">
        <w:r>
          <w:rPr>
            <w:color w:val="1155CC"/>
            <w:u w:val="single" w:color="1155CC"/>
          </w:rPr>
          <w:t>-</w:t>
        </w:r>
      </w:hyperlink>
      <w:hyperlink r:id="rId28">
        <w:r>
          <w:rPr>
            <w:color w:val="1155CC"/>
            <w:u w:val="single" w:color="1155CC"/>
          </w:rPr>
          <w:t>management</w:t>
        </w:r>
      </w:hyperlink>
      <w:hyperlink r:id="rId29">
        <w:r>
          <w:rPr>
            <w:color w:val="1155CC"/>
            <w:u w:val="single" w:color="1155CC"/>
          </w:rPr>
          <w:t>-</w:t>
        </w:r>
      </w:hyperlink>
      <w:hyperlink r:id="rId30">
        <w:r>
          <w:rPr>
            <w:color w:val="1155CC"/>
            <w:u w:val="single" w:color="1155CC"/>
          </w:rPr>
          <w:t>approach</w:t>
        </w:r>
      </w:hyperlink>
      <w:hyperlink r:id="rId31">
        <w:r>
          <w:t xml:space="preserve"> </w:t>
        </w:r>
      </w:hyperlink>
      <w:r>
        <w:t xml:space="preserve">and Accreditation of Information Systems at </w:t>
      </w:r>
      <w:hyperlink r:id="rId32">
        <w:r>
          <w:rPr>
            <w:color w:val="1155CC"/>
            <w:u w:val="single" w:color="1155CC"/>
          </w:rPr>
          <w:t>https://www.cpni.gov.uk/protection</w:t>
        </w:r>
      </w:hyperlink>
      <w:hyperlink r:id="rId33">
        <w:r>
          <w:rPr>
            <w:color w:val="1155CC"/>
            <w:u w:val="single" w:color="1155CC"/>
          </w:rPr>
          <w:t>-</w:t>
        </w:r>
      </w:hyperlink>
      <w:hyperlink r:id="rId34">
        <w:r>
          <w:rPr>
            <w:color w:val="1155CC"/>
            <w:u w:val="single" w:color="1155CC"/>
          </w:rPr>
          <w:t>sensitive</w:t>
        </w:r>
      </w:hyperlink>
      <w:hyperlink r:id="rId35"/>
      <w:hyperlink r:id="rId36">
        <w:r>
          <w:rPr>
            <w:color w:val="1155CC"/>
            <w:u w:val="single" w:color="1155CC"/>
          </w:rPr>
          <w:t>information</w:t>
        </w:r>
      </w:hyperlink>
      <w:hyperlink r:id="rId37">
        <w:r>
          <w:rPr>
            <w:color w:val="1155CC"/>
            <w:u w:val="single" w:color="1155CC"/>
          </w:rPr>
          <w:t>-</w:t>
        </w:r>
      </w:hyperlink>
      <w:hyperlink r:id="rId38">
        <w:r>
          <w:rPr>
            <w:color w:val="1155CC"/>
            <w:u w:val="single" w:color="1155CC"/>
          </w:rPr>
          <w:t>and</w:t>
        </w:r>
      </w:hyperlink>
      <w:hyperlink r:id="rId39">
        <w:r>
          <w:rPr>
            <w:color w:val="1155CC"/>
            <w:u w:val="single" w:color="1155CC"/>
          </w:rPr>
          <w:t>-</w:t>
        </w:r>
      </w:hyperlink>
      <w:hyperlink r:id="rId40">
        <w:r>
          <w:rPr>
            <w:color w:val="1155CC"/>
            <w:u w:val="single" w:color="1155CC"/>
          </w:rPr>
          <w:t>assets</w:t>
        </w:r>
      </w:hyperlink>
      <w:hyperlink r:id="rId41">
        <w:r>
          <w:t xml:space="preserve"> </w:t>
        </w:r>
      </w:hyperlink>
      <w:r>
        <w:t xml:space="preserve"> </w:t>
      </w:r>
    </w:p>
    <w:p w:rsidR="00087370" w:rsidRDefault="003B7960">
      <w:pPr>
        <w:numPr>
          <w:ilvl w:val="2"/>
          <w:numId w:val="7"/>
        </w:numPr>
        <w:ind w:right="5" w:hanging="408"/>
      </w:pPr>
      <w:r>
        <w:t xml:space="preserve">the National Cyber Security Centre’s (NCSC) information risk management guidance, available at </w:t>
      </w:r>
      <w:hyperlink r:id="rId42">
        <w:r>
          <w:rPr>
            <w:color w:val="1155CC"/>
            <w:u w:val="single" w:color="1155CC"/>
          </w:rPr>
          <w:t>https://www.ncsc.gov.uk/guidance/risk</w:t>
        </w:r>
      </w:hyperlink>
      <w:hyperlink r:id="rId43">
        <w:r>
          <w:rPr>
            <w:color w:val="1155CC"/>
            <w:u w:val="single" w:color="1155CC"/>
          </w:rPr>
          <w:t>-</w:t>
        </w:r>
      </w:hyperlink>
      <w:hyperlink r:id="rId44">
        <w:r>
          <w:rPr>
            <w:color w:val="1155CC"/>
            <w:u w:val="single" w:color="1155CC"/>
          </w:rPr>
          <w:t>management</w:t>
        </w:r>
      </w:hyperlink>
      <w:hyperlink r:id="rId45">
        <w:r>
          <w:rPr>
            <w:color w:val="1155CC"/>
            <w:u w:val="single" w:color="1155CC"/>
          </w:rPr>
          <w:t>-</w:t>
        </w:r>
      </w:hyperlink>
      <w:hyperlink r:id="rId46">
        <w:r>
          <w:rPr>
            <w:color w:val="1155CC"/>
            <w:u w:val="single" w:color="1155CC"/>
          </w:rPr>
          <w:t>collection</w:t>
        </w:r>
      </w:hyperlink>
      <w:hyperlink r:id="rId47">
        <w:r>
          <w:t xml:space="preserve"> </w:t>
        </w:r>
      </w:hyperlink>
    </w:p>
    <w:p w:rsidR="00087370" w:rsidRDefault="003B7960">
      <w:pPr>
        <w:numPr>
          <w:ilvl w:val="2"/>
          <w:numId w:val="7"/>
        </w:numPr>
        <w:ind w:right="5" w:hanging="408"/>
      </w:pPr>
      <w:r>
        <w:t>government best practice</w:t>
      </w:r>
      <w:hyperlink r:id="rId48">
        <w:r>
          <w:t xml:space="preserve"> </w:t>
        </w:r>
      </w:hyperlink>
      <w:hyperlink r:id="rId49">
        <w:r>
          <w:t>in</w:t>
        </w:r>
      </w:hyperlink>
      <w:hyperlink r:id="rId50">
        <w:r>
          <w:t xml:space="preserve"> </w:t>
        </w:r>
      </w:hyperlink>
      <w:hyperlink r:id="rId51">
        <w:r>
          <w:t>th</w:t>
        </w:r>
      </w:hyperlink>
      <w:r>
        <w:t xml:space="preserve">e design and implementation of system components, including network principles, security design principles for digital services and the secure email blueprint, available at </w:t>
      </w:r>
      <w:hyperlink r:id="rId52">
        <w:r>
          <w:rPr>
            <w:color w:val="1155CC"/>
            <w:u w:val="single" w:color="1155CC"/>
          </w:rPr>
          <w:t>https://www.gov.uk/government/publications/technology</w:t>
        </w:r>
      </w:hyperlink>
      <w:hyperlink r:id="rId53"/>
      <w:hyperlink r:id="rId54">
        <w:r>
          <w:rPr>
            <w:color w:val="1155CC"/>
            <w:u w:val="single" w:color="1155CC"/>
          </w:rPr>
          <w:t>code</w:t>
        </w:r>
      </w:hyperlink>
      <w:hyperlink r:id="rId55">
        <w:r>
          <w:rPr>
            <w:color w:val="1155CC"/>
            <w:u w:val="single" w:color="1155CC"/>
          </w:rPr>
          <w:t>-</w:t>
        </w:r>
      </w:hyperlink>
      <w:hyperlink r:id="rId56">
        <w:r>
          <w:rPr>
            <w:color w:val="1155CC"/>
            <w:u w:val="single" w:color="1155CC"/>
          </w:rPr>
          <w:t>of</w:t>
        </w:r>
      </w:hyperlink>
      <w:hyperlink r:id="rId57">
        <w:r>
          <w:rPr>
            <w:color w:val="1155CC"/>
            <w:u w:val="single" w:color="1155CC"/>
          </w:rPr>
          <w:t>-</w:t>
        </w:r>
      </w:hyperlink>
      <w:hyperlink r:id="rId58">
        <w:r>
          <w:rPr>
            <w:color w:val="1155CC"/>
            <w:u w:val="single" w:color="1155CC"/>
          </w:rPr>
          <w:t>practice/technology</w:t>
        </w:r>
      </w:hyperlink>
      <w:hyperlink r:id="rId59">
        <w:r>
          <w:rPr>
            <w:color w:val="1155CC"/>
            <w:u w:val="single" w:color="1155CC"/>
          </w:rPr>
          <w:t>-</w:t>
        </w:r>
      </w:hyperlink>
      <w:hyperlink r:id="rId60">
        <w:r>
          <w:rPr>
            <w:color w:val="1155CC"/>
            <w:u w:val="single" w:color="1155CC"/>
          </w:rPr>
          <w:t>code</w:t>
        </w:r>
      </w:hyperlink>
      <w:hyperlink r:id="rId61">
        <w:r>
          <w:rPr>
            <w:color w:val="1155CC"/>
            <w:u w:val="single" w:color="1155CC"/>
          </w:rPr>
          <w:t>-</w:t>
        </w:r>
      </w:hyperlink>
      <w:hyperlink r:id="rId62">
        <w:r>
          <w:rPr>
            <w:color w:val="1155CC"/>
            <w:u w:val="single" w:color="1155CC"/>
          </w:rPr>
          <w:t>of</w:t>
        </w:r>
      </w:hyperlink>
      <w:hyperlink r:id="rId63">
        <w:r>
          <w:rPr>
            <w:color w:val="1155CC"/>
            <w:u w:val="single" w:color="1155CC"/>
          </w:rPr>
          <w:t>-</w:t>
        </w:r>
      </w:hyperlink>
      <w:hyperlink r:id="rId64">
        <w:r>
          <w:rPr>
            <w:color w:val="1155CC"/>
            <w:u w:val="single" w:color="1155CC"/>
          </w:rPr>
          <w:t>practice</w:t>
        </w:r>
      </w:hyperlink>
      <w:hyperlink r:id="rId65">
        <w:r>
          <w:t xml:space="preserve"> </w:t>
        </w:r>
      </w:hyperlink>
    </w:p>
    <w:p w:rsidR="00087370" w:rsidRDefault="003B7960">
      <w:pPr>
        <w:numPr>
          <w:ilvl w:val="2"/>
          <w:numId w:val="7"/>
        </w:numPr>
        <w:ind w:right="5" w:hanging="408"/>
      </w:pPr>
      <w:r>
        <w:t xml:space="preserve">the security requirements of cloud services using the NCSC Cloud Security Principles and accompanying guidance at </w:t>
      </w:r>
      <w:hyperlink r:id="rId66">
        <w:r>
          <w:rPr>
            <w:color w:val="1155CC"/>
            <w:u w:val="single" w:color="1155CC"/>
          </w:rPr>
          <w:t>https://www.ncsc.gov.uk/guidance/implementing</w:t>
        </w:r>
      </w:hyperlink>
      <w:hyperlink r:id="rId67">
        <w:r>
          <w:rPr>
            <w:color w:val="1155CC"/>
            <w:u w:val="single" w:color="1155CC"/>
          </w:rPr>
          <w:t>-</w:t>
        </w:r>
      </w:hyperlink>
      <w:hyperlink r:id="rId68">
        <w:r>
          <w:rPr>
            <w:color w:val="1155CC"/>
            <w:u w:val="single" w:color="1155CC"/>
          </w:rPr>
          <w:t>cloud</w:t>
        </w:r>
      </w:hyperlink>
      <w:hyperlink r:id="rId69"/>
      <w:hyperlink r:id="rId70">
        <w:r>
          <w:rPr>
            <w:color w:val="1155CC"/>
            <w:u w:val="single" w:color="1155CC"/>
          </w:rPr>
          <w:t>security</w:t>
        </w:r>
      </w:hyperlink>
      <w:hyperlink r:id="rId71">
        <w:r>
          <w:rPr>
            <w:color w:val="1155CC"/>
            <w:u w:val="single" w:color="1155CC"/>
          </w:rPr>
          <w:t>-</w:t>
        </w:r>
      </w:hyperlink>
      <w:hyperlink r:id="rId72">
        <w:r>
          <w:rPr>
            <w:color w:val="1155CC"/>
            <w:u w:val="single" w:color="1155CC"/>
          </w:rPr>
          <w:t>principles</w:t>
        </w:r>
      </w:hyperlink>
      <w:hyperlink r:id="rId73">
        <w:r>
          <w:t xml:space="preserve"> </w:t>
        </w:r>
      </w:hyperlink>
      <w:r>
        <w:t xml:space="preserve"> </w:t>
      </w:r>
    </w:p>
    <w:p w:rsidR="00087370" w:rsidRDefault="003B7960">
      <w:pPr>
        <w:numPr>
          <w:ilvl w:val="1"/>
          <w:numId w:val="7"/>
        </w:numPr>
        <w:ind w:right="5" w:hanging="725"/>
      </w:pPr>
      <w:r>
        <w:t xml:space="preserve">The Buyer will specify any security requirements for this project in the Order Form. </w:t>
      </w:r>
    </w:p>
    <w:p w:rsidR="00087370" w:rsidRDefault="003B7960">
      <w:pPr>
        <w:numPr>
          <w:ilvl w:val="1"/>
          <w:numId w:val="7"/>
        </w:numPr>
        <w:ind w:right="5"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087370" w:rsidRDefault="003B7960">
      <w:pPr>
        <w:numPr>
          <w:ilvl w:val="1"/>
          <w:numId w:val="7"/>
        </w:numPr>
        <w:spacing w:after="11"/>
        <w:ind w:right="5" w:hanging="725"/>
      </w:pPr>
      <w:r>
        <w:t xml:space="preserve">The Supplier agrees to use the appropriate organisational, operational and technological processes </w:t>
      </w:r>
    </w:p>
    <w:p w:rsidR="00087370" w:rsidRDefault="003B7960">
      <w:pPr>
        <w:ind w:left="735" w:right="5"/>
      </w:pPr>
      <w:r>
        <w:t xml:space="preserve">to keep the Buyer Data safe from unauthorised use or access, loss, destruction, theft or disclosure. </w:t>
      </w:r>
    </w:p>
    <w:p w:rsidR="00087370" w:rsidRDefault="003B7960">
      <w:pPr>
        <w:numPr>
          <w:ilvl w:val="1"/>
          <w:numId w:val="7"/>
        </w:numPr>
        <w:spacing w:after="208"/>
        <w:ind w:right="5" w:hanging="725"/>
      </w:pPr>
      <w:r>
        <w:t xml:space="preserve">The provisions of this clause 13 will apply during the term of this Call-Off Contract and for as long as the Supplier holds the Buyer’s Data. </w:t>
      </w:r>
    </w:p>
    <w:p w:rsidR="00087370" w:rsidRDefault="003B7960">
      <w:pPr>
        <w:numPr>
          <w:ilvl w:val="0"/>
          <w:numId w:val="7"/>
        </w:numPr>
        <w:ind w:right="5" w:hanging="355"/>
      </w:pPr>
      <w:r>
        <w:lastRenderedPageBreak/>
        <w:t xml:space="preserve">Standards and quality </w:t>
      </w:r>
    </w:p>
    <w:p w:rsidR="00087370" w:rsidRDefault="003B7960">
      <w:pPr>
        <w:numPr>
          <w:ilvl w:val="1"/>
          <w:numId w:val="7"/>
        </w:numPr>
        <w:ind w:right="5" w:hanging="725"/>
      </w:pPr>
      <w:r>
        <w:t xml:space="preserve">The Supplier will comply with any standards in this Call-Off Contract, the Order Form and the Framework Agreement. </w:t>
      </w:r>
    </w:p>
    <w:p w:rsidR="00087370" w:rsidRDefault="0014728F">
      <w:pPr>
        <w:numPr>
          <w:ilvl w:val="1"/>
          <w:numId w:val="7"/>
        </w:numPr>
        <w:ind w:right="5" w:hanging="725"/>
      </w:pPr>
      <w:hyperlink r:id="rId74">
        <w:r w:rsidR="003B7960">
          <w:t xml:space="preserve">The Supplier will deliver the Services in a way that enables the Buyer to comply with its </w:t>
        </w:r>
      </w:hyperlink>
      <w:hyperlink r:id="rId75">
        <w:r w:rsidR="003B7960">
          <w:t xml:space="preserve">obligations under the </w:t>
        </w:r>
      </w:hyperlink>
      <w:hyperlink r:id="rId76">
        <w:r w:rsidR="003B7960">
          <w:t>Technology Code of Practic</w:t>
        </w:r>
      </w:hyperlink>
      <w:hyperlink r:id="rId77">
        <w:r w:rsidR="003B7960">
          <w:t>e</w:t>
        </w:r>
      </w:hyperlink>
      <w:hyperlink r:id="rId78">
        <w:r w:rsidR="003B7960">
          <w:t>,</w:t>
        </w:r>
      </w:hyperlink>
      <w:hyperlink r:id="rId79">
        <w:r w:rsidR="003B7960">
          <w:t xml:space="preserve"> </w:t>
        </w:r>
      </w:hyperlink>
      <w:hyperlink r:id="rId80">
        <w:r w:rsidR="003B7960">
          <w:t xml:space="preserve">which is available at </w:t>
        </w:r>
      </w:hyperlink>
      <w:hyperlink r:id="rId81">
        <w:r w:rsidR="003B7960">
          <w:rPr>
            <w:color w:val="1155CC"/>
            <w:u w:val="single" w:color="1155CC"/>
          </w:rPr>
          <w:t>https://www.gov.uk/government/publications/technology</w:t>
        </w:r>
      </w:hyperlink>
      <w:hyperlink r:id="rId82">
        <w:r w:rsidR="003B7960">
          <w:rPr>
            <w:color w:val="1155CC"/>
            <w:u w:val="single" w:color="1155CC"/>
          </w:rPr>
          <w:t>-</w:t>
        </w:r>
      </w:hyperlink>
      <w:hyperlink r:id="rId83">
        <w:r w:rsidR="003B7960">
          <w:rPr>
            <w:color w:val="1155CC"/>
            <w:u w:val="single" w:color="1155CC"/>
          </w:rPr>
          <w:t>code</w:t>
        </w:r>
      </w:hyperlink>
      <w:hyperlink r:id="rId84">
        <w:r w:rsidR="003B7960">
          <w:rPr>
            <w:color w:val="1155CC"/>
            <w:u w:val="single" w:color="1155CC"/>
          </w:rPr>
          <w:t>-</w:t>
        </w:r>
      </w:hyperlink>
      <w:hyperlink r:id="rId85">
        <w:r w:rsidR="003B7960">
          <w:rPr>
            <w:color w:val="1155CC"/>
            <w:u w:val="single" w:color="1155CC"/>
          </w:rPr>
          <w:t>of</w:t>
        </w:r>
      </w:hyperlink>
      <w:hyperlink r:id="rId86">
        <w:r w:rsidR="003B7960">
          <w:rPr>
            <w:color w:val="1155CC"/>
            <w:u w:val="single" w:color="1155CC"/>
          </w:rPr>
          <w:t>-</w:t>
        </w:r>
      </w:hyperlink>
      <w:hyperlink r:id="rId87">
        <w:r w:rsidR="003B7960">
          <w:rPr>
            <w:color w:val="1155CC"/>
            <w:u w:val="single" w:color="1155CC"/>
          </w:rPr>
          <w:t>practice/technology</w:t>
        </w:r>
      </w:hyperlink>
      <w:hyperlink r:id="rId88">
        <w:r w:rsidR="003B7960">
          <w:rPr>
            <w:color w:val="1155CC"/>
            <w:u w:val="single" w:color="1155CC"/>
          </w:rPr>
          <w:t>-</w:t>
        </w:r>
      </w:hyperlink>
      <w:hyperlink r:id="rId89">
        <w:r w:rsidR="003B7960">
          <w:rPr>
            <w:color w:val="1155CC"/>
            <w:u w:val="single" w:color="1155CC"/>
          </w:rPr>
          <w:t>code</w:t>
        </w:r>
      </w:hyperlink>
      <w:hyperlink r:id="rId90">
        <w:r w:rsidR="003B7960">
          <w:rPr>
            <w:color w:val="1155CC"/>
            <w:u w:val="single" w:color="1155CC"/>
          </w:rPr>
          <w:t>-</w:t>
        </w:r>
      </w:hyperlink>
      <w:hyperlink r:id="rId91">
        <w:r w:rsidR="003B7960">
          <w:rPr>
            <w:color w:val="1155CC"/>
            <w:u w:val="single" w:color="1155CC"/>
          </w:rPr>
          <w:t>of</w:t>
        </w:r>
      </w:hyperlink>
      <w:hyperlink r:id="rId92"/>
      <w:hyperlink r:id="rId93">
        <w:r w:rsidR="003B7960">
          <w:rPr>
            <w:color w:val="1155CC"/>
            <w:u w:val="single" w:color="1155CC"/>
          </w:rPr>
          <w:t>practice</w:t>
        </w:r>
      </w:hyperlink>
      <w:hyperlink r:id="rId94">
        <w:r w:rsidR="003B7960">
          <w:t xml:space="preserve"> </w:t>
        </w:r>
      </w:hyperlink>
    </w:p>
    <w:p w:rsidR="00087370" w:rsidRDefault="003B7960">
      <w:pPr>
        <w:numPr>
          <w:ilvl w:val="1"/>
          <w:numId w:val="7"/>
        </w:numPr>
        <w:ind w:right="5" w:hanging="725"/>
      </w:pPr>
      <w:r>
        <w:t xml:space="preserve">If requested by the Buyer, the Supplier must, at its own cost, ensure that the G-Cloud Services comply with the requirements in the PSN Code of Practice. </w:t>
      </w:r>
    </w:p>
    <w:p w:rsidR="00087370" w:rsidRDefault="003B7960">
      <w:pPr>
        <w:numPr>
          <w:ilvl w:val="1"/>
          <w:numId w:val="7"/>
        </w:numPr>
        <w:ind w:right="5" w:hanging="725"/>
      </w:pPr>
      <w:r>
        <w:t xml:space="preserve">If any PSN Services are Subcontracted by the Supplier, the Supplier must ensure that the services have the relevant PSN compliance certification. </w:t>
      </w:r>
    </w:p>
    <w:p w:rsidR="00087370" w:rsidRDefault="003B7960">
      <w:pPr>
        <w:numPr>
          <w:ilvl w:val="1"/>
          <w:numId w:val="7"/>
        </w:numPr>
        <w:spacing w:after="11"/>
        <w:ind w:right="5" w:hanging="725"/>
      </w:pPr>
      <w:r>
        <w:t xml:space="preserve">The Supplier must immediately disconnect its G-Cloud Services from the PSN if the PSN </w:t>
      </w:r>
    </w:p>
    <w:p w:rsidR="00087370" w:rsidRDefault="003B7960">
      <w:pPr>
        <w:spacing w:after="207"/>
        <w:ind w:left="735" w:right="5"/>
      </w:pPr>
      <w:r>
        <w:t>Authority considers there is a risk to the PSN’s security and the Supplier agrees that the Buyer and the PSN Authority will not be liable for any actions, damages, costs, and any other Supplier liabilities which may arise</w:t>
      </w:r>
      <w:hyperlink r:id="rId95">
        <w:r>
          <w:t>.</w:t>
        </w:r>
      </w:hyperlink>
      <w:hyperlink r:id="rId96">
        <w:r>
          <w:t xml:space="preserve"> </w:t>
        </w:r>
      </w:hyperlink>
    </w:p>
    <w:p w:rsidR="00087370" w:rsidRDefault="003B7960">
      <w:pPr>
        <w:numPr>
          <w:ilvl w:val="0"/>
          <w:numId w:val="7"/>
        </w:numPr>
        <w:ind w:right="5" w:hanging="355"/>
      </w:pPr>
      <w:r>
        <w:t xml:space="preserve">Open source </w:t>
      </w:r>
    </w:p>
    <w:p w:rsidR="00087370" w:rsidRDefault="003B7960">
      <w:pPr>
        <w:numPr>
          <w:ilvl w:val="1"/>
          <w:numId w:val="7"/>
        </w:numPr>
        <w:ind w:right="5" w:hanging="725"/>
      </w:pPr>
      <w:r>
        <w:t xml:space="preserve">All software created for the Buyer must be suitable for publication as open source, unless otherwise agreed by the Buyer. </w:t>
      </w:r>
    </w:p>
    <w:p w:rsidR="00087370" w:rsidRDefault="003B7960">
      <w:pPr>
        <w:numPr>
          <w:ilvl w:val="1"/>
          <w:numId w:val="7"/>
        </w:numPr>
        <w:spacing w:after="205"/>
        <w:ind w:right="5" w:hanging="725"/>
      </w:pPr>
      <w:r>
        <w:t xml:space="preserve">If software needs to be converted before publication as open source, the Supplier must also provide the converted format unless otherwise agreed by the Buyer. </w:t>
      </w:r>
    </w:p>
    <w:p w:rsidR="00087370" w:rsidRDefault="003B7960">
      <w:pPr>
        <w:numPr>
          <w:ilvl w:val="0"/>
          <w:numId w:val="7"/>
        </w:numPr>
        <w:ind w:right="5" w:hanging="355"/>
      </w:pPr>
      <w:r>
        <w:t xml:space="preserve">Security </w:t>
      </w:r>
    </w:p>
    <w:p w:rsidR="00087370" w:rsidRDefault="003B7960">
      <w:pPr>
        <w:numPr>
          <w:ilvl w:val="1"/>
          <w:numId w:val="7"/>
        </w:numPr>
        <w:spacing w:after="13"/>
        <w:ind w:right="5" w:hanging="725"/>
      </w:pPr>
      <w:r>
        <w:t xml:space="preserve">If requested to do so by the Buyer, before entering into this Call-Off Contract the Supplier will, </w:t>
      </w:r>
    </w:p>
    <w:p w:rsidR="00087370" w:rsidRDefault="003B7960">
      <w:pPr>
        <w:spacing w:after="6"/>
        <w:ind w:left="735" w:right="5"/>
      </w:pPr>
      <w:r>
        <w:t xml:space="preserve">within 15 Working Days of the date of this Call-Off Contract, develop (and obtain the Buyer’s written approval of) a Security Management Plan and an Information Security Management </w:t>
      </w:r>
    </w:p>
    <w:p w:rsidR="00087370" w:rsidRDefault="003B7960">
      <w:pPr>
        <w:spacing w:after="13"/>
        <w:ind w:left="735" w:right="5"/>
      </w:pPr>
      <w:r>
        <w:t xml:space="preserve">System. After Buyer approval the Security Management Plan and Information Security </w:t>
      </w:r>
    </w:p>
    <w:p w:rsidR="00087370" w:rsidRDefault="003B7960">
      <w:pPr>
        <w:ind w:left="735" w:right="5"/>
      </w:pPr>
      <w:r>
        <w:t xml:space="preserve">Management System will apply during the Term of this Call-Off Contract. Both plans will comply with the Buyer’s security policy and protect all aspects and processes associated with the delivery of the Services. </w:t>
      </w:r>
    </w:p>
    <w:p w:rsidR="00087370" w:rsidRDefault="003B7960">
      <w:pPr>
        <w:numPr>
          <w:ilvl w:val="1"/>
          <w:numId w:val="7"/>
        </w:numPr>
        <w:ind w:right="5" w:hanging="725"/>
      </w:pPr>
      <w:r>
        <w:t xml:space="preserve">The Supplier will use software and the most up-to-date antivirus definitions available from an industry-accepted antivirus software seller to minimise the impact of Malicious Software. </w:t>
      </w:r>
    </w:p>
    <w:p w:rsidR="00087370" w:rsidRDefault="003B7960">
      <w:pPr>
        <w:numPr>
          <w:ilvl w:val="1"/>
          <w:numId w:val="7"/>
        </w:numPr>
        <w:ind w:right="5" w:hanging="725"/>
      </w:pPr>
      <w:r>
        <w:lastRenderedPageBreak/>
        <w:t xml:space="preserve">If Malicious Software causes loss of operational efficiency or loss or corruption of Service Data, the Supplier will help the Buyer to mitigate any losses and restore the Services to operating efficiency as soon as possible. </w:t>
      </w:r>
    </w:p>
    <w:p w:rsidR="00087370" w:rsidRDefault="003B7960">
      <w:pPr>
        <w:numPr>
          <w:ilvl w:val="1"/>
          <w:numId w:val="7"/>
        </w:numPr>
        <w:ind w:right="5" w:hanging="725"/>
      </w:pPr>
      <w:r>
        <w:t xml:space="preserve">Responsibility for costs will be at the: </w:t>
      </w:r>
    </w:p>
    <w:p w:rsidR="00087370" w:rsidRDefault="003B7960">
      <w:pPr>
        <w:numPr>
          <w:ilvl w:val="2"/>
          <w:numId w:val="7"/>
        </w:numPr>
        <w:spacing w:after="0" w:line="275" w:lineRule="auto"/>
        <w:ind w:right="5" w:hanging="408"/>
      </w:pPr>
      <w:r>
        <w:t xml:space="preserve">Supplier’s expense if the Malicious Software originates from the Supplier software or the Service Data while the Service Data was under the control of the Supplier, unless the </w:t>
      </w:r>
    </w:p>
    <w:p w:rsidR="00087370" w:rsidRDefault="003B7960">
      <w:pPr>
        <w:ind w:left="1455" w:right="5"/>
      </w:pPr>
      <w:r>
        <w:t xml:space="preserve">Supplier can demonstrate that it was already present, not quarantined or identified by the Buyer when provided </w:t>
      </w:r>
    </w:p>
    <w:p w:rsidR="00087370" w:rsidRDefault="003B7960">
      <w:pPr>
        <w:numPr>
          <w:ilvl w:val="2"/>
          <w:numId w:val="7"/>
        </w:numPr>
        <w:ind w:right="5" w:hanging="408"/>
      </w:pPr>
      <w:r>
        <w:t xml:space="preserve">Buyer’s expense if the Malicious Software originates from the Buyer software or the Service Data, while the Service Data was under the Buyer’s control </w:t>
      </w:r>
    </w:p>
    <w:p w:rsidR="00087370" w:rsidRDefault="003B7960">
      <w:pPr>
        <w:numPr>
          <w:ilvl w:val="1"/>
          <w:numId w:val="7"/>
        </w:numPr>
        <w:ind w:right="5"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rsidR="00087370" w:rsidRDefault="003B7960">
      <w:pPr>
        <w:numPr>
          <w:ilvl w:val="1"/>
          <w:numId w:val="7"/>
        </w:numPr>
        <w:ind w:right="5" w:hanging="725"/>
      </w:pPr>
      <w:r>
        <w:t xml:space="preserve">Any system development by the Supplier should also comply with the government’s ‘10 Steps to Cyber Security’ guidance, available at </w:t>
      </w:r>
      <w:hyperlink r:id="rId97">
        <w:r>
          <w:rPr>
            <w:color w:val="1155CC"/>
            <w:u w:val="single" w:color="1155CC"/>
          </w:rPr>
          <w:t>https://www.ncsc.gov.uk/guidance/10</w:t>
        </w:r>
      </w:hyperlink>
      <w:hyperlink r:id="rId98">
        <w:r>
          <w:rPr>
            <w:color w:val="1155CC"/>
            <w:u w:val="single" w:color="1155CC"/>
          </w:rPr>
          <w:t>-</w:t>
        </w:r>
      </w:hyperlink>
      <w:hyperlink r:id="rId99">
        <w:r>
          <w:rPr>
            <w:color w:val="1155CC"/>
            <w:u w:val="single" w:color="1155CC"/>
          </w:rPr>
          <w:t>steps</w:t>
        </w:r>
      </w:hyperlink>
      <w:hyperlink r:id="rId100">
        <w:r>
          <w:rPr>
            <w:color w:val="1155CC"/>
            <w:u w:val="single" w:color="1155CC"/>
          </w:rPr>
          <w:t>-</w:t>
        </w:r>
      </w:hyperlink>
      <w:hyperlink r:id="rId101">
        <w:r>
          <w:rPr>
            <w:color w:val="1155CC"/>
            <w:u w:val="single" w:color="1155CC"/>
          </w:rPr>
          <w:t>cyber</w:t>
        </w:r>
      </w:hyperlink>
      <w:hyperlink r:id="rId102">
        <w:r>
          <w:rPr>
            <w:color w:val="1155CC"/>
            <w:u w:val="single" w:color="1155CC"/>
          </w:rPr>
          <w:t>-</w:t>
        </w:r>
      </w:hyperlink>
      <w:hyperlink r:id="rId103">
        <w:r>
          <w:rPr>
            <w:color w:val="1155CC"/>
            <w:u w:val="single" w:color="1155CC"/>
          </w:rPr>
          <w:t>security</w:t>
        </w:r>
      </w:hyperlink>
      <w:hyperlink r:id="rId104">
        <w:r>
          <w:t xml:space="preserve"> </w:t>
        </w:r>
      </w:hyperlink>
    </w:p>
    <w:p w:rsidR="00087370" w:rsidRDefault="003B7960">
      <w:pPr>
        <w:numPr>
          <w:ilvl w:val="1"/>
          <w:numId w:val="7"/>
        </w:numPr>
        <w:ind w:right="5"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p>
    <w:p w:rsidR="00087370" w:rsidRDefault="003B7960">
      <w:pPr>
        <w:numPr>
          <w:ilvl w:val="0"/>
          <w:numId w:val="7"/>
        </w:numPr>
        <w:ind w:right="5" w:hanging="355"/>
      </w:pPr>
      <w:r>
        <w:t xml:space="preserve">Guarantee </w:t>
      </w:r>
    </w:p>
    <w:p w:rsidR="00087370" w:rsidRDefault="003B7960">
      <w:pPr>
        <w:numPr>
          <w:ilvl w:val="1"/>
          <w:numId w:val="7"/>
        </w:numPr>
        <w:ind w:right="5" w:hanging="725"/>
      </w:pPr>
      <w:r>
        <w:t xml:space="preserve">If this Call-Off Contract is conditional on receipt of a Guarantee that is acceptable to the Buyer, the Supplier must give the Buyer on or before the Start Date: </w:t>
      </w:r>
    </w:p>
    <w:p w:rsidR="00087370" w:rsidRDefault="003B7960">
      <w:pPr>
        <w:numPr>
          <w:ilvl w:val="2"/>
          <w:numId w:val="7"/>
        </w:numPr>
        <w:ind w:right="5" w:hanging="408"/>
      </w:pPr>
      <w:r>
        <w:t xml:space="preserve">an executed Guarantee in the form at Schedule 5  </w:t>
      </w:r>
    </w:p>
    <w:p w:rsidR="00087370" w:rsidRDefault="003B7960">
      <w:pPr>
        <w:numPr>
          <w:ilvl w:val="2"/>
          <w:numId w:val="7"/>
        </w:numPr>
        <w:spacing w:after="208"/>
        <w:ind w:right="5" w:hanging="408"/>
      </w:pPr>
      <w:r>
        <w:t xml:space="preserve">a certified copy of the passed resolution or board minutes of the guarantor approving the execution of the Guarantee </w:t>
      </w:r>
    </w:p>
    <w:p w:rsidR="00087370" w:rsidRDefault="003B7960">
      <w:pPr>
        <w:numPr>
          <w:ilvl w:val="0"/>
          <w:numId w:val="7"/>
        </w:numPr>
        <w:ind w:right="5" w:hanging="355"/>
      </w:pPr>
      <w:r>
        <w:t xml:space="preserve">Ending the Call-Off Contract </w:t>
      </w:r>
    </w:p>
    <w:p w:rsidR="00087370" w:rsidRDefault="003B7960">
      <w:pPr>
        <w:numPr>
          <w:ilvl w:val="1"/>
          <w:numId w:val="7"/>
        </w:numPr>
        <w:ind w:right="5" w:hanging="725"/>
      </w:pPr>
      <w:r>
        <w:lastRenderedPageBreak/>
        <w:t xml:space="preserve">The Buyer </w:t>
      </w:r>
      <w:proofErr w:type="gramStart"/>
      <w:r>
        <w:t>can</w:t>
      </w:r>
      <w:proofErr w:type="gramEnd"/>
      <w:r>
        <w:t xml:space="preserve"> End this Call-Off Contract at any time by giving 30 days’ written notice to the Supplier, unless a shorter period is specified in the Order Form. The Supplier’s obligation to provide the Services will end on the date in the notice. </w:t>
      </w:r>
    </w:p>
    <w:p w:rsidR="00087370" w:rsidRDefault="003B7960">
      <w:pPr>
        <w:numPr>
          <w:ilvl w:val="1"/>
          <w:numId w:val="7"/>
        </w:numPr>
        <w:ind w:right="5" w:hanging="725"/>
      </w:pPr>
      <w:r>
        <w:t xml:space="preserve">The Parties agree that the: </w:t>
      </w:r>
    </w:p>
    <w:p w:rsidR="00087370" w:rsidRDefault="003B7960">
      <w:pPr>
        <w:numPr>
          <w:ilvl w:val="2"/>
          <w:numId w:val="7"/>
        </w:numPr>
        <w:ind w:right="5" w:hanging="408"/>
      </w:pPr>
      <w:r>
        <w:t xml:space="preserve">Buyer’s right to End the Call-Off Contract under clause 18.1 is reasonable considering the type of cloud Service being provided </w:t>
      </w:r>
    </w:p>
    <w:p w:rsidR="00087370" w:rsidRDefault="003B7960">
      <w:pPr>
        <w:numPr>
          <w:ilvl w:val="2"/>
          <w:numId w:val="7"/>
        </w:numPr>
        <w:ind w:right="5" w:hanging="408"/>
      </w:pPr>
      <w:r>
        <w:t xml:space="preserve">Call-Off Contract Charges paid during the notice period is reasonable compensation and covers all the Supplier’s avoidable costs or Losses </w:t>
      </w:r>
    </w:p>
    <w:p w:rsidR="00087370" w:rsidRDefault="003B7960">
      <w:pPr>
        <w:numPr>
          <w:ilvl w:val="1"/>
          <w:numId w:val="7"/>
        </w:numPr>
        <w:ind w:right="5" w:hanging="725"/>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87370" w:rsidRDefault="003B7960">
      <w:pPr>
        <w:numPr>
          <w:ilvl w:val="1"/>
          <w:numId w:val="7"/>
        </w:numPr>
        <w:ind w:right="5" w:hanging="725"/>
      </w:pPr>
      <w:r>
        <w:t xml:space="preserve">The Buyer will have the right to End this Call-Off Contract at any time with immediate effect by written notice to the Supplier if either the Supplier commits: </w:t>
      </w:r>
    </w:p>
    <w:p w:rsidR="00087370" w:rsidRDefault="003B7960">
      <w:pPr>
        <w:numPr>
          <w:ilvl w:val="2"/>
          <w:numId w:val="7"/>
        </w:numPr>
        <w:spacing w:after="11"/>
        <w:ind w:right="5" w:hanging="408"/>
      </w:pPr>
      <w:r>
        <w:t xml:space="preserve">a Supplier Default and if the Supplier Default cannot, in the reasonable opinion of the </w:t>
      </w:r>
    </w:p>
    <w:p w:rsidR="00087370" w:rsidRDefault="003B7960">
      <w:pPr>
        <w:ind w:left="1455" w:right="5"/>
      </w:pPr>
      <w:r>
        <w:t xml:space="preserve">Buyer, be remedied </w:t>
      </w:r>
    </w:p>
    <w:p w:rsidR="00087370" w:rsidRDefault="003B7960">
      <w:pPr>
        <w:numPr>
          <w:ilvl w:val="2"/>
          <w:numId w:val="7"/>
        </w:numPr>
        <w:ind w:right="5" w:hanging="408"/>
      </w:pPr>
      <w:r>
        <w:t xml:space="preserve">any fraud </w:t>
      </w:r>
    </w:p>
    <w:p w:rsidR="00087370" w:rsidRDefault="003B7960">
      <w:pPr>
        <w:numPr>
          <w:ilvl w:val="1"/>
          <w:numId w:val="7"/>
        </w:numPr>
        <w:ind w:right="5" w:hanging="725"/>
      </w:pPr>
      <w:r>
        <w:t xml:space="preserve">A Party </w:t>
      </w:r>
      <w:proofErr w:type="gramStart"/>
      <w:r>
        <w:t>can</w:t>
      </w:r>
      <w:proofErr w:type="gramEnd"/>
      <w:r>
        <w:t xml:space="preserve"> End this Call-Off Contract at any time with immediate effect by written notice if: </w:t>
      </w:r>
    </w:p>
    <w:p w:rsidR="00087370" w:rsidRDefault="003B7960">
      <w:pPr>
        <w:numPr>
          <w:ilvl w:val="2"/>
          <w:numId w:val="7"/>
        </w:numPr>
        <w:ind w:right="5" w:hanging="408"/>
      </w:pPr>
      <w:r>
        <w:t xml:space="preserve">the other Party commits a Material Breach of any term of this Call-Off Contract (other than failure to pay any amounts due) and, if that breach is remediable, fails to remedy it within 15 Working Days of being notified in writing to do so </w:t>
      </w:r>
    </w:p>
    <w:p w:rsidR="00087370" w:rsidRDefault="003B7960">
      <w:pPr>
        <w:numPr>
          <w:ilvl w:val="2"/>
          <w:numId w:val="7"/>
        </w:numPr>
        <w:ind w:right="5" w:hanging="408"/>
      </w:pPr>
      <w:r>
        <w:t xml:space="preserve">an Insolvency Event of the other Party happens </w:t>
      </w:r>
    </w:p>
    <w:p w:rsidR="00087370" w:rsidRDefault="003B7960">
      <w:pPr>
        <w:numPr>
          <w:ilvl w:val="2"/>
          <w:numId w:val="7"/>
        </w:numPr>
        <w:ind w:right="5" w:hanging="408"/>
      </w:pPr>
      <w:r>
        <w:t xml:space="preserve">the other Party ceases or threatens to cease to carry </w:t>
      </w:r>
      <w:proofErr w:type="gramStart"/>
      <w:r>
        <w:t>on the whole</w:t>
      </w:r>
      <w:proofErr w:type="gramEnd"/>
      <w:r>
        <w:t xml:space="preserve"> or any material part of its business </w:t>
      </w:r>
    </w:p>
    <w:p w:rsidR="00087370" w:rsidRDefault="003B7960">
      <w:pPr>
        <w:numPr>
          <w:ilvl w:val="1"/>
          <w:numId w:val="7"/>
        </w:numPr>
        <w:ind w:right="5" w:hanging="725"/>
      </w:pPr>
      <w:r>
        <w:t xml:space="preserve">If the Buyer fails to pay the Supplier undisputed sums of money when due, the Supplier must notify the Buyer and allow the Buyer 5 Working Days to pay. If the Buyer doesn’t pay within 5 </w:t>
      </w:r>
      <w:r>
        <w:lastRenderedPageBreak/>
        <w:t xml:space="preserve">Working Days, the Supplier </w:t>
      </w:r>
      <w:proofErr w:type="gramStart"/>
      <w:r>
        <w:t>may</w:t>
      </w:r>
      <w:proofErr w:type="gramEnd"/>
      <w:r>
        <w:t xml:space="preserve"> End this Call-Off Contract by giving the length of notice in the Order Form. </w:t>
      </w:r>
    </w:p>
    <w:p w:rsidR="00087370" w:rsidRDefault="003B7960">
      <w:pPr>
        <w:numPr>
          <w:ilvl w:val="1"/>
          <w:numId w:val="7"/>
        </w:numPr>
        <w:spacing w:after="208"/>
        <w:ind w:right="5" w:hanging="725"/>
      </w:pPr>
      <w:r>
        <w:t xml:space="preserve">A Party who isn’t relying on a Force Majeure event will have the right to End this Call-Off Contract if clause 23.1 applies. </w:t>
      </w:r>
    </w:p>
    <w:p w:rsidR="00087370" w:rsidRDefault="003B7960">
      <w:pPr>
        <w:numPr>
          <w:ilvl w:val="0"/>
          <w:numId w:val="7"/>
        </w:numPr>
        <w:ind w:right="5" w:hanging="355"/>
      </w:pPr>
      <w:r>
        <w:t xml:space="preserve">Consequences of suspension, ending and expiry </w:t>
      </w:r>
    </w:p>
    <w:p w:rsidR="00087370" w:rsidRDefault="003B7960">
      <w:pPr>
        <w:numPr>
          <w:ilvl w:val="1"/>
          <w:numId w:val="7"/>
        </w:numPr>
        <w:ind w:right="5" w:hanging="725"/>
      </w:pPr>
      <w:r>
        <w:t xml:space="preserve">If a Buyer has the right to End a Call-Off Contract, it may elect to suspend this Call-Off Contract or any part of it. </w:t>
      </w:r>
    </w:p>
    <w:p w:rsidR="00087370" w:rsidRDefault="003B7960">
      <w:pPr>
        <w:numPr>
          <w:ilvl w:val="1"/>
          <w:numId w:val="7"/>
        </w:numPr>
        <w:ind w:right="5" w:hanging="725"/>
      </w:pPr>
      <w:r>
        <w:t xml:space="preserve">Even if a notice has been served to End this Call-Off Contract or any part of it, the Supplier must continue to provide the Ordered G-Cloud Services until the dates set out in the notice. </w:t>
      </w:r>
    </w:p>
    <w:p w:rsidR="00087370" w:rsidRDefault="003B7960">
      <w:pPr>
        <w:numPr>
          <w:ilvl w:val="1"/>
          <w:numId w:val="7"/>
        </w:numPr>
        <w:ind w:right="5" w:hanging="725"/>
      </w:pPr>
      <w:r>
        <w:t xml:space="preserve">The rights and obligations of the Parties will cease on the Expiry Date or End Date (whichever applies) of this Call-Off Contract, except those continuing provisions described in clause 19.4. </w:t>
      </w:r>
    </w:p>
    <w:p w:rsidR="00087370" w:rsidRDefault="003B7960">
      <w:pPr>
        <w:numPr>
          <w:ilvl w:val="1"/>
          <w:numId w:val="7"/>
        </w:numPr>
        <w:ind w:right="5" w:hanging="725"/>
      </w:pPr>
      <w:r>
        <w:t xml:space="preserve">Ending or expiry of this Call-Off Contract will not affect: </w:t>
      </w:r>
    </w:p>
    <w:p w:rsidR="00087370" w:rsidRDefault="003B7960">
      <w:pPr>
        <w:numPr>
          <w:ilvl w:val="2"/>
          <w:numId w:val="7"/>
        </w:numPr>
        <w:ind w:right="5" w:hanging="408"/>
      </w:pPr>
      <w:r>
        <w:t xml:space="preserve">any rights, remedies or obligations accrued before its Ending or expiration </w:t>
      </w:r>
    </w:p>
    <w:p w:rsidR="00087370" w:rsidRDefault="003B7960">
      <w:pPr>
        <w:numPr>
          <w:ilvl w:val="2"/>
          <w:numId w:val="7"/>
        </w:numPr>
        <w:ind w:right="5" w:hanging="408"/>
      </w:pPr>
      <w:r>
        <w:t xml:space="preserve">the right of either Party to recover any amount outstanding at the time of Ending or expiry </w:t>
      </w:r>
    </w:p>
    <w:p w:rsidR="00087370" w:rsidRDefault="003B7960">
      <w:pPr>
        <w:numPr>
          <w:ilvl w:val="2"/>
          <w:numId w:val="7"/>
        </w:numPr>
        <w:spacing w:after="7"/>
        <w:ind w:right="5" w:hanging="408"/>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w:t>
      </w:r>
    </w:p>
    <w:p w:rsidR="00087370" w:rsidRDefault="003B7960">
      <w:pPr>
        <w:spacing w:after="260" w:line="259" w:lineRule="auto"/>
        <w:ind w:left="10" w:right="88"/>
        <w:jc w:val="right"/>
      </w:pPr>
      <w:r>
        <w:t xml:space="preserve">(Conflicts of interest and ethical walls) and 8.92 to 8.93 (Waiver and cumulative remedies) </w:t>
      </w:r>
    </w:p>
    <w:p w:rsidR="00087370" w:rsidRDefault="003B7960">
      <w:pPr>
        <w:numPr>
          <w:ilvl w:val="2"/>
          <w:numId w:val="7"/>
        </w:numPr>
        <w:spacing w:after="48"/>
        <w:ind w:right="5" w:hanging="408"/>
      </w:pPr>
      <w:r>
        <w:t xml:space="preserve">any other provision of the Framework Agreement or this Call-Off Contract which expressly or by implication is in force even if it Ends or expires </w:t>
      </w:r>
    </w:p>
    <w:p w:rsidR="00087370" w:rsidRDefault="003B7960">
      <w:pPr>
        <w:numPr>
          <w:ilvl w:val="1"/>
          <w:numId w:val="7"/>
        </w:numPr>
        <w:ind w:right="5" w:hanging="725"/>
      </w:pPr>
      <w:r>
        <w:t xml:space="preserve">At the end of the Call-Off Contract Term, the Supplier must promptly: </w:t>
      </w:r>
    </w:p>
    <w:p w:rsidR="00087370" w:rsidRDefault="003B7960">
      <w:pPr>
        <w:numPr>
          <w:ilvl w:val="2"/>
          <w:numId w:val="7"/>
        </w:numPr>
        <w:ind w:right="5" w:hanging="408"/>
      </w:pPr>
      <w:r>
        <w:t xml:space="preserve">return all Buyer Data including all copies of Buyer software, code and any other software licensed by the Buyer to the Supplier under it </w:t>
      </w:r>
    </w:p>
    <w:p w:rsidR="00087370" w:rsidRDefault="003B7960">
      <w:pPr>
        <w:numPr>
          <w:ilvl w:val="2"/>
          <w:numId w:val="7"/>
        </w:numPr>
        <w:ind w:right="5" w:hanging="408"/>
      </w:pPr>
      <w:r>
        <w:t xml:space="preserve">return any materials created by the Supplier under this Call-Off Contract if the IPRs are owned by the Buyer </w:t>
      </w:r>
    </w:p>
    <w:p w:rsidR="00087370" w:rsidRDefault="003B7960">
      <w:pPr>
        <w:numPr>
          <w:ilvl w:val="2"/>
          <w:numId w:val="7"/>
        </w:numPr>
        <w:ind w:right="5" w:hanging="408"/>
      </w:pPr>
      <w:r>
        <w:lastRenderedPageBreak/>
        <w:t xml:space="preserve">stop using the Buyer Data and, at the direction of the Buyer, provide the Buyer with a complete and uncorrupted version in electronic form in the formats and on media agreed with the Buyer </w:t>
      </w:r>
    </w:p>
    <w:p w:rsidR="00087370" w:rsidRDefault="003B7960">
      <w:pPr>
        <w:numPr>
          <w:ilvl w:val="2"/>
          <w:numId w:val="7"/>
        </w:numPr>
        <w:ind w:right="5" w:hanging="408"/>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087370" w:rsidRDefault="003B7960">
      <w:pPr>
        <w:numPr>
          <w:ilvl w:val="2"/>
          <w:numId w:val="7"/>
        </w:numPr>
        <w:ind w:right="5" w:hanging="408"/>
      </w:pPr>
      <w:r>
        <w:t xml:space="preserve">work with the Buyer on any ongoing work  </w:t>
      </w:r>
    </w:p>
    <w:p w:rsidR="00087370" w:rsidRDefault="003B7960">
      <w:pPr>
        <w:numPr>
          <w:ilvl w:val="2"/>
          <w:numId w:val="7"/>
        </w:numPr>
        <w:ind w:right="5" w:hanging="408"/>
      </w:pPr>
      <w:r>
        <w:t xml:space="preserve">return any sums prepaid for Services which have not been delivered to the Buyer, within 10 Working Days of the End or Expiry Date </w:t>
      </w:r>
    </w:p>
    <w:p w:rsidR="00087370" w:rsidRDefault="003B7960">
      <w:pPr>
        <w:numPr>
          <w:ilvl w:val="1"/>
          <w:numId w:val="7"/>
        </w:numPr>
        <w:ind w:right="5" w:hanging="725"/>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rsidR="00087370" w:rsidRDefault="003B7960">
      <w:pPr>
        <w:numPr>
          <w:ilvl w:val="1"/>
          <w:numId w:val="7"/>
        </w:numPr>
        <w:spacing w:after="207"/>
        <w:ind w:right="5" w:hanging="725"/>
      </w:pPr>
      <w:r>
        <w:t xml:space="preserve">All licences, leases and authorisations granted by the Buyer to the Supplier will cease at the end of the Call-Off Contract Term without the need for the Buyer to serve notice except if this Call-Off Contract states otherwise. </w:t>
      </w:r>
    </w:p>
    <w:p w:rsidR="00087370" w:rsidRDefault="003B7960">
      <w:pPr>
        <w:numPr>
          <w:ilvl w:val="0"/>
          <w:numId w:val="7"/>
        </w:numPr>
        <w:ind w:right="5" w:hanging="355"/>
      </w:pPr>
      <w:r>
        <w:t xml:space="preserve">Notices </w:t>
      </w:r>
    </w:p>
    <w:p w:rsidR="00087370" w:rsidRDefault="003B7960">
      <w:pPr>
        <w:numPr>
          <w:ilvl w:val="1"/>
          <w:numId w:val="7"/>
        </w:numPr>
        <w:spacing w:after="0"/>
        <w:ind w:right="5" w:hanging="725"/>
      </w:pPr>
      <w:r>
        <w:t xml:space="preserve">Any notices sent must be in writing. </w:t>
      </w:r>
      <w:proofErr w:type="gramStart"/>
      <w:r>
        <w:t>For the purpose of</w:t>
      </w:r>
      <w:proofErr w:type="gramEnd"/>
      <w:r>
        <w:t xml:space="preserve"> this clause, an email is accepted as being 'in writing'. </w:t>
      </w:r>
    </w:p>
    <w:tbl>
      <w:tblPr>
        <w:tblStyle w:val="TableGrid"/>
        <w:tblW w:w="9912" w:type="dxa"/>
        <w:tblInd w:w="735" w:type="dxa"/>
        <w:tblCellMar>
          <w:top w:w="75" w:type="dxa"/>
          <w:left w:w="108" w:type="dxa"/>
          <w:right w:w="115" w:type="dxa"/>
        </w:tblCellMar>
        <w:tblLook w:val="04A0" w:firstRow="1" w:lastRow="0" w:firstColumn="1" w:lastColumn="0" w:noHBand="0" w:noVBand="1"/>
      </w:tblPr>
      <w:tblGrid>
        <w:gridCol w:w="3306"/>
        <w:gridCol w:w="3303"/>
        <w:gridCol w:w="3303"/>
      </w:tblGrid>
      <w:tr w:rsidR="00087370">
        <w:trPr>
          <w:trHeight w:val="336"/>
        </w:trPr>
        <w:tc>
          <w:tcPr>
            <w:tcW w:w="330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Manner of delivery </w:t>
            </w:r>
          </w:p>
        </w:tc>
        <w:tc>
          <w:tcPr>
            <w:tcW w:w="3303"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Deemed time of delivery </w:t>
            </w:r>
          </w:p>
        </w:tc>
        <w:tc>
          <w:tcPr>
            <w:tcW w:w="3303"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Proof of service </w:t>
            </w:r>
          </w:p>
        </w:tc>
      </w:tr>
      <w:tr w:rsidR="00087370">
        <w:trPr>
          <w:trHeight w:val="1268"/>
        </w:trPr>
        <w:tc>
          <w:tcPr>
            <w:tcW w:w="3305"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Email </w:t>
            </w:r>
          </w:p>
        </w:tc>
        <w:tc>
          <w:tcPr>
            <w:tcW w:w="3303"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9am on the first Working Day after sending </w:t>
            </w:r>
          </w:p>
        </w:tc>
        <w:tc>
          <w:tcPr>
            <w:tcW w:w="3303" w:type="dxa"/>
            <w:tcBorders>
              <w:top w:val="single" w:sz="8" w:space="0" w:color="000000"/>
              <w:left w:val="single" w:sz="8" w:space="0" w:color="000000"/>
              <w:bottom w:val="single" w:sz="8" w:space="0" w:color="000000"/>
              <w:right w:val="single" w:sz="8" w:space="0" w:color="000000"/>
            </w:tcBorders>
          </w:tcPr>
          <w:p w:rsidR="00087370" w:rsidRDefault="003B7960">
            <w:pPr>
              <w:spacing w:after="0" w:line="259" w:lineRule="auto"/>
              <w:ind w:left="0" w:firstLine="0"/>
            </w:pPr>
            <w:r>
              <w:t xml:space="preserve">Sent by pdf to the correct email address without getting an error message </w:t>
            </w:r>
          </w:p>
        </w:tc>
      </w:tr>
    </w:tbl>
    <w:p w:rsidR="00087370" w:rsidRDefault="003B7960">
      <w:pPr>
        <w:spacing w:after="258" w:line="259" w:lineRule="auto"/>
        <w:ind w:left="5" w:firstLine="0"/>
      </w:pPr>
      <w:r>
        <w:t xml:space="preserve"> </w:t>
      </w:r>
    </w:p>
    <w:p w:rsidR="00087370" w:rsidRDefault="003B7960">
      <w:pPr>
        <w:numPr>
          <w:ilvl w:val="1"/>
          <w:numId w:val="7"/>
        </w:numPr>
        <w:ind w:right="5" w:hanging="725"/>
      </w:pPr>
      <w:r>
        <w:t xml:space="preserve">This clause does not apply to any legal action or other method of dispute resolution which should be sent to the addresses in the Order Form (other than a dispute notice under this Call-Off Contract). </w:t>
      </w:r>
    </w:p>
    <w:p w:rsidR="00087370" w:rsidRDefault="003B7960">
      <w:pPr>
        <w:numPr>
          <w:ilvl w:val="0"/>
          <w:numId w:val="7"/>
        </w:numPr>
        <w:ind w:right="5" w:hanging="355"/>
      </w:pPr>
      <w:r>
        <w:t xml:space="preserve">Exit plan </w:t>
      </w:r>
    </w:p>
    <w:p w:rsidR="00087370" w:rsidRDefault="003B7960">
      <w:pPr>
        <w:numPr>
          <w:ilvl w:val="1"/>
          <w:numId w:val="7"/>
        </w:numPr>
        <w:ind w:right="5" w:hanging="725"/>
      </w:pPr>
      <w:r>
        <w:t xml:space="preserve">The Supplier must provide an exit plan in its Application which ensures continuity of service and the Supplier will follow it. </w:t>
      </w:r>
    </w:p>
    <w:p w:rsidR="00087370" w:rsidRDefault="003B7960">
      <w:pPr>
        <w:numPr>
          <w:ilvl w:val="1"/>
          <w:numId w:val="7"/>
        </w:numPr>
        <w:ind w:right="5" w:hanging="725"/>
      </w:pPr>
      <w:r>
        <w:lastRenderedPageBreak/>
        <w:t xml:space="preserve">When requested, the Supplier will help the Buyer to migrate the Services to a replacement supplier in line with the exit plan. This will be at the Supplier’s own expense if the Call-Off Contract Ended before the Expiry Date due to Supplier cause. </w:t>
      </w:r>
    </w:p>
    <w:p w:rsidR="00087370" w:rsidRDefault="003B7960">
      <w:pPr>
        <w:numPr>
          <w:ilvl w:val="1"/>
          <w:numId w:val="7"/>
        </w:numPr>
        <w:ind w:right="5" w:hanging="725"/>
      </w:pPr>
      <w:r>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  </w:t>
      </w:r>
    </w:p>
    <w:p w:rsidR="00087370" w:rsidRDefault="003B7960">
      <w:pPr>
        <w:numPr>
          <w:ilvl w:val="1"/>
          <w:numId w:val="7"/>
        </w:numPr>
        <w:ind w:right="5" w:hanging="725"/>
      </w:pP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087370" w:rsidRDefault="003B7960">
      <w:pPr>
        <w:numPr>
          <w:ilvl w:val="1"/>
          <w:numId w:val="7"/>
        </w:numPr>
        <w:ind w:right="5" w:hanging="725"/>
      </w:pPr>
      <w:r>
        <w:t xml:space="preserve">Before submitting the additional exit plan to the Buyer for approval, the Supplier will work with the Buyer to ensure that the additional exit plan is aligned with the Buyer’s own exit plan and strategy. </w:t>
      </w:r>
    </w:p>
    <w:p w:rsidR="00087370" w:rsidRDefault="003B7960">
      <w:pPr>
        <w:numPr>
          <w:ilvl w:val="1"/>
          <w:numId w:val="7"/>
        </w:numPr>
        <w:ind w:right="5" w:hanging="725"/>
      </w:pP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087370" w:rsidRDefault="003B7960">
      <w:pPr>
        <w:numPr>
          <w:ilvl w:val="2"/>
          <w:numId w:val="7"/>
        </w:numPr>
        <w:ind w:right="5" w:hanging="408"/>
      </w:pPr>
      <w:r>
        <w:t xml:space="preserve">the Buyer will be able to transfer the Services to a replacement supplier before the expiry or Ending of the extension period on terms that are commercially reasonable and acceptable to the Buyer </w:t>
      </w:r>
    </w:p>
    <w:p w:rsidR="00087370" w:rsidRDefault="003B7960">
      <w:pPr>
        <w:numPr>
          <w:ilvl w:val="2"/>
          <w:numId w:val="7"/>
        </w:numPr>
        <w:ind w:right="5" w:hanging="408"/>
      </w:pPr>
      <w:r>
        <w:t xml:space="preserve">there will be no adverse impact on service continuity </w:t>
      </w:r>
    </w:p>
    <w:p w:rsidR="00087370" w:rsidRDefault="003B7960">
      <w:pPr>
        <w:numPr>
          <w:ilvl w:val="2"/>
          <w:numId w:val="7"/>
        </w:numPr>
        <w:ind w:right="5" w:hanging="408"/>
      </w:pPr>
      <w:r>
        <w:t xml:space="preserve">there is no vendor lock-in to the Supplier’s Service at exit </w:t>
      </w:r>
    </w:p>
    <w:p w:rsidR="00087370" w:rsidRDefault="003B7960">
      <w:pPr>
        <w:numPr>
          <w:ilvl w:val="2"/>
          <w:numId w:val="7"/>
        </w:numPr>
        <w:ind w:right="5" w:hanging="408"/>
      </w:pPr>
      <w:r>
        <w:t xml:space="preserve">it enables the Buyer to meet its obligations under the Technology Code </w:t>
      </w:r>
      <w:proofErr w:type="gramStart"/>
      <w:r>
        <w:t>Of</w:t>
      </w:r>
      <w:proofErr w:type="gramEnd"/>
      <w:r>
        <w:t xml:space="preserve"> Practice </w:t>
      </w:r>
    </w:p>
    <w:p w:rsidR="00087370" w:rsidRDefault="003B7960">
      <w:pPr>
        <w:numPr>
          <w:ilvl w:val="1"/>
          <w:numId w:val="7"/>
        </w:numPr>
        <w:spacing w:after="48"/>
        <w:ind w:right="5" w:hanging="725"/>
      </w:pPr>
      <w:r>
        <w:t xml:space="preserve">If approval is obtained by the Buyer to extend the Term, then the Supplier will comply with its obligations in the additional exit plan. </w:t>
      </w:r>
    </w:p>
    <w:p w:rsidR="00087370" w:rsidRDefault="003B7960">
      <w:pPr>
        <w:numPr>
          <w:ilvl w:val="1"/>
          <w:numId w:val="7"/>
        </w:numPr>
        <w:ind w:right="5" w:hanging="725"/>
      </w:pPr>
      <w:r>
        <w:t xml:space="preserve">The additional exit plan must set out full details of timescales, activities and roles and responsibilities of the Parties for: </w:t>
      </w:r>
    </w:p>
    <w:p w:rsidR="00087370" w:rsidRDefault="003B7960">
      <w:pPr>
        <w:numPr>
          <w:ilvl w:val="2"/>
          <w:numId w:val="7"/>
        </w:numPr>
        <w:spacing w:after="237" w:line="275" w:lineRule="auto"/>
        <w:ind w:right="5" w:hanging="408"/>
      </w:pPr>
      <w:r>
        <w:lastRenderedPageBreak/>
        <w:t xml:space="preserve">the transfer to the Buyer of any technical information, instructions, manuals and code reasonably required by the Buyer to enable a smooth migration from the Supplier </w:t>
      </w:r>
    </w:p>
    <w:p w:rsidR="00087370" w:rsidRDefault="003B7960">
      <w:pPr>
        <w:numPr>
          <w:ilvl w:val="2"/>
          <w:numId w:val="7"/>
        </w:numPr>
        <w:ind w:right="5" w:hanging="408"/>
      </w:pPr>
      <w:r>
        <w:t xml:space="preserve">the strategy for exportation and migration of Buyer Data from the Supplier system to the Buyer or a replacement supplier, including conversion to open standards or other standards required by the Buyer </w:t>
      </w:r>
    </w:p>
    <w:p w:rsidR="00087370" w:rsidRDefault="003B7960">
      <w:pPr>
        <w:numPr>
          <w:ilvl w:val="2"/>
          <w:numId w:val="7"/>
        </w:numPr>
        <w:ind w:right="5" w:hanging="408"/>
      </w:pPr>
      <w:r>
        <w:t xml:space="preserve">the transfer of Project Specific IPR items and other Buyer customisations, configurations and databases to the Buyer or a replacement supplier </w:t>
      </w:r>
    </w:p>
    <w:p w:rsidR="00087370" w:rsidRDefault="003B7960">
      <w:pPr>
        <w:numPr>
          <w:ilvl w:val="2"/>
          <w:numId w:val="7"/>
        </w:numPr>
        <w:ind w:right="5" w:hanging="408"/>
      </w:pPr>
      <w:r>
        <w:t xml:space="preserve">the testing and assurance strategy for exported Buyer Data </w:t>
      </w:r>
    </w:p>
    <w:p w:rsidR="00087370" w:rsidRDefault="003B7960">
      <w:pPr>
        <w:numPr>
          <w:ilvl w:val="2"/>
          <w:numId w:val="7"/>
        </w:numPr>
        <w:ind w:right="5" w:hanging="408"/>
      </w:pPr>
      <w:r>
        <w:t xml:space="preserve">if relevant, TUPE-related activity to comply with the TUPE regulations </w:t>
      </w:r>
    </w:p>
    <w:p w:rsidR="00087370" w:rsidRDefault="003B7960">
      <w:pPr>
        <w:numPr>
          <w:ilvl w:val="2"/>
          <w:numId w:val="7"/>
        </w:numPr>
        <w:spacing w:after="11"/>
        <w:ind w:right="5" w:hanging="408"/>
      </w:pPr>
      <w:r>
        <w:t xml:space="preserve">any other activities and information which is reasonably required to ensure continuity of </w:t>
      </w:r>
    </w:p>
    <w:p w:rsidR="00087370" w:rsidRDefault="003B7960">
      <w:pPr>
        <w:spacing w:after="212"/>
        <w:ind w:left="1455" w:right="5"/>
      </w:pPr>
      <w:r>
        <w:t xml:space="preserve">Service during the exit period and an orderly transition  </w:t>
      </w:r>
    </w:p>
    <w:p w:rsidR="00087370" w:rsidRDefault="003B7960">
      <w:pPr>
        <w:numPr>
          <w:ilvl w:val="0"/>
          <w:numId w:val="7"/>
        </w:numPr>
        <w:ind w:right="5" w:hanging="355"/>
      </w:pPr>
      <w:r>
        <w:t xml:space="preserve">Handover to replacement supplier </w:t>
      </w:r>
    </w:p>
    <w:p w:rsidR="00087370" w:rsidRDefault="003B7960">
      <w:pPr>
        <w:numPr>
          <w:ilvl w:val="1"/>
          <w:numId w:val="7"/>
        </w:numPr>
        <w:ind w:right="5" w:hanging="725"/>
      </w:pPr>
      <w:r>
        <w:t xml:space="preserve">At least 10 Working Days before the Expiry Date or End Date, the Supplier must provide any: </w:t>
      </w:r>
    </w:p>
    <w:p w:rsidR="00087370" w:rsidRDefault="003B7960">
      <w:pPr>
        <w:numPr>
          <w:ilvl w:val="2"/>
          <w:numId w:val="7"/>
        </w:numPr>
        <w:ind w:right="5" w:hanging="408"/>
      </w:pPr>
      <w:r>
        <w:t xml:space="preserve">data (including Buyer Data), Buyer Personal Data and Buyer Confidential Information in the Supplier’s possession, power or control </w:t>
      </w:r>
    </w:p>
    <w:p w:rsidR="00087370" w:rsidRDefault="003B7960">
      <w:pPr>
        <w:numPr>
          <w:ilvl w:val="2"/>
          <w:numId w:val="7"/>
        </w:numPr>
        <w:ind w:right="5" w:hanging="408"/>
      </w:pPr>
      <w:r>
        <w:t xml:space="preserve">other information reasonably requested by the Buyer </w:t>
      </w:r>
    </w:p>
    <w:p w:rsidR="00087370" w:rsidRDefault="003B7960">
      <w:pPr>
        <w:numPr>
          <w:ilvl w:val="1"/>
          <w:numId w:val="7"/>
        </w:numPr>
        <w:ind w:right="5"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087370" w:rsidRDefault="003B7960">
      <w:pPr>
        <w:numPr>
          <w:ilvl w:val="1"/>
          <w:numId w:val="7"/>
        </w:numPr>
        <w:spacing w:after="208"/>
        <w:ind w:right="5" w:hanging="725"/>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087370" w:rsidRDefault="003B7960">
      <w:pPr>
        <w:numPr>
          <w:ilvl w:val="0"/>
          <w:numId w:val="7"/>
        </w:numPr>
        <w:ind w:right="5" w:hanging="355"/>
      </w:pPr>
      <w:r>
        <w:t xml:space="preserve">Force majeure </w:t>
      </w:r>
    </w:p>
    <w:p w:rsidR="00087370" w:rsidRDefault="003B7960">
      <w:pPr>
        <w:numPr>
          <w:ilvl w:val="1"/>
          <w:numId w:val="7"/>
        </w:numPr>
        <w:spacing w:after="207"/>
        <w:ind w:right="5" w:hanging="725"/>
      </w:pPr>
      <w:r>
        <w:t xml:space="preserve">If a Force Majeure event prevents a Party from performing its obligations under this Call-Off Contract for more than the number of consecutive days set out in the Order Form, the other Party </w:t>
      </w:r>
      <w:proofErr w:type="gramStart"/>
      <w:r>
        <w:t>may</w:t>
      </w:r>
      <w:proofErr w:type="gramEnd"/>
      <w:r>
        <w:t xml:space="preserve"> End this Call-Off Contract with immediate effect by written notice. </w:t>
      </w:r>
    </w:p>
    <w:p w:rsidR="00087370" w:rsidRDefault="003B7960">
      <w:pPr>
        <w:numPr>
          <w:ilvl w:val="0"/>
          <w:numId w:val="7"/>
        </w:numPr>
        <w:ind w:right="5" w:hanging="355"/>
      </w:pPr>
      <w:r>
        <w:t xml:space="preserve">Liability </w:t>
      </w:r>
    </w:p>
    <w:p w:rsidR="00087370" w:rsidRDefault="003B7960">
      <w:pPr>
        <w:numPr>
          <w:ilvl w:val="1"/>
          <w:numId w:val="7"/>
        </w:numPr>
        <w:spacing w:after="245"/>
        <w:ind w:right="5" w:hanging="725"/>
      </w:pPr>
      <w:r>
        <w:lastRenderedPageBreak/>
        <w:t xml:space="preserve">Subject to incorporated Framework Agreement clauses 4.2 to 4.7, each Party's Yearly total liability for defaults under or </w:t>
      </w:r>
      <w:proofErr w:type="gramStart"/>
      <w:r>
        <w:t>in connection with</w:t>
      </w:r>
      <w:proofErr w:type="gramEnd"/>
      <w:r>
        <w:t xml:space="preserve"> this Call-Off Contract (whether expressed as an indemnity or otherwise) will be set as follows:  </w:t>
      </w:r>
    </w:p>
    <w:p w:rsidR="00087370" w:rsidRDefault="003B7960">
      <w:pPr>
        <w:numPr>
          <w:ilvl w:val="2"/>
          <w:numId w:val="7"/>
        </w:numPr>
        <w:ind w:right="5" w:hanging="408"/>
      </w:pPr>
      <w:r>
        <w:t xml:space="preserve">Property: for all defaults resulting in direct loss to the property (including technical infrastructure, assets, IPR or equipment but excluding any loss or damage to Buyer Data) of the other Party, will not exceed the amount in the Order Form </w:t>
      </w:r>
    </w:p>
    <w:p w:rsidR="00087370" w:rsidRDefault="003B7960">
      <w:pPr>
        <w:numPr>
          <w:ilvl w:val="2"/>
          <w:numId w:val="7"/>
        </w:numPr>
        <w:ind w:right="5" w:hanging="408"/>
      </w:pPr>
      <w:r>
        <w:t xml:space="preserve">Buyer Data: for all defaults resulting in direct loss, destruction, corruption, degradation or damage to any Buyer Data caused by the Supplier's default will not exceed the amount in the Order Form </w:t>
      </w:r>
    </w:p>
    <w:p w:rsidR="00087370" w:rsidRDefault="003B7960">
      <w:pPr>
        <w:numPr>
          <w:ilvl w:val="2"/>
          <w:numId w:val="7"/>
        </w:numPr>
        <w:spacing w:after="9"/>
        <w:ind w:right="5" w:hanging="408"/>
      </w:pPr>
      <w:r>
        <w:t xml:space="preserve">Other defaults: for all other defaults, claims, Losses or damages, whether arising from breach of contract, misrepresentation (whether under common law or statute), tort </w:t>
      </w:r>
    </w:p>
    <w:p w:rsidR="00087370" w:rsidRDefault="003B7960">
      <w:pPr>
        <w:spacing w:after="208"/>
        <w:ind w:left="1455" w:right="5"/>
      </w:pPr>
      <w:r>
        <w:t xml:space="preserve">(including negligence), breach of statutory duty or otherwise will not exceed the amount in the Order Form </w:t>
      </w:r>
    </w:p>
    <w:p w:rsidR="00087370" w:rsidRDefault="003B7960">
      <w:pPr>
        <w:numPr>
          <w:ilvl w:val="0"/>
          <w:numId w:val="7"/>
        </w:numPr>
        <w:ind w:right="5" w:hanging="355"/>
      </w:pPr>
      <w:r>
        <w:t xml:space="preserve">Premises </w:t>
      </w:r>
    </w:p>
    <w:p w:rsidR="00087370" w:rsidRDefault="003B7960">
      <w:pPr>
        <w:numPr>
          <w:ilvl w:val="1"/>
          <w:numId w:val="7"/>
        </w:numPr>
        <w:ind w:right="5" w:hanging="725"/>
      </w:pPr>
      <w:r>
        <w:t xml:space="preserve">If either Party uses the other Party’s premises, that Party is liable for all loss or damage it causes to the premises. It is responsible for repairing any damage to the premises or any objects on the premises, other than fair wear and tear. </w:t>
      </w:r>
    </w:p>
    <w:p w:rsidR="00087370" w:rsidRDefault="003B7960">
      <w:pPr>
        <w:numPr>
          <w:ilvl w:val="1"/>
          <w:numId w:val="7"/>
        </w:numPr>
        <w:ind w:right="5" w:hanging="725"/>
      </w:pPr>
      <w:r>
        <w:t xml:space="preserve">The Supplier will use the Buyer’s premises solely for the performance of its obligations under this Call-Off Contract. </w:t>
      </w:r>
    </w:p>
    <w:p w:rsidR="00087370" w:rsidRDefault="003B7960">
      <w:pPr>
        <w:numPr>
          <w:ilvl w:val="1"/>
          <w:numId w:val="7"/>
        </w:numPr>
        <w:ind w:right="5" w:hanging="725"/>
      </w:pPr>
      <w:r>
        <w:t xml:space="preserve">The Supplier will vacate the Buyer’s premises when the Call-Off Contract Ends or expires. </w:t>
      </w:r>
    </w:p>
    <w:p w:rsidR="00087370" w:rsidRDefault="003B7960">
      <w:pPr>
        <w:numPr>
          <w:ilvl w:val="1"/>
          <w:numId w:val="7"/>
        </w:numPr>
        <w:ind w:right="5" w:hanging="725"/>
      </w:pPr>
      <w:r>
        <w:t xml:space="preserve">This clause does not create a tenancy or exclusive right of occupation. </w:t>
      </w:r>
    </w:p>
    <w:p w:rsidR="00087370" w:rsidRDefault="003B7960">
      <w:pPr>
        <w:numPr>
          <w:ilvl w:val="1"/>
          <w:numId w:val="7"/>
        </w:numPr>
        <w:ind w:right="5" w:hanging="725"/>
      </w:pPr>
      <w:r>
        <w:t xml:space="preserve">While on the Buyer’s premises, the Supplier will: </w:t>
      </w:r>
    </w:p>
    <w:p w:rsidR="00087370" w:rsidRDefault="003B7960">
      <w:pPr>
        <w:numPr>
          <w:ilvl w:val="2"/>
          <w:numId w:val="7"/>
        </w:numPr>
        <w:ind w:right="5" w:hanging="408"/>
      </w:pPr>
      <w:r>
        <w:t xml:space="preserve">comply with any security requirements at the premises and not do anything to weaken the security of the premises </w:t>
      </w:r>
    </w:p>
    <w:p w:rsidR="00087370" w:rsidRDefault="003B7960">
      <w:pPr>
        <w:numPr>
          <w:ilvl w:val="2"/>
          <w:numId w:val="7"/>
        </w:numPr>
        <w:ind w:right="5" w:hanging="408"/>
      </w:pPr>
      <w:r>
        <w:t xml:space="preserve">comply with Buyer requirements for the conduct of personnel </w:t>
      </w:r>
    </w:p>
    <w:p w:rsidR="00087370" w:rsidRDefault="003B7960">
      <w:pPr>
        <w:numPr>
          <w:ilvl w:val="2"/>
          <w:numId w:val="7"/>
        </w:numPr>
        <w:ind w:right="5" w:hanging="408"/>
      </w:pPr>
      <w:r>
        <w:t xml:space="preserve">comply with any health and safety measures implemented by the Buyer </w:t>
      </w:r>
    </w:p>
    <w:p w:rsidR="00087370" w:rsidRDefault="003B7960">
      <w:pPr>
        <w:numPr>
          <w:ilvl w:val="2"/>
          <w:numId w:val="7"/>
        </w:numPr>
        <w:ind w:right="5" w:hanging="408"/>
      </w:pPr>
      <w:r>
        <w:lastRenderedPageBreak/>
        <w:t xml:space="preserve">immediately notify the Buyer of any incident on the premises that causes any damage to Property which could cause personal injury </w:t>
      </w:r>
    </w:p>
    <w:p w:rsidR="00087370" w:rsidRDefault="003B7960">
      <w:pPr>
        <w:numPr>
          <w:ilvl w:val="1"/>
          <w:numId w:val="7"/>
        </w:numPr>
        <w:ind w:right="5" w:hanging="725"/>
      </w:pPr>
      <w:r>
        <w:t xml:space="preserve">The Supplier will ensure that its health and safety policy statement (as required by the Health and Safety at Work etc Act 1974) is made available to the Buyer on request. </w:t>
      </w:r>
    </w:p>
    <w:p w:rsidR="00087370" w:rsidRDefault="003B7960">
      <w:pPr>
        <w:numPr>
          <w:ilvl w:val="0"/>
          <w:numId w:val="7"/>
        </w:numPr>
        <w:ind w:right="5" w:hanging="355"/>
      </w:pPr>
      <w:r>
        <w:t xml:space="preserve">Equipment </w:t>
      </w:r>
    </w:p>
    <w:p w:rsidR="00087370" w:rsidRDefault="003B7960">
      <w:pPr>
        <w:numPr>
          <w:ilvl w:val="1"/>
          <w:numId w:val="7"/>
        </w:numPr>
        <w:ind w:right="5" w:hanging="725"/>
      </w:pPr>
      <w:r>
        <w:t xml:space="preserve">The Supplier is responsible for providing any Equipment which the Supplier requires to provide the Services.  </w:t>
      </w:r>
    </w:p>
    <w:p w:rsidR="00087370" w:rsidRDefault="003B7960">
      <w:pPr>
        <w:numPr>
          <w:ilvl w:val="1"/>
          <w:numId w:val="7"/>
        </w:numPr>
        <w:ind w:right="5" w:hanging="725"/>
      </w:pPr>
      <w:r>
        <w:t xml:space="preserve">Any Equipment brought onto the premises will be at the Supplier's own risk and the Buyer will have no liability for any loss of, or damage to, any Equipment. </w:t>
      </w:r>
    </w:p>
    <w:p w:rsidR="00087370" w:rsidRDefault="003B7960">
      <w:pPr>
        <w:numPr>
          <w:ilvl w:val="1"/>
          <w:numId w:val="7"/>
        </w:numPr>
        <w:spacing w:after="207"/>
        <w:ind w:right="5" w:hanging="725"/>
      </w:pPr>
      <w:r>
        <w:t xml:space="preserve">When the Call-Off Contract Ends or expires, the Supplier will remove the Equipment and any other materials leaving the premises in a safe and clean condition. </w:t>
      </w:r>
    </w:p>
    <w:p w:rsidR="00087370" w:rsidRDefault="003B7960">
      <w:pPr>
        <w:numPr>
          <w:ilvl w:val="0"/>
          <w:numId w:val="7"/>
        </w:numPr>
        <w:ind w:right="5" w:hanging="355"/>
      </w:pPr>
      <w:r>
        <w:t xml:space="preserve">The Contracts (Rights of Third Parties) Act 1999 </w:t>
      </w:r>
    </w:p>
    <w:p w:rsidR="00087370" w:rsidRDefault="003B7960">
      <w:pPr>
        <w:numPr>
          <w:ilvl w:val="1"/>
          <w:numId w:val="7"/>
        </w:numPr>
        <w:spacing w:after="207"/>
        <w:ind w:right="5" w:hanging="725"/>
      </w:pP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087370" w:rsidRDefault="003B7960">
      <w:pPr>
        <w:numPr>
          <w:ilvl w:val="0"/>
          <w:numId w:val="7"/>
        </w:numPr>
        <w:ind w:right="5" w:hanging="355"/>
      </w:pPr>
      <w:r>
        <w:t xml:space="preserve">Environmental requirements </w:t>
      </w:r>
    </w:p>
    <w:p w:rsidR="00087370" w:rsidRDefault="003B7960">
      <w:pPr>
        <w:numPr>
          <w:ilvl w:val="1"/>
          <w:numId w:val="7"/>
        </w:numPr>
        <w:ind w:right="5" w:hanging="725"/>
      </w:pPr>
      <w:r>
        <w:t xml:space="preserve">The Buyer will provide a copy of its environmental policy to the Supplier on request, which the Supplier will comply with. </w:t>
      </w:r>
    </w:p>
    <w:p w:rsidR="00087370" w:rsidRDefault="003B7960">
      <w:pPr>
        <w:numPr>
          <w:ilvl w:val="1"/>
          <w:numId w:val="7"/>
        </w:numPr>
        <w:spacing w:after="208"/>
        <w:ind w:right="5" w:hanging="725"/>
      </w:pPr>
      <w:r>
        <w:t xml:space="preserve">The Supplier must provide reasonable support to enable Buyers to work in an environmentally friendly way, for example by helping them recycle or lower their carbon footprint. </w:t>
      </w:r>
    </w:p>
    <w:p w:rsidR="00087370" w:rsidRDefault="003B7960">
      <w:pPr>
        <w:numPr>
          <w:ilvl w:val="0"/>
          <w:numId w:val="7"/>
        </w:numPr>
        <w:ind w:right="5" w:hanging="355"/>
      </w:pPr>
      <w:r>
        <w:t xml:space="preserve">The Employment Regulations (TUPE) </w:t>
      </w:r>
    </w:p>
    <w:p w:rsidR="00087370" w:rsidRDefault="003B7960">
      <w:pPr>
        <w:numPr>
          <w:ilvl w:val="1"/>
          <w:numId w:val="7"/>
        </w:numPr>
        <w:ind w:right="5" w:hanging="725"/>
      </w:pP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087370" w:rsidRDefault="003B7960">
      <w:pPr>
        <w:numPr>
          <w:ilvl w:val="1"/>
          <w:numId w:val="7"/>
        </w:numPr>
        <w:spacing w:after="177" w:line="319" w:lineRule="auto"/>
        <w:ind w:right="5" w:hanging="725"/>
      </w:pP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w:t>
      </w:r>
      <w:r>
        <w:lastRenderedPageBreak/>
        <w:t>purposes of TUPE to the Services. For each person identified the Supplier must provide details of:  ●</w:t>
      </w:r>
      <w:r>
        <w:rPr>
          <w:rFonts w:ascii="Arial" w:eastAsia="Arial" w:hAnsi="Arial" w:cs="Arial"/>
        </w:rPr>
        <w:t xml:space="preserve"> </w:t>
      </w:r>
      <w:r>
        <w:t xml:space="preserve">the activities they perform </w:t>
      </w:r>
    </w:p>
    <w:p w:rsidR="00087370" w:rsidRDefault="003B7960">
      <w:pPr>
        <w:numPr>
          <w:ilvl w:val="2"/>
          <w:numId w:val="7"/>
        </w:numPr>
        <w:ind w:right="5" w:hanging="408"/>
      </w:pPr>
      <w:r>
        <w:t xml:space="preserve">age </w:t>
      </w:r>
    </w:p>
    <w:p w:rsidR="00087370" w:rsidRDefault="003B7960">
      <w:pPr>
        <w:numPr>
          <w:ilvl w:val="2"/>
          <w:numId w:val="7"/>
        </w:numPr>
        <w:ind w:right="5" w:hanging="408"/>
      </w:pPr>
      <w:r>
        <w:t xml:space="preserve">start date  </w:t>
      </w:r>
    </w:p>
    <w:p w:rsidR="00087370" w:rsidRDefault="003B7960">
      <w:pPr>
        <w:numPr>
          <w:ilvl w:val="2"/>
          <w:numId w:val="7"/>
        </w:numPr>
        <w:ind w:right="5" w:hanging="408"/>
      </w:pPr>
      <w:r>
        <w:t xml:space="preserve">place of work </w:t>
      </w:r>
    </w:p>
    <w:p w:rsidR="00087370" w:rsidRDefault="003B7960">
      <w:pPr>
        <w:numPr>
          <w:ilvl w:val="2"/>
          <w:numId w:val="7"/>
        </w:numPr>
        <w:ind w:right="5" w:hanging="408"/>
      </w:pPr>
      <w:r>
        <w:t xml:space="preserve">notice period </w:t>
      </w:r>
    </w:p>
    <w:p w:rsidR="00087370" w:rsidRDefault="003B7960">
      <w:pPr>
        <w:numPr>
          <w:ilvl w:val="2"/>
          <w:numId w:val="7"/>
        </w:numPr>
        <w:ind w:right="5" w:hanging="408"/>
      </w:pPr>
      <w:r>
        <w:t xml:space="preserve">redundancy payment entitlement </w:t>
      </w:r>
    </w:p>
    <w:p w:rsidR="00087370" w:rsidRDefault="003B7960">
      <w:pPr>
        <w:numPr>
          <w:ilvl w:val="2"/>
          <w:numId w:val="7"/>
        </w:numPr>
        <w:ind w:right="5" w:hanging="408"/>
      </w:pPr>
      <w:r>
        <w:t xml:space="preserve">salary, benefits and pension entitlements </w:t>
      </w:r>
    </w:p>
    <w:p w:rsidR="00087370" w:rsidRDefault="003B7960">
      <w:pPr>
        <w:numPr>
          <w:ilvl w:val="2"/>
          <w:numId w:val="7"/>
        </w:numPr>
        <w:ind w:right="5" w:hanging="408"/>
      </w:pPr>
      <w:r>
        <w:t xml:space="preserve">employment status </w:t>
      </w:r>
    </w:p>
    <w:p w:rsidR="00087370" w:rsidRDefault="003B7960">
      <w:pPr>
        <w:numPr>
          <w:ilvl w:val="2"/>
          <w:numId w:val="7"/>
        </w:numPr>
        <w:ind w:right="5" w:hanging="408"/>
      </w:pPr>
      <w:r>
        <w:t xml:space="preserve">identity of employer </w:t>
      </w:r>
    </w:p>
    <w:p w:rsidR="00087370" w:rsidRDefault="003B7960">
      <w:pPr>
        <w:numPr>
          <w:ilvl w:val="2"/>
          <w:numId w:val="7"/>
        </w:numPr>
        <w:ind w:right="5" w:hanging="408"/>
      </w:pPr>
      <w:r>
        <w:t xml:space="preserve">working arrangements </w:t>
      </w:r>
    </w:p>
    <w:p w:rsidR="00087370" w:rsidRDefault="003B7960">
      <w:pPr>
        <w:numPr>
          <w:ilvl w:val="2"/>
          <w:numId w:val="7"/>
        </w:numPr>
        <w:ind w:right="5" w:hanging="408"/>
      </w:pPr>
      <w:r>
        <w:t xml:space="preserve">outstanding liabilities </w:t>
      </w:r>
    </w:p>
    <w:p w:rsidR="00087370" w:rsidRDefault="003B7960">
      <w:pPr>
        <w:numPr>
          <w:ilvl w:val="2"/>
          <w:numId w:val="7"/>
        </w:numPr>
        <w:ind w:right="5" w:hanging="408"/>
      </w:pPr>
      <w:r>
        <w:t xml:space="preserve">sickness absence </w:t>
      </w:r>
    </w:p>
    <w:p w:rsidR="00087370" w:rsidRDefault="003B7960">
      <w:pPr>
        <w:numPr>
          <w:ilvl w:val="2"/>
          <w:numId w:val="7"/>
        </w:numPr>
        <w:ind w:right="5" w:hanging="408"/>
      </w:pPr>
      <w:r>
        <w:t xml:space="preserve">copies of all relevant employment contracts and related documents </w:t>
      </w:r>
    </w:p>
    <w:p w:rsidR="00087370" w:rsidRDefault="003B7960">
      <w:pPr>
        <w:numPr>
          <w:ilvl w:val="2"/>
          <w:numId w:val="7"/>
        </w:numPr>
        <w:ind w:right="5" w:hanging="408"/>
      </w:pPr>
      <w:r>
        <w:t xml:space="preserve">all information required under regulation 11 of TUPE or as reasonably requested by the Buyer  </w:t>
      </w:r>
    </w:p>
    <w:p w:rsidR="00087370" w:rsidRDefault="003B7960">
      <w:pPr>
        <w:numPr>
          <w:ilvl w:val="1"/>
          <w:numId w:val="7"/>
        </w:numPr>
        <w:ind w:right="5" w:hanging="72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087370" w:rsidRDefault="003B7960">
      <w:pPr>
        <w:numPr>
          <w:ilvl w:val="1"/>
          <w:numId w:val="7"/>
        </w:numPr>
        <w:ind w:right="5"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rsidR="00087370" w:rsidRDefault="003B7960">
      <w:pPr>
        <w:numPr>
          <w:ilvl w:val="1"/>
          <w:numId w:val="7"/>
        </w:numPr>
        <w:ind w:right="5" w:hanging="725"/>
      </w:pPr>
      <w:r>
        <w:lastRenderedPageBreak/>
        <w:t xml:space="preserve">The Supplier will co-operate with the re-tendering of this Call-Off Contract by allowing the Replacement Supplier to communicate with and meet the affected employees or their representatives. </w:t>
      </w:r>
    </w:p>
    <w:p w:rsidR="00087370" w:rsidRDefault="003B7960">
      <w:pPr>
        <w:numPr>
          <w:ilvl w:val="1"/>
          <w:numId w:val="7"/>
        </w:numPr>
        <w:ind w:right="5" w:hanging="725"/>
      </w:pPr>
      <w:r>
        <w:t xml:space="preserve">The Supplier will indemnify the Buyer or any Replacement Supplier for all Loss arising from both: </w:t>
      </w:r>
    </w:p>
    <w:p w:rsidR="00087370" w:rsidRDefault="003B7960">
      <w:pPr>
        <w:numPr>
          <w:ilvl w:val="2"/>
          <w:numId w:val="7"/>
        </w:numPr>
        <w:ind w:right="5" w:hanging="408"/>
      </w:pPr>
      <w:r>
        <w:t xml:space="preserve">its failure to comply with the provisions of this clause </w:t>
      </w:r>
    </w:p>
    <w:p w:rsidR="00087370" w:rsidRDefault="003B7960">
      <w:pPr>
        <w:numPr>
          <w:ilvl w:val="2"/>
          <w:numId w:val="7"/>
        </w:numPr>
        <w:ind w:right="5" w:hanging="408"/>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087370" w:rsidRDefault="003B7960">
      <w:pPr>
        <w:numPr>
          <w:ilvl w:val="1"/>
          <w:numId w:val="7"/>
        </w:numPr>
        <w:ind w:right="5" w:hanging="725"/>
      </w:pPr>
      <w:r>
        <w:t xml:space="preserve">The provisions of this clause apply during the Term of this Call-Off Contract and indefinitely after it Ends or expires. </w:t>
      </w:r>
    </w:p>
    <w:p w:rsidR="00087370" w:rsidRDefault="003B7960">
      <w:pPr>
        <w:numPr>
          <w:ilvl w:val="1"/>
          <w:numId w:val="7"/>
        </w:numPr>
        <w:spacing w:after="205"/>
        <w:ind w:right="5" w:hanging="725"/>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rsidR="00087370" w:rsidRDefault="003B7960">
      <w:pPr>
        <w:numPr>
          <w:ilvl w:val="0"/>
          <w:numId w:val="7"/>
        </w:numPr>
        <w:ind w:right="5" w:hanging="355"/>
      </w:pPr>
      <w:r>
        <w:t xml:space="preserve">Additional G-Cloud services </w:t>
      </w:r>
    </w:p>
    <w:p w:rsidR="00087370" w:rsidRDefault="003B7960">
      <w:pPr>
        <w:numPr>
          <w:ilvl w:val="1"/>
          <w:numId w:val="7"/>
        </w:numPr>
        <w:ind w:right="5" w:hanging="725"/>
      </w:pPr>
      <w:r>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rsidR="00087370" w:rsidRDefault="003B7960">
      <w:pPr>
        <w:numPr>
          <w:ilvl w:val="1"/>
          <w:numId w:val="7"/>
        </w:numPr>
        <w:spacing w:after="208"/>
        <w:ind w:right="5" w:hanging="725"/>
      </w:pPr>
      <w:r>
        <w:t xml:space="preserve">If reasonably requested to do so by the Buyer in the Order Form, the Supplier must provide and monitor performance of the Additional Services using an Implementation Plan. </w:t>
      </w:r>
    </w:p>
    <w:p w:rsidR="00087370" w:rsidRDefault="003B7960">
      <w:pPr>
        <w:numPr>
          <w:ilvl w:val="0"/>
          <w:numId w:val="7"/>
        </w:numPr>
        <w:ind w:right="5" w:hanging="355"/>
      </w:pPr>
      <w:r>
        <w:t xml:space="preserve">Collaboration </w:t>
      </w:r>
    </w:p>
    <w:p w:rsidR="00087370" w:rsidRDefault="003B7960">
      <w:pPr>
        <w:numPr>
          <w:ilvl w:val="1"/>
          <w:numId w:val="7"/>
        </w:numPr>
        <w:spacing w:after="11"/>
        <w:ind w:right="5" w:hanging="725"/>
      </w:pPr>
      <w:r>
        <w:t xml:space="preserve">If the Buyer has specified in the Order Form that it requires the Supplier to </w:t>
      </w:r>
      <w:proofErr w:type="gramStart"/>
      <w:r>
        <w:t>enter into</w:t>
      </w:r>
      <w:proofErr w:type="gramEnd"/>
      <w:r>
        <w:t xml:space="preserve"> a </w:t>
      </w:r>
    </w:p>
    <w:p w:rsidR="00087370" w:rsidRDefault="003B7960">
      <w:pPr>
        <w:ind w:left="735" w:right="5"/>
      </w:pPr>
      <w:r>
        <w:t xml:space="preserve">Collaboration Agreement, the Supplier must give the Buyer an executed Collaboration Agreement before the Start Date. </w:t>
      </w:r>
    </w:p>
    <w:p w:rsidR="00087370" w:rsidRDefault="003B7960">
      <w:pPr>
        <w:numPr>
          <w:ilvl w:val="1"/>
          <w:numId w:val="7"/>
        </w:numPr>
        <w:ind w:right="5" w:hanging="725"/>
      </w:pPr>
      <w:r>
        <w:t xml:space="preserve">In addition to any obligations under the Collaboration Agreement, the Supplier must: </w:t>
      </w:r>
    </w:p>
    <w:p w:rsidR="00087370" w:rsidRDefault="003B7960">
      <w:pPr>
        <w:numPr>
          <w:ilvl w:val="2"/>
          <w:numId w:val="7"/>
        </w:numPr>
        <w:ind w:right="5" w:hanging="408"/>
      </w:pPr>
      <w:r>
        <w:t xml:space="preserve">work proactively and in good faith with each of the Buyer’s contractors </w:t>
      </w:r>
    </w:p>
    <w:p w:rsidR="00087370" w:rsidRDefault="003B7960">
      <w:pPr>
        <w:numPr>
          <w:ilvl w:val="2"/>
          <w:numId w:val="7"/>
        </w:numPr>
        <w:spacing w:after="208"/>
        <w:ind w:right="5" w:hanging="408"/>
      </w:pPr>
      <w:r>
        <w:t xml:space="preserve">co-operate and share information with the Buyer’s contractors to enable the efficient operation of the Buyer’s ICT services and G-Cloud Services </w:t>
      </w:r>
    </w:p>
    <w:p w:rsidR="00087370" w:rsidRDefault="003B7960">
      <w:pPr>
        <w:numPr>
          <w:ilvl w:val="0"/>
          <w:numId w:val="7"/>
        </w:numPr>
        <w:ind w:right="5" w:hanging="355"/>
      </w:pPr>
      <w:r>
        <w:t xml:space="preserve">Variation process </w:t>
      </w:r>
    </w:p>
    <w:p w:rsidR="00087370" w:rsidRDefault="003B7960">
      <w:pPr>
        <w:numPr>
          <w:ilvl w:val="1"/>
          <w:numId w:val="7"/>
        </w:numPr>
        <w:ind w:right="5" w:hanging="725"/>
      </w:pPr>
      <w:r>
        <w:lastRenderedPageBreak/>
        <w:t xml:space="preserve">The Buyer can request in writing a change to this Call-Off Contract if it isn’t a material change to the Framework Agreement/or this Call-Off Contract. Once implemented, it is called a Variation. </w:t>
      </w:r>
    </w:p>
    <w:p w:rsidR="00087370" w:rsidRDefault="003B7960">
      <w:pPr>
        <w:numPr>
          <w:ilvl w:val="1"/>
          <w:numId w:val="7"/>
        </w:numPr>
        <w:ind w:right="5" w:hanging="725"/>
      </w:pPr>
      <w:r>
        <w:t xml:space="preserve">The Supplier must notify the Buyer immediately in writing of any proposed changes to their GCloud Services or their delivery by submitting a Variation request. This includes any changes in the Supplier’s supply chain. </w:t>
      </w:r>
    </w:p>
    <w:p w:rsidR="00087370" w:rsidRDefault="003B7960">
      <w:pPr>
        <w:numPr>
          <w:ilvl w:val="1"/>
          <w:numId w:val="7"/>
        </w:numPr>
        <w:spacing w:after="205"/>
        <w:ind w:right="5" w:hanging="725"/>
      </w:pPr>
      <w:r>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 </w:t>
      </w:r>
    </w:p>
    <w:p w:rsidR="00087370" w:rsidRDefault="003B7960">
      <w:pPr>
        <w:numPr>
          <w:ilvl w:val="0"/>
          <w:numId w:val="7"/>
        </w:numPr>
        <w:ind w:right="5" w:hanging="355"/>
      </w:pPr>
      <w:r>
        <w:t xml:space="preserve">Data Protection Legislation (GDPR) </w:t>
      </w:r>
    </w:p>
    <w:p w:rsidR="00087370" w:rsidRDefault="003B7960">
      <w:pPr>
        <w:numPr>
          <w:ilvl w:val="1"/>
          <w:numId w:val="7"/>
        </w:numPr>
        <w:ind w:right="5" w:hanging="725"/>
      </w:pPr>
      <w:r>
        <w:t xml:space="preserve">The Parties will comply with the Data Protection Legislation and agree that the Buyer is the Controller and the Supplier is the Processor. The only Processing the Supplier is authorised to do </w:t>
      </w:r>
    </w:p>
    <w:p w:rsidR="00087370" w:rsidRDefault="003B7960">
      <w:pPr>
        <w:spacing w:after="0"/>
        <w:ind w:left="735" w:right="5"/>
      </w:pPr>
      <w:r>
        <w:t xml:space="preserve">is listed at Schedule 7 unless Law requires otherwise (in which case the Supplier will promptly notify the Buyer of any additional Processing if permitted by Law).  </w:t>
      </w:r>
      <w:r>
        <w:tab/>
        <w:t xml:space="preserve"> </w:t>
      </w:r>
    </w:p>
    <w:p w:rsidR="00087370" w:rsidRDefault="003B7960">
      <w:pPr>
        <w:spacing w:after="0" w:line="259" w:lineRule="auto"/>
        <w:ind w:left="5" w:firstLine="0"/>
      </w:pPr>
      <w:r>
        <w:t xml:space="preserve"> </w:t>
      </w:r>
    </w:p>
    <w:p w:rsidR="00087370" w:rsidRDefault="003B7960">
      <w:pPr>
        <w:numPr>
          <w:ilvl w:val="1"/>
          <w:numId w:val="7"/>
        </w:numPr>
        <w:spacing w:after="0"/>
        <w:ind w:right="5" w:hanging="725"/>
      </w:pPr>
      <w:r>
        <w:t xml:space="preserve">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 </w:t>
      </w:r>
    </w:p>
    <w:p w:rsidR="00087370" w:rsidRDefault="003B7960">
      <w:pPr>
        <w:spacing w:after="0" w:line="259" w:lineRule="auto"/>
        <w:ind w:left="5" w:firstLine="0"/>
      </w:pPr>
      <w:r>
        <w:t xml:space="preserve"> </w:t>
      </w:r>
    </w:p>
    <w:p w:rsidR="00087370" w:rsidRDefault="003B7960">
      <w:pPr>
        <w:numPr>
          <w:ilvl w:val="1"/>
          <w:numId w:val="7"/>
        </w:numPr>
        <w:spacing w:after="0"/>
        <w:ind w:right="5" w:hanging="725"/>
      </w:pPr>
      <w:r>
        <w:t xml:space="preserve">The Supplier must have in place Protective Measures, details of which shall be provided to the Buyer on request, to guard against a Data Loss Event, which </w:t>
      </w:r>
      <w:proofErr w:type="gramStart"/>
      <w:r>
        <w:t>take into account</w:t>
      </w:r>
      <w:proofErr w:type="gramEnd"/>
      <w:r>
        <w:t xml:space="preserve"> the nature of the data, the harm that might result, the state of technology and the cost of implementing the measures. </w:t>
      </w:r>
    </w:p>
    <w:p w:rsidR="00087370" w:rsidRDefault="003B7960">
      <w:pPr>
        <w:spacing w:after="0" w:line="259" w:lineRule="auto"/>
        <w:ind w:left="5" w:firstLine="0"/>
      </w:pPr>
      <w:r>
        <w:t xml:space="preserve"> </w:t>
      </w:r>
    </w:p>
    <w:p w:rsidR="00087370" w:rsidRDefault="003B7960">
      <w:pPr>
        <w:numPr>
          <w:ilvl w:val="1"/>
          <w:numId w:val="7"/>
        </w:numPr>
        <w:spacing w:after="0"/>
        <w:ind w:right="5" w:hanging="725"/>
      </w:pPr>
      <w:r>
        <w:t xml:space="preserve">The Supplier will ensure that the Supplier Staff only process Personal Data in accordance with this Call-Off Contract and take all reasonable steps to ensure the reliability and integrity of Supplier Personnel with access to Personal Data, including by ensuring they:  </w:t>
      </w:r>
      <w:r>
        <w:tab/>
        <w:t xml:space="preserve"> </w:t>
      </w:r>
    </w:p>
    <w:p w:rsidR="00087370" w:rsidRDefault="003B7960">
      <w:pPr>
        <w:numPr>
          <w:ilvl w:val="3"/>
          <w:numId w:val="8"/>
        </w:numPr>
        <w:spacing w:after="0"/>
        <w:ind w:right="5" w:hanging="331"/>
      </w:pPr>
      <w:r>
        <w:t xml:space="preserve">are aware of and comply with the Supplier’s obligations under this Clause;   </w:t>
      </w:r>
    </w:p>
    <w:p w:rsidR="00087370" w:rsidRDefault="003B7960">
      <w:pPr>
        <w:spacing w:after="0" w:line="259" w:lineRule="auto"/>
        <w:ind w:left="1445" w:firstLine="0"/>
      </w:pPr>
      <w:r>
        <w:t xml:space="preserve"> </w:t>
      </w:r>
    </w:p>
    <w:p w:rsidR="00087370" w:rsidRDefault="003B7960">
      <w:pPr>
        <w:numPr>
          <w:ilvl w:val="3"/>
          <w:numId w:val="8"/>
        </w:numPr>
        <w:spacing w:after="0"/>
        <w:ind w:right="5" w:hanging="331"/>
      </w:pPr>
      <w:r>
        <w:t xml:space="preserve">are subject to appropriate confidentiality undertakings with the Supplier  </w:t>
      </w:r>
    </w:p>
    <w:p w:rsidR="00087370" w:rsidRDefault="003B7960">
      <w:pPr>
        <w:spacing w:after="0" w:line="259" w:lineRule="auto"/>
        <w:ind w:left="1445" w:firstLine="0"/>
      </w:pPr>
      <w:r>
        <w:t xml:space="preserve"> </w:t>
      </w:r>
    </w:p>
    <w:p w:rsidR="00087370" w:rsidRDefault="003B7960">
      <w:pPr>
        <w:numPr>
          <w:ilvl w:val="3"/>
          <w:numId w:val="8"/>
        </w:numPr>
        <w:spacing w:after="0"/>
        <w:ind w:right="5" w:hanging="331"/>
      </w:pPr>
      <w:r>
        <w:lastRenderedPageBreak/>
        <w:t xml:space="preserve">are informed of the confidential nature of the Personal Data and don’t publish, disclose or divulge it to any third party unless directed by the Buyer or in accordance with this Call-Off Contract  </w:t>
      </w:r>
      <w:r>
        <w:tab/>
        <w:t xml:space="preserve"> </w:t>
      </w:r>
    </w:p>
    <w:p w:rsidR="00087370" w:rsidRDefault="003B7960">
      <w:pPr>
        <w:spacing w:after="0" w:line="259" w:lineRule="auto"/>
        <w:ind w:left="1445" w:firstLine="0"/>
      </w:pPr>
      <w:r>
        <w:t xml:space="preserve"> </w:t>
      </w:r>
    </w:p>
    <w:p w:rsidR="00087370" w:rsidRDefault="003B7960">
      <w:pPr>
        <w:numPr>
          <w:ilvl w:val="3"/>
          <w:numId w:val="8"/>
        </w:numPr>
        <w:spacing w:after="0"/>
        <w:ind w:right="5" w:hanging="331"/>
      </w:pPr>
      <w:r>
        <w:t xml:space="preserve">are given training in the use, protection and handling of Personal Data. </w:t>
      </w:r>
      <w:r>
        <w:tab/>
        <w:t xml:space="preserve"> </w:t>
      </w:r>
    </w:p>
    <w:p w:rsidR="00087370" w:rsidRDefault="003B7960">
      <w:pPr>
        <w:spacing w:after="239" w:line="259" w:lineRule="auto"/>
        <w:ind w:left="0" w:firstLine="0"/>
      </w:pPr>
      <w:r>
        <w:t xml:space="preserve"> </w:t>
      </w:r>
    </w:p>
    <w:p w:rsidR="00087370" w:rsidRDefault="003B7960">
      <w:pPr>
        <w:numPr>
          <w:ilvl w:val="1"/>
          <w:numId w:val="7"/>
        </w:numPr>
        <w:spacing w:after="205" w:line="270" w:lineRule="auto"/>
        <w:ind w:right="5" w:hanging="725"/>
      </w:pPr>
      <w:r>
        <w:rPr>
          <w:color w:val="353535"/>
        </w:rPr>
        <w:t xml:space="preserve">The Supplier will not transfer Personal Data outside of the European Union unless the prior written consent of the Buyer has been obtained, which shall be dependent on such a transfer satisfying relevant Data Protection Legislation requirements. </w:t>
      </w:r>
    </w:p>
    <w:p w:rsidR="00087370" w:rsidRDefault="003B7960">
      <w:pPr>
        <w:numPr>
          <w:ilvl w:val="1"/>
          <w:numId w:val="7"/>
        </w:numPr>
        <w:spacing w:after="205" w:line="270" w:lineRule="auto"/>
        <w:ind w:right="5" w:hanging="725"/>
      </w:pPr>
      <w:r>
        <w:rPr>
          <w:color w:val="353535"/>
        </w:rPr>
        <w:t xml:space="preserve">The Supplier will delete or return Buyer’s Personal Data (including copies) if requested in writing by the Buyer at the End or Expiry of this Call-Off Contract, unless required to retain the Personal Data by Law. </w:t>
      </w:r>
    </w:p>
    <w:p w:rsidR="00087370" w:rsidRDefault="003B7960">
      <w:pPr>
        <w:numPr>
          <w:ilvl w:val="1"/>
          <w:numId w:val="7"/>
        </w:numPr>
        <w:spacing w:after="205" w:line="270" w:lineRule="auto"/>
        <w:ind w:right="5" w:hanging="725"/>
      </w:pPr>
      <w:r>
        <w:rPr>
          <w:color w:val="353535"/>
        </w:rPr>
        <w:t xml:space="preserve">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 </w:t>
      </w:r>
    </w:p>
    <w:p w:rsidR="00087370" w:rsidRDefault="003B7960">
      <w:pPr>
        <w:numPr>
          <w:ilvl w:val="1"/>
          <w:numId w:val="7"/>
        </w:numPr>
        <w:spacing w:after="205" w:line="270" w:lineRule="auto"/>
        <w:ind w:right="5" w:hanging="725"/>
      </w:pPr>
      <w:r>
        <w:rPr>
          <w:color w:val="353535"/>
        </w:rPr>
        <w:t xml:space="preserve">The Supplier will maintain complete and accurate records and information to demonstrate its compliance with this clause. This requirement does not apply where the Supplier employs fewer than 250 staff, unless:  </w:t>
      </w:r>
      <w:r>
        <w:rPr>
          <w:color w:val="353535"/>
        </w:rPr>
        <w:tab/>
        <w:t xml:space="preserve"> </w:t>
      </w:r>
    </w:p>
    <w:p w:rsidR="00087370" w:rsidRDefault="003B7960">
      <w:pPr>
        <w:numPr>
          <w:ilvl w:val="3"/>
          <w:numId w:val="9"/>
        </w:numPr>
        <w:spacing w:after="205" w:line="270" w:lineRule="auto"/>
        <w:ind w:firstLine="0"/>
      </w:pPr>
      <w:r>
        <w:rPr>
          <w:color w:val="353535"/>
        </w:rPr>
        <w:t xml:space="preserve">the Buyer determines that the Processing is not occasional;  </w:t>
      </w:r>
      <w:r>
        <w:rPr>
          <w:color w:val="353535"/>
        </w:rPr>
        <w:tab/>
        <w:t xml:space="preserve"> </w:t>
      </w:r>
    </w:p>
    <w:p w:rsidR="00087370" w:rsidRDefault="003B7960">
      <w:pPr>
        <w:numPr>
          <w:ilvl w:val="3"/>
          <w:numId w:val="9"/>
        </w:numPr>
        <w:spacing w:after="205" w:line="270" w:lineRule="auto"/>
        <w:ind w:firstLine="0"/>
      </w:pPr>
      <w:r>
        <w:rPr>
          <w:color w:val="353535"/>
        </w:rPr>
        <w:t xml:space="preserve">the Buyer determines the Processing includes special categories of data as referred to in Article 9(1) of the GDPR or Personal Data relating to criminal convictions and offences referred to in Article 10 of the GDPR; and   </w:t>
      </w:r>
    </w:p>
    <w:p w:rsidR="00087370" w:rsidRDefault="003B7960">
      <w:pPr>
        <w:numPr>
          <w:ilvl w:val="3"/>
          <w:numId w:val="9"/>
        </w:numPr>
        <w:spacing w:after="205" w:line="270" w:lineRule="auto"/>
        <w:ind w:firstLine="0"/>
      </w:pPr>
      <w:r>
        <w:rPr>
          <w:color w:val="353535"/>
        </w:rPr>
        <w:t xml:space="preserve">the Buyer determines that the Processing is likely to result in a risk to the rights and freedoms of Data Subjects. </w:t>
      </w:r>
    </w:p>
    <w:p w:rsidR="00087370" w:rsidRDefault="003B7960">
      <w:pPr>
        <w:numPr>
          <w:ilvl w:val="1"/>
          <w:numId w:val="7"/>
        </w:numPr>
        <w:spacing w:after="243" w:line="270" w:lineRule="auto"/>
        <w:ind w:right="5" w:hanging="725"/>
      </w:pPr>
      <w:r>
        <w:rPr>
          <w:color w:val="353535"/>
        </w:rPr>
        <w:t xml:space="preserve">Before allowing any Sub-processor to Process any Personal Data related to this Call-Off Contract, the Supplier must: </w:t>
      </w:r>
    </w:p>
    <w:p w:rsidR="00087370" w:rsidRDefault="003B7960">
      <w:pPr>
        <w:numPr>
          <w:ilvl w:val="4"/>
          <w:numId w:val="10"/>
        </w:numPr>
        <w:spacing w:after="243" w:line="270" w:lineRule="auto"/>
        <w:ind w:hanging="721"/>
      </w:pPr>
      <w:r>
        <w:rPr>
          <w:color w:val="353535"/>
        </w:rPr>
        <w:t xml:space="preserve">notify the Buyer in writing of the proposed Sub-processor(s) and obtain its written consent; </w:t>
      </w:r>
    </w:p>
    <w:p w:rsidR="00087370" w:rsidRDefault="003B7960">
      <w:pPr>
        <w:numPr>
          <w:ilvl w:val="4"/>
          <w:numId w:val="10"/>
        </w:numPr>
        <w:spacing w:after="240" w:line="270" w:lineRule="auto"/>
        <w:ind w:hanging="721"/>
      </w:pPr>
      <w:r>
        <w:rPr>
          <w:color w:val="353535"/>
        </w:rPr>
        <w:lastRenderedPageBreak/>
        <w:t xml:space="preserve">ensure that it has entered into a written agreement with the </w:t>
      </w:r>
      <w:proofErr w:type="spellStart"/>
      <w:r>
        <w:rPr>
          <w:color w:val="353535"/>
        </w:rPr>
        <w:t>Subprocessor</w:t>
      </w:r>
      <w:proofErr w:type="spellEnd"/>
      <w:r>
        <w:rPr>
          <w:color w:val="353535"/>
        </w:rPr>
        <w:t xml:space="preserve">(s) which gives effect to obligations set out in this Clause 33 such that they apply to the Sub-processor(s); and </w:t>
      </w:r>
    </w:p>
    <w:p w:rsidR="00087370" w:rsidRDefault="003B7960">
      <w:pPr>
        <w:numPr>
          <w:ilvl w:val="4"/>
          <w:numId w:val="10"/>
        </w:numPr>
        <w:spacing w:after="205" w:line="270" w:lineRule="auto"/>
        <w:ind w:hanging="721"/>
      </w:pPr>
      <w:r>
        <w:rPr>
          <w:color w:val="353535"/>
        </w:rPr>
        <w:t xml:space="preserve">inform the Buyer of any additions to, or replacements of the notified Sub-processors and the Buyer shall either </w:t>
      </w:r>
      <w:proofErr w:type="spellStart"/>
      <w:r>
        <w:rPr>
          <w:color w:val="353535"/>
        </w:rPr>
        <w:t>i</w:t>
      </w:r>
      <w:proofErr w:type="spellEnd"/>
      <w:r>
        <w:rPr>
          <w:color w:val="353535"/>
        </w:rPr>
        <w:t xml:space="preserve">) provide its written consent or ii) object. </w:t>
      </w:r>
    </w:p>
    <w:p w:rsidR="00087370" w:rsidRDefault="003B7960">
      <w:pPr>
        <w:numPr>
          <w:ilvl w:val="1"/>
          <w:numId w:val="7"/>
        </w:numPr>
        <w:spacing w:after="205" w:line="270" w:lineRule="auto"/>
        <w:ind w:right="5" w:hanging="725"/>
      </w:pPr>
      <w:r>
        <w:rPr>
          <w:color w:val="353535"/>
        </w:rPr>
        <w:t xml:space="preserve">The Buyer may at any time put forward a Variation request to amend this Call-Off Contract to ensure that it complies with any guidance issued by the Information Commissioner’s Office. </w:t>
      </w:r>
    </w:p>
    <w:p w:rsidR="00087370" w:rsidRDefault="003B7960">
      <w:pPr>
        <w:spacing w:after="220" w:line="259" w:lineRule="auto"/>
        <w:ind w:left="5" w:firstLine="0"/>
      </w:pPr>
      <w:r>
        <w:t xml:space="preserve"> </w:t>
      </w:r>
    </w:p>
    <w:p w:rsidR="00087370" w:rsidRDefault="003B7960">
      <w:pPr>
        <w:pStyle w:val="Heading1"/>
        <w:spacing w:after="205"/>
        <w:ind w:left="11" w:right="5"/>
      </w:pPr>
      <w:bookmarkStart w:id="4" w:name="_Toc72195"/>
      <w:r>
        <w:t xml:space="preserve">Schedule 3 - Collaboration agreement </w:t>
      </w:r>
      <w:bookmarkEnd w:id="4"/>
    </w:p>
    <w:p w:rsidR="00087370" w:rsidRDefault="003B7960">
      <w:pPr>
        <w:spacing w:after="209"/>
        <w:ind w:left="0"/>
      </w:pPr>
      <w:r>
        <w:t xml:space="preserve">The Collaboration agreement is available at </w:t>
      </w:r>
      <w:hyperlink r:id="rId105">
        <w:r>
          <w:rPr>
            <w:color w:val="1155CC"/>
            <w:u w:val="single" w:color="1155CC"/>
          </w:rPr>
          <w:t>https://www.gov.uk/guidance/g</w:t>
        </w:r>
      </w:hyperlink>
      <w:hyperlink r:id="rId106">
        <w:r>
          <w:rPr>
            <w:color w:val="1155CC"/>
            <w:u w:val="single" w:color="1155CC"/>
          </w:rPr>
          <w:t>-</w:t>
        </w:r>
      </w:hyperlink>
      <w:hyperlink r:id="rId107">
        <w:r>
          <w:rPr>
            <w:color w:val="1155CC"/>
            <w:u w:val="single" w:color="1155CC"/>
          </w:rPr>
          <w:t>cloud</w:t>
        </w:r>
      </w:hyperlink>
      <w:hyperlink r:id="rId108">
        <w:r>
          <w:rPr>
            <w:color w:val="1155CC"/>
            <w:u w:val="single" w:color="1155CC"/>
          </w:rPr>
          <w:t>-</w:t>
        </w:r>
      </w:hyperlink>
      <w:hyperlink r:id="rId109">
        <w:r>
          <w:rPr>
            <w:color w:val="1155CC"/>
            <w:u w:val="single" w:color="1155CC"/>
          </w:rPr>
          <w:t>templates</w:t>
        </w:r>
      </w:hyperlink>
      <w:hyperlink r:id="rId110">
        <w:r>
          <w:rPr>
            <w:color w:val="1155CC"/>
            <w:u w:val="single" w:color="1155CC"/>
          </w:rPr>
          <w:t>-</w:t>
        </w:r>
      </w:hyperlink>
      <w:hyperlink r:id="rId111">
        <w:r>
          <w:rPr>
            <w:color w:val="1155CC"/>
            <w:u w:val="single" w:color="1155CC"/>
          </w:rPr>
          <w:t>and</w:t>
        </w:r>
      </w:hyperlink>
      <w:hyperlink r:id="rId112">
        <w:r>
          <w:rPr>
            <w:color w:val="1155CC"/>
            <w:u w:val="single" w:color="1155CC"/>
          </w:rPr>
          <w:t>-</w:t>
        </w:r>
      </w:hyperlink>
      <w:hyperlink r:id="rId113">
        <w:r>
          <w:rPr>
            <w:color w:val="1155CC"/>
            <w:u w:val="single" w:color="1155CC"/>
          </w:rPr>
          <w:t>legal</w:t>
        </w:r>
      </w:hyperlink>
      <w:hyperlink r:id="rId114"/>
      <w:hyperlink r:id="rId115">
        <w:r>
          <w:rPr>
            <w:color w:val="1155CC"/>
            <w:u w:val="single" w:color="1155CC"/>
          </w:rPr>
          <w:t>documents</w:t>
        </w:r>
      </w:hyperlink>
      <w:hyperlink r:id="rId116">
        <w:r>
          <w:t xml:space="preserve"> </w:t>
        </w:r>
      </w:hyperlink>
      <w:r>
        <w:t xml:space="preserve"> </w:t>
      </w:r>
    </w:p>
    <w:p w:rsidR="00087370" w:rsidRDefault="003B7960">
      <w:pPr>
        <w:spacing w:after="220" w:line="259" w:lineRule="auto"/>
        <w:ind w:left="5" w:firstLine="0"/>
      </w:pPr>
      <w:r>
        <w:t xml:space="preserve"> </w:t>
      </w:r>
    </w:p>
    <w:p w:rsidR="00087370" w:rsidRDefault="003B7960">
      <w:pPr>
        <w:pStyle w:val="Heading1"/>
        <w:spacing w:after="205"/>
        <w:ind w:left="11" w:right="5"/>
      </w:pPr>
      <w:bookmarkStart w:id="5" w:name="_Toc72196"/>
      <w:r>
        <w:t xml:space="preserve">Schedule 4 - Alternative clauses </w:t>
      </w:r>
      <w:bookmarkEnd w:id="5"/>
    </w:p>
    <w:p w:rsidR="00087370" w:rsidRDefault="003B7960">
      <w:pPr>
        <w:spacing w:after="209"/>
        <w:ind w:left="0"/>
      </w:pPr>
      <w:r>
        <w:t xml:space="preserve">The Alternative clauses are available at </w:t>
      </w:r>
      <w:hyperlink r:id="rId117">
        <w:r>
          <w:rPr>
            <w:color w:val="1155CC"/>
            <w:u w:val="single" w:color="1155CC"/>
          </w:rPr>
          <w:t>https://www.gov.uk/guidance/g</w:t>
        </w:r>
      </w:hyperlink>
      <w:hyperlink r:id="rId118">
        <w:r>
          <w:rPr>
            <w:color w:val="1155CC"/>
            <w:u w:val="single" w:color="1155CC"/>
          </w:rPr>
          <w:t>-</w:t>
        </w:r>
      </w:hyperlink>
      <w:hyperlink r:id="rId119">
        <w:r>
          <w:rPr>
            <w:color w:val="1155CC"/>
            <w:u w:val="single" w:color="1155CC"/>
          </w:rPr>
          <w:t>cloud</w:t>
        </w:r>
      </w:hyperlink>
      <w:hyperlink r:id="rId120">
        <w:r>
          <w:rPr>
            <w:color w:val="1155CC"/>
            <w:u w:val="single" w:color="1155CC"/>
          </w:rPr>
          <w:t>-</w:t>
        </w:r>
      </w:hyperlink>
      <w:hyperlink r:id="rId121">
        <w:r>
          <w:rPr>
            <w:color w:val="1155CC"/>
            <w:u w:val="single" w:color="1155CC"/>
          </w:rPr>
          <w:t>templates</w:t>
        </w:r>
      </w:hyperlink>
      <w:hyperlink r:id="rId122">
        <w:r>
          <w:rPr>
            <w:color w:val="1155CC"/>
            <w:u w:val="single" w:color="1155CC"/>
          </w:rPr>
          <w:t>-</w:t>
        </w:r>
      </w:hyperlink>
      <w:hyperlink r:id="rId123">
        <w:r>
          <w:rPr>
            <w:color w:val="1155CC"/>
            <w:u w:val="single" w:color="1155CC"/>
          </w:rPr>
          <w:t>and</w:t>
        </w:r>
      </w:hyperlink>
      <w:hyperlink r:id="rId124">
        <w:r>
          <w:rPr>
            <w:color w:val="1155CC"/>
            <w:u w:val="single" w:color="1155CC"/>
          </w:rPr>
          <w:t>-</w:t>
        </w:r>
      </w:hyperlink>
      <w:hyperlink r:id="rId125">
        <w:r>
          <w:rPr>
            <w:color w:val="1155CC"/>
            <w:u w:val="single" w:color="1155CC"/>
          </w:rPr>
          <w:t>legal</w:t>
        </w:r>
      </w:hyperlink>
      <w:hyperlink r:id="rId126"/>
      <w:hyperlink r:id="rId127">
        <w:r>
          <w:rPr>
            <w:color w:val="1155CC"/>
            <w:u w:val="single" w:color="1155CC"/>
          </w:rPr>
          <w:t>documents</w:t>
        </w:r>
      </w:hyperlink>
      <w:hyperlink r:id="rId128">
        <w:r>
          <w:t xml:space="preserve"> </w:t>
        </w:r>
      </w:hyperlink>
      <w:r>
        <w:t xml:space="preserve"> </w:t>
      </w:r>
    </w:p>
    <w:p w:rsidR="00087370" w:rsidRDefault="003B7960">
      <w:pPr>
        <w:spacing w:after="221" w:line="259" w:lineRule="auto"/>
        <w:ind w:left="5" w:firstLine="0"/>
      </w:pPr>
      <w:r>
        <w:t xml:space="preserve"> </w:t>
      </w:r>
    </w:p>
    <w:p w:rsidR="00087370" w:rsidRDefault="003B7960">
      <w:pPr>
        <w:pStyle w:val="Heading1"/>
        <w:spacing w:after="205"/>
        <w:ind w:left="11" w:right="5"/>
      </w:pPr>
      <w:bookmarkStart w:id="6" w:name="_Toc72197"/>
      <w:r>
        <w:t xml:space="preserve">Schedule 5 - Guarantee </w:t>
      </w:r>
      <w:bookmarkEnd w:id="6"/>
    </w:p>
    <w:p w:rsidR="00087370" w:rsidRDefault="003B7960">
      <w:pPr>
        <w:spacing w:after="209"/>
        <w:ind w:left="0"/>
      </w:pPr>
      <w:r>
        <w:t xml:space="preserve">The Guarantee is available at </w:t>
      </w:r>
      <w:hyperlink r:id="rId129">
        <w:r>
          <w:rPr>
            <w:color w:val="1155CC"/>
            <w:u w:val="single" w:color="1155CC"/>
          </w:rPr>
          <w:t>https://www.gov.uk/guidance/g</w:t>
        </w:r>
      </w:hyperlink>
      <w:hyperlink r:id="rId130">
        <w:r>
          <w:rPr>
            <w:color w:val="1155CC"/>
            <w:u w:val="single" w:color="1155CC"/>
          </w:rPr>
          <w:t>-</w:t>
        </w:r>
      </w:hyperlink>
      <w:hyperlink r:id="rId131">
        <w:r>
          <w:rPr>
            <w:color w:val="1155CC"/>
            <w:u w:val="single" w:color="1155CC"/>
          </w:rPr>
          <w:t>cloud</w:t>
        </w:r>
      </w:hyperlink>
      <w:hyperlink r:id="rId132">
        <w:r>
          <w:rPr>
            <w:color w:val="1155CC"/>
            <w:u w:val="single" w:color="1155CC"/>
          </w:rPr>
          <w:t>-</w:t>
        </w:r>
      </w:hyperlink>
      <w:hyperlink r:id="rId133">
        <w:r>
          <w:rPr>
            <w:color w:val="1155CC"/>
            <w:u w:val="single" w:color="1155CC"/>
          </w:rPr>
          <w:t>templates</w:t>
        </w:r>
      </w:hyperlink>
      <w:hyperlink r:id="rId134">
        <w:r>
          <w:rPr>
            <w:color w:val="1155CC"/>
            <w:u w:val="single" w:color="1155CC"/>
          </w:rPr>
          <w:t>-</w:t>
        </w:r>
      </w:hyperlink>
      <w:hyperlink r:id="rId135">
        <w:r>
          <w:rPr>
            <w:color w:val="1155CC"/>
            <w:u w:val="single" w:color="1155CC"/>
          </w:rPr>
          <w:t>and</w:t>
        </w:r>
      </w:hyperlink>
      <w:hyperlink r:id="rId136">
        <w:r>
          <w:rPr>
            <w:color w:val="1155CC"/>
            <w:u w:val="single" w:color="1155CC"/>
          </w:rPr>
          <w:t>-</w:t>
        </w:r>
      </w:hyperlink>
      <w:hyperlink r:id="rId137">
        <w:r>
          <w:rPr>
            <w:color w:val="1155CC"/>
            <w:u w:val="single" w:color="1155CC"/>
          </w:rPr>
          <w:t>legal</w:t>
        </w:r>
      </w:hyperlink>
      <w:hyperlink r:id="rId138">
        <w:r>
          <w:rPr>
            <w:color w:val="1155CC"/>
            <w:u w:val="single" w:color="1155CC"/>
          </w:rPr>
          <w:t>-</w:t>
        </w:r>
      </w:hyperlink>
      <w:hyperlink r:id="rId139">
        <w:r>
          <w:rPr>
            <w:color w:val="1155CC"/>
            <w:u w:val="single" w:color="1155CC"/>
          </w:rPr>
          <w:t>documents</w:t>
        </w:r>
      </w:hyperlink>
      <w:hyperlink r:id="rId140">
        <w:r>
          <w:t xml:space="preserve"> </w:t>
        </w:r>
      </w:hyperlink>
      <w:r>
        <w:t xml:space="preserve"> </w:t>
      </w:r>
    </w:p>
    <w:p w:rsidR="00087370" w:rsidRDefault="003B7960">
      <w:pPr>
        <w:spacing w:after="220" w:line="259" w:lineRule="auto"/>
        <w:ind w:left="5" w:firstLine="0"/>
      </w:pPr>
      <w:r>
        <w:t xml:space="preserve"> </w:t>
      </w:r>
    </w:p>
    <w:p w:rsidR="00087370" w:rsidRDefault="003B7960">
      <w:pPr>
        <w:pStyle w:val="Heading1"/>
        <w:spacing w:after="205"/>
        <w:ind w:left="11" w:right="5"/>
      </w:pPr>
      <w:bookmarkStart w:id="7" w:name="_Toc72198"/>
      <w:r>
        <w:t xml:space="preserve">Schedule 6 - Glossary and interpretations </w:t>
      </w:r>
      <w:bookmarkEnd w:id="7"/>
    </w:p>
    <w:p w:rsidR="00087370" w:rsidRDefault="003B7960">
      <w:pPr>
        <w:spacing w:after="0"/>
        <w:ind w:left="11" w:right="5"/>
      </w:pPr>
      <w:r>
        <w:t xml:space="preserve">In this Call-Off Contract the following expressions mean: </w:t>
      </w:r>
    </w:p>
    <w:tbl>
      <w:tblPr>
        <w:tblStyle w:val="TableGrid"/>
        <w:tblW w:w="10594" w:type="dxa"/>
        <w:tblInd w:w="10" w:type="dxa"/>
        <w:tblCellMar>
          <w:top w:w="166" w:type="dxa"/>
          <w:left w:w="101" w:type="dxa"/>
          <w:right w:w="57" w:type="dxa"/>
        </w:tblCellMar>
        <w:tblLook w:val="04A0" w:firstRow="1" w:lastRow="0" w:firstColumn="1" w:lastColumn="0" w:noHBand="0" w:noVBand="1"/>
      </w:tblPr>
      <w:tblGrid>
        <w:gridCol w:w="3435"/>
        <w:gridCol w:w="7159"/>
      </w:tblGrid>
      <w:tr w:rsidR="00087370">
        <w:trPr>
          <w:trHeight w:val="1157"/>
        </w:trPr>
        <w:tc>
          <w:tcPr>
            <w:tcW w:w="3435" w:type="dxa"/>
            <w:tcBorders>
              <w:top w:val="single" w:sz="4"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Additional Services </w:t>
            </w:r>
          </w:p>
        </w:tc>
        <w:tc>
          <w:tcPr>
            <w:tcW w:w="7158" w:type="dxa"/>
            <w:tcBorders>
              <w:top w:val="single" w:sz="4"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right="45" w:firstLine="0"/>
            </w:pPr>
            <w:r>
              <w:t xml:space="preserve">Any services ancillary to the G-Cloud Services that are in the scope of Framework Agreement Section 2 (Services Offered) which a Buyer may request. </w:t>
            </w:r>
          </w:p>
        </w:tc>
      </w:tr>
      <w:tr w:rsidR="00087370">
        <w:trPr>
          <w:trHeight w:val="84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Admission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agreement to be </w:t>
            </w:r>
            <w:proofErr w:type="gramStart"/>
            <w:r>
              <w:t>entered into</w:t>
            </w:r>
            <w:proofErr w:type="gramEnd"/>
            <w:r>
              <w:t xml:space="preserve"> to enable the Supplier to participate in the relevant Civil Service pension scheme(s). </w:t>
            </w:r>
          </w:p>
        </w:tc>
      </w:tr>
      <w:tr w:rsidR="00087370">
        <w:trPr>
          <w:trHeight w:val="84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Application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response submitted by the Supplier to the Invitation to Tender (known as the Invitation to Apply on the Digital Marketplace). </w:t>
            </w:r>
          </w:p>
        </w:tc>
      </w:tr>
      <w:tr w:rsidR="00087370">
        <w:trPr>
          <w:trHeight w:val="847"/>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Audit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 audit carried out under the incorporated Framework Agreement clauses specified by the Buyer in the Order (if any). </w:t>
            </w:r>
          </w:p>
        </w:tc>
      </w:tr>
      <w:tr w:rsidR="00087370">
        <w:trPr>
          <w:trHeight w:val="3689"/>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Background IPRs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11" w:line="259" w:lineRule="auto"/>
              <w:ind w:left="0" w:firstLine="0"/>
            </w:pPr>
            <w:r>
              <w:t xml:space="preserve">For each Party, IPRs: </w:t>
            </w:r>
          </w:p>
          <w:p w:rsidR="00087370" w:rsidRDefault="003B7960">
            <w:pPr>
              <w:numPr>
                <w:ilvl w:val="0"/>
                <w:numId w:val="13"/>
              </w:numPr>
              <w:spacing w:after="0" w:line="259" w:lineRule="auto"/>
              <w:ind w:hanging="360"/>
            </w:pPr>
            <w:r>
              <w:t xml:space="preserve">owned by that Party before the date of this Call-Off Contract </w:t>
            </w:r>
          </w:p>
          <w:p w:rsidR="00087370" w:rsidRDefault="003B7960">
            <w:pPr>
              <w:spacing w:after="41" w:line="238" w:lineRule="auto"/>
              <w:ind w:left="720" w:firstLine="0"/>
            </w:pPr>
            <w:r>
              <w:t xml:space="preserve">(as may be enhanced and/or modified but not </w:t>
            </w:r>
            <w:proofErr w:type="gramStart"/>
            <w:r>
              <w:t>as a consequence of</w:t>
            </w:r>
            <w:proofErr w:type="gramEnd"/>
            <w:r>
              <w:t xml:space="preserve"> the Services) including IPRs contained in any of the Party's Know-How, documentation and processes  </w:t>
            </w:r>
          </w:p>
          <w:p w:rsidR="00087370" w:rsidRDefault="003B7960">
            <w:pPr>
              <w:numPr>
                <w:ilvl w:val="0"/>
                <w:numId w:val="13"/>
              </w:numPr>
              <w:spacing w:after="0" w:line="239" w:lineRule="auto"/>
              <w:ind w:hanging="360"/>
            </w:pPr>
            <w:r>
              <w:t xml:space="preserve">created by the Party independently of this Call-Off Contract, or </w:t>
            </w:r>
          </w:p>
          <w:p w:rsidR="00087370" w:rsidRDefault="003B7960">
            <w:pPr>
              <w:spacing w:after="0" w:line="259" w:lineRule="auto"/>
              <w:ind w:left="0" w:firstLine="0"/>
            </w:pPr>
            <w:r>
              <w:t xml:space="preserve"> </w:t>
            </w:r>
          </w:p>
          <w:p w:rsidR="00087370" w:rsidRDefault="003B7960">
            <w:pPr>
              <w:spacing w:after="0" w:line="259" w:lineRule="auto"/>
              <w:ind w:left="0" w:firstLine="0"/>
            </w:pPr>
            <w:r>
              <w:t xml:space="preserve">For the Buyer, Crown Copyright which isn’t available to the Supplier otherwise than under this Call-Off Contract, but excluding IPRs owned by that Party in Buyer software or Supplier software.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Buyer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contracting authority ordering services as set out in the Order Form.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Buyer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All data supplied by the Buyer to the Supplier including Personal Data and Service Data that is owned and managed by the Buyer.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Buyer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personal data supplied by the Buyer to the Supplier for purposes of, or </w:t>
            </w:r>
            <w:proofErr w:type="gramStart"/>
            <w:r>
              <w:t>in connection with</w:t>
            </w:r>
            <w:proofErr w:type="gramEnd"/>
            <w:r>
              <w:t xml:space="preserve">, this Call-Off Contract.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110" w:type="dxa"/>
        </w:tblCellMar>
        <w:tblLook w:val="04A0" w:firstRow="1" w:lastRow="0" w:firstColumn="1" w:lastColumn="0" w:noHBand="0" w:noVBand="1"/>
      </w:tblPr>
      <w:tblGrid>
        <w:gridCol w:w="3435"/>
        <w:gridCol w:w="7159"/>
      </w:tblGrid>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Buyer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representative appointed by the Buyer under this Call-Off Contract.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Buyer Software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Software owned by or licensed to the Buyer (other than under this Agreement), which is or will be used by the Supplier to provide the Services. </w:t>
            </w:r>
          </w:p>
        </w:tc>
      </w:tr>
      <w:tr w:rsidR="00087370">
        <w:trPr>
          <w:trHeight w:val="1793"/>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Call-Off Contract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Charges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prices (excluding any applicable VAT), payable to the Supplier by the Buyer under this Call-Off Contract. </w:t>
            </w:r>
          </w:p>
        </w:tc>
      </w:tr>
      <w:tr w:rsidR="00087370">
        <w:trPr>
          <w:trHeight w:val="179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Collaboration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087370">
        <w:trPr>
          <w:trHeight w:val="1159"/>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Commercially Sensitive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Information, which the Buyer has been notified about by the </w:t>
            </w:r>
          </w:p>
          <w:p w:rsidR="00087370" w:rsidRDefault="003B7960">
            <w:pPr>
              <w:spacing w:after="0" w:line="259" w:lineRule="auto"/>
              <w:ind w:left="0" w:firstLine="0"/>
            </w:pPr>
            <w:r>
              <w:t xml:space="preserve">Supplier in writing before the Start Date with full details of why the Information is deemed to be commercially sensitive. </w:t>
            </w:r>
          </w:p>
        </w:tc>
      </w:tr>
      <w:tr w:rsidR="00087370">
        <w:trPr>
          <w:trHeight w:val="3058"/>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Confidential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42" w:line="237" w:lineRule="auto"/>
              <w:ind w:left="0" w:firstLine="0"/>
            </w:pPr>
            <w:r>
              <w:t xml:space="preserve">Data, personal data and any information, which may include (but isn’t limited to) any: </w:t>
            </w:r>
          </w:p>
          <w:p w:rsidR="00087370" w:rsidRDefault="003B7960">
            <w:pPr>
              <w:numPr>
                <w:ilvl w:val="0"/>
                <w:numId w:val="14"/>
              </w:numPr>
              <w:spacing w:after="0" w:line="239" w:lineRule="auto"/>
              <w:ind w:hanging="360"/>
            </w:pPr>
            <w:r>
              <w:t xml:space="preserve">information about business, affairs, developments, trade secrets, know-how, personnel, and third parties, including all </w:t>
            </w:r>
          </w:p>
          <w:p w:rsidR="00087370" w:rsidRDefault="003B7960">
            <w:pPr>
              <w:spacing w:after="40" w:line="239" w:lineRule="auto"/>
              <w:ind w:left="720" w:firstLine="0"/>
            </w:pPr>
            <w:r>
              <w:t xml:space="preserve">Intellectual Property Rights (IPRs), together with all information derived from any of the above </w:t>
            </w:r>
          </w:p>
          <w:p w:rsidR="00087370" w:rsidRDefault="003B7960">
            <w:pPr>
              <w:numPr>
                <w:ilvl w:val="0"/>
                <w:numId w:val="14"/>
              </w:numPr>
              <w:spacing w:after="0" w:line="259"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Control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‘Control’ as defined in section 1124 and 450 of the Corporation Tax </w:t>
            </w:r>
          </w:p>
          <w:p w:rsidR="00087370" w:rsidRDefault="003B7960">
            <w:pPr>
              <w:spacing w:after="0" w:line="259" w:lineRule="auto"/>
              <w:ind w:left="0" w:firstLine="0"/>
            </w:pPr>
            <w:r>
              <w:t xml:space="preserve">Act 2010. 'Controls' and 'Controlled' will be interpreted accordingly. </w:t>
            </w:r>
          </w:p>
        </w:tc>
      </w:tr>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Controller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Takes the meaning given in the Data Protection Legislation</w:t>
            </w:r>
            <w:r>
              <w:rPr>
                <w:color w:val="353535"/>
              </w:rPr>
              <w:t>.</w:t>
            </w:r>
            <w:r>
              <w:t xml:space="preserve">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Crown </w:t>
            </w:r>
          </w:p>
          <w:p w:rsidR="00087370" w:rsidRDefault="003B7960">
            <w:pPr>
              <w:spacing w:after="0" w:line="259" w:lineRule="auto"/>
              <w:ind w:left="0" w:firstLine="0"/>
            </w:pPr>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government of the United Kingdom (including the Northern Ireland Assembly and Executive Committee, the Scottish Executive and the National Assembly for Wales), including, but not limited to,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66" w:type="dxa"/>
        </w:tblCellMar>
        <w:tblLook w:val="04A0" w:firstRow="1" w:lastRow="0" w:firstColumn="1" w:lastColumn="0" w:noHBand="0" w:noVBand="1"/>
      </w:tblPr>
      <w:tblGrid>
        <w:gridCol w:w="3435"/>
        <w:gridCol w:w="7159"/>
      </w:tblGrid>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087370">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right="5" w:firstLine="0"/>
            </w:pPr>
            <w:r>
              <w:t xml:space="preserve">government ministers and government departments and </w:t>
            </w:r>
            <w:proofErr w:type="gramStart"/>
            <w:r>
              <w:t>particular bodies</w:t>
            </w:r>
            <w:proofErr w:type="gramEnd"/>
            <w:r>
              <w:t xml:space="preserve">, persons, commissions or agencies carrying out functions on its behalf.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Data Loss Event </w:t>
            </w:r>
            <w:r>
              <w:rPr>
                <w:rFonts w:ascii="Times New Roman" w:eastAsia="Times New Roman" w:hAnsi="Times New Roman" w:cs="Times New Roman"/>
                <w:b/>
              </w:rPr>
              <w:t> </w:t>
            </w:r>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right="234" w:firstLine="0"/>
            </w:pPr>
            <w:r>
              <w:t xml:space="preserve">Means a breach of security leading to the accidental or unlawful destruction, loss, alteration, unauthorised disclosure of, or access to, Personal Data transmitted, stored or otherwise processed </w:t>
            </w:r>
          </w:p>
        </w:tc>
      </w:tr>
      <w:tr w:rsidR="00087370">
        <w:trPr>
          <w:trHeight w:val="128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Data Protection Impact Assessment</w:t>
            </w:r>
            <w:r>
              <w:rPr>
                <w:color w:val="353535"/>
              </w:rP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 assessment by the Controller of the impact of the envisaged Processing by the Processor under this Call-Off Contract on the protection of Personal Data. </w:t>
            </w:r>
          </w:p>
        </w:tc>
      </w:tr>
      <w:tr w:rsidR="00087370">
        <w:trPr>
          <w:trHeight w:val="337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Data Protection Legislation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Data Protection Legislation means:  </w:t>
            </w:r>
          </w:p>
          <w:p w:rsidR="00087370" w:rsidRDefault="003B7960">
            <w:pPr>
              <w:spacing w:after="11" w:line="259" w:lineRule="auto"/>
              <w:ind w:left="0" w:firstLine="0"/>
            </w:pPr>
            <w:r>
              <w:t xml:space="preserve"> </w:t>
            </w:r>
          </w:p>
          <w:p w:rsidR="00087370" w:rsidRDefault="003B7960">
            <w:pPr>
              <w:spacing w:after="0" w:line="254" w:lineRule="auto"/>
              <w:ind w:left="360" w:right="155" w:firstLine="0"/>
            </w:pPr>
            <w:proofErr w:type="spellStart"/>
            <w:r>
              <w:t>i</w:t>
            </w:r>
            <w:proofErr w:type="spellEnd"/>
            <w:r>
              <w:t>)</w:t>
            </w:r>
            <w:r>
              <w:rPr>
                <w:rFonts w:ascii="Arial" w:eastAsia="Arial" w:hAnsi="Arial" w:cs="Arial"/>
              </w:rPr>
              <w:t xml:space="preserve"> </w:t>
            </w:r>
            <w:r>
              <w:rPr>
                <w:rFonts w:ascii="Arial" w:eastAsia="Arial" w:hAnsi="Arial" w:cs="Arial"/>
              </w:rPr>
              <w:tab/>
            </w:r>
            <w:r>
              <w:t xml:space="preserve">the GDPR, the LED and any applicable national implementing Laws as amended from time to </w:t>
            </w:r>
            <w:proofErr w:type="gramStart"/>
            <w:r>
              <w:t>time  ii</w:t>
            </w:r>
            <w:proofErr w:type="gramEnd"/>
            <w:r>
              <w:t>)</w:t>
            </w:r>
            <w:r>
              <w:rPr>
                <w:rFonts w:ascii="Arial" w:eastAsia="Arial" w:hAnsi="Arial" w:cs="Arial"/>
              </w:rPr>
              <w:t xml:space="preserve"> </w:t>
            </w:r>
            <w:r>
              <w:rPr>
                <w:rFonts w:ascii="Arial" w:eastAsia="Arial" w:hAnsi="Arial" w:cs="Arial"/>
              </w:rPr>
              <w:tab/>
            </w:r>
            <w:r>
              <w:t>the DPA 2018 [subject to Royal Assent] to the extent that it relates to processing of personal data and privacy; iii)</w:t>
            </w:r>
            <w:r>
              <w:rPr>
                <w:rFonts w:ascii="Arial" w:eastAsia="Arial" w:hAnsi="Arial" w:cs="Arial"/>
              </w:rPr>
              <w:t xml:space="preserve"> </w:t>
            </w:r>
            <w:r>
              <w:rPr>
                <w:rFonts w:ascii="Arial" w:eastAsia="Arial" w:hAnsi="Arial" w:cs="Arial"/>
              </w:rPr>
              <w:tab/>
            </w:r>
            <w:r>
              <w:t xml:space="preserve">all applicable Law about the processing of personal data </w:t>
            </w:r>
          </w:p>
          <w:p w:rsidR="00087370" w:rsidRDefault="003B7960">
            <w:pPr>
              <w:spacing w:after="0" w:line="259" w:lineRule="auto"/>
              <w:ind w:left="1080" w:firstLine="0"/>
            </w:pPr>
            <w:r>
              <w:t xml:space="preserve">and privacy, including if applicable legally binding guidance and codes of practice issued by the Information Commissioner. </w:t>
            </w:r>
          </w:p>
        </w:tc>
      </w:tr>
      <w:tr w:rsidR="00087370">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Data Subject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Takes the meaning given in the Data Protection Legislation. </w:t>
            </w:r>
          </w:p>
        </w:tc>
      </w:tr>
      <w:tr w:rsidR="00087370">
        <w:trPr>
          <w:trHeight w:val="4196"/>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Default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13" w:line="259" w:lineRule="auto"/>
              <w:ind w:left="0" w:firstLine="0"/>
            </w:pPr>
            <w:r>
              <w:t xml:space="preserve">Default is any: </w:t>
            </w:r>
          </w:p>
          <w:p w:rsidR="00087370" w:rsidRDefault="003B7960">
            <w:pPr>
              <w:numPr>
                <w:ilvl w:val="0"/>
                <w:numId w:val="15"/>
              </w:numPr>
              <w:spacing w:after="37" w:line="239" w:lineRule="auto"/>
              <w:ind w:hanging="360"/>
            </w:pPr>
            <w:r>
              <w:t xml:space="preserve">breach of the obligations of the Supplier (including any fundamental breach or breach of a fundamental term) </w:t>
            </w:r>
          </w:p>
          <w:p w:rsidR="00087370" w:rsidRDefault="003B7960">
            <w:pPr>
              <w:numPr>
                <w:ilvl w:val="0"/>
                <w:numId w:val="15"/>
              </w:numPr>
              <w:spacing w:after="1" w:line="239" w:lineRule="auto"/>
              <w:ind w:hanging="360"/>
            </w:pPr>
            <w:r>
              <w:t xml:space="preserve">other default, negligence or negligent statement of the Supplier, of its Subcontractors or any Supplier Staff (whether by act or omission), </w:t>
            </w:r>
            <w:proofErr w:type="gramStart"/>
            <w:r>
              <w:t>in connection with</w:t>
            </w:r>
            <w:proofErr w:type="gramEnd"/>
            <w:r>
              <w:t xml:space="preserve"> or in relation to this Call-Off Contract </w:t>
            </w:r>
          </w:p>
          <w:p w:rsidR="00087370" w:rsidRDefault="003B7960">
            <w:pPr>
              <w:spacing w:after="0" w:line="259" w:lineRule="auto"/>
              <w:ind w:left="0" w:firstLine="0"/>
            </w:pPr>
            <w:r>
              <w:t xml:space="preserve"> </w:t>
            </w:r>
          </w:p>
          <w:p w:rsidR="00087370" w:rsidRDefault="003B7960">
            <w:pPr>
              <w:spacing w:after="0" w:line="259" w:lineRule="auto"/>
              <w:ind w:left="0" w:right="1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Deliverable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G-Cloud Services the Buyer contracts the Supplier to provide under this Call-Off Contract. </w:t>
            </w:r>
          </w:p>
        </w:tc>
      </w:tr>
      <w:tr w:rsidR="00087370">
        <w:trPr>
          <w:trHeight w:val="847"/>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Digital Marketplace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government marketplace where Services are available for Buyers to buy. </w:t>
            </w:r>
            <w:hyperlink r:id="rId141">
              <w:r>
                <w:t>(</w:t>
              </w:r>
            </w:hyperlink>
            <w:hyperlink r:id="rId142">
              <w:r>
                <w:rPr>
                  <w:color w:val="1155CC"/>
                  <w:u w:val="single" w:color="1155CC"/>
                </w:rPr>
                <w:t>https://www.digitalmarketplace.service.gov.uk</w:t>
              </w:r>
            </w:hyperlink>
            <w:hyperlink r:id="rId143">
              <w:r>
                <w:t>/</w:t>
              </w:r>
            </w:hyperlink>
            <w:r>
              <w:t xml:space="preserve">)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53" w:type="dxa"/>
        </w:tblCellMar>
        <w:tblLook w:val="04A0" w:firstRow="1" w:lastRow="0" w:firstColumn="1" w:lastColumn="0" w:noHBand="0" w:noVBand="1"/>
      </w:tblPr>
      <w:tblGrid>
        <w:gridCol w:w="3435"/>
        <w:gridCol w:w="7159"/>
      </w:tblGrid>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DPA 2018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Data Protection Act 2018. </w:t>
            </w:r>
          </w:p>
        </w:tc>
      </w:tr>
      <w:tr w:rsidR="00087370">
        <w:trPr>
          <w:trHeight w:val="116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Employment Regulations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Transfer of Undertakings (Protection of Employment) Regulations 2006 (SI 2006/246) (‘TUPE’) which implements the Acquired Rights Directive.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End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Means to terminate; and Ended and Ending are construed accordingly. </w:t>
            </w:r>
          </w:p>
        </w:tc>
      </w:tr>
      <w:tr w:rsidR="00087370">
        <w:trPr>
          <w:trHeight w:val="1478"/>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Environmental Information Regulations or EIR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Environmental Information Regulations 2004 together with any </w:t>
            </w:r>
          </w:p>
          <w:p w:rsidR="00087370" w:rsidRDefault="003B7960">
            <w:pPr>
              <w:spacing w:after="0" w:line="259" w:lineRule="auto"/>
              <w:ind w:left="0" w:firstLine="0"/>
            </w:pPr>
            <w:r>
              <w:t xml:space="preserve">guidance or codes of practice issued by the Information Commissioner or relevant Government department about the regulations. </w:t>
            </w:r>
          </w:p>
        </w:tc>
      </w:tr>
      <w:tr w:rsidR="00087370">
        <w:trPr>
          <w:trHeight w:val="1477"/>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Equipment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right="34"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087370">
        <w:trPr>
          <w:trHeight w:val="847"/>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ESI Reference Number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w:t>
            </w:r>
            <w:proofErr w:type="gramStart"/>
            <w:r>
              <w:t>14 digit</w:t>
            </w:r>
            <w:proofErr w:type="gramEnd"/>
            <w:r>
              <w:t xml:space="preserve"> ESI reference number from the summary of outcome screen of the ESI tool. </w:t>
            </w:r>
          </w:p>
        </w:tc>
      </w:tr>
      <w:tr w:rsidR="00087370">
        <w:trPr>
          <w:trHeight w:val="1476"/>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Employment Status Indicator test tool or ESI tool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1" w:line="238" w:lineRule="auto"/>
              <w:ind w:left="0" w:firstLine="0"/>
            </w:pPr>
            <w:r>
              <w:t>The HMRC Employment Status Indicator test tool. The most up-</w:t>
            </w:r>
            <w:proofErr w:type="spellStart"/>
            <w:r>
              <w:t>todate</w:t>
            </w:r>
            <w:proofErr w:type="spellEnd"/>
            <w:r>
              <w:t xml:space="preserve"> version must be used. At the time of drafting the tool may be found here: </w:t>
            </w:r>
          </w:p>
          <w:p w:rsidR="00087370" w:rsidRDefault="0014728F">
            <w:pPr>
              <w:spacing w:after="0" w:line="259" w:lineRule="auto"/>
              <w:ind w:left="0" w:firstLine="0"/>
            </w:pPr>
            <w:hyperlink r:id="rId144">
              <w:r w:rsidR="003B7960">
                <w:rPr>
                  <w:color w:val="1155CC"/>
                  <w:u w:val="single" w:color="1155CC"/>
                </w:rPr>
                <w:t>http://tools.hmrc.gov.uk/esi</w:t>
              </w:r>
            </w:hyperlink>
            <w:hyperlink r:id="rId145">
              <w:r w:rsidR="003B7960">
                <w:t xml:space="preserve"> </w:t>
              </w:r>
            </w:hyperlink>
          </w:p>
        </w:tc>
      </w:tr>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Expiry Date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expiry date of this Call-Off Contract in the Order Form. </w:t>
            </w:r>
          </w:p>
        </w:tc>
      </w:tr>
      <w:tr w:rsidR="00087370">
        <w:trPr>
          <w:trHeight w:val="4954"/>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Force Majeure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42" w:line="237" w:lineRule="auto"/>
              <w:ind w:left="0" w:firstLine="0"/>
            </w:pPr>
            <w:r>
              <w:t xml:space="preserve">A Force Majeure event means anything affecting either Party's performance of their obligations arising from any: </w:t>
            </w:r>
          </w:p>
          <w:p w:rsidR="00087370" w:rsidRDefault="003B7960">
            <w:pPr>
              <w:numPr>
                <w:ilvl w:val="0"/>
                <w:numId w:val="16"/>
              </w:numPr>
              <w:spacing w:after="40" w:line="239" w:lineRule="auto"/>
              <w:ind w:hanging="360"/>
            </w:pPr>
            <w:r>
              <w:t xml:space="preserve">acts, events or omissions beyond the reasonable control of the affected Party </w:t>
            </w:r>
          </w:p>
          <w:p w:rsidR="00087370" w:rsidRDefault="003B7960">
            <w:pPr>
              <w:numPr>
                <w:ilvl w:val="0"/>
                <w:numId w:val="16"/>
              </w:numPr>
              <w:spacing w:after="42" w:line="237" w:lineRule="auto"/>
              <w:ind w:hanging="360"/>
            </w:pPr>
            <w:r>
              <w:t xml:space="preserve">riots, war or armed conflict, acts of terrorism, nuclear, biological or chemical warfare </w:t>
            </w:r>
          </w:p>
          <w:p w:rsidR="00087370" w:rsidRDefault="003B7960">
            <w:pPr>
              <w:numPr>
                <w:ilvl w:val="0"/>
                <w:numId w:val="16"/>
              </w:numPr>
              <w:spacing w:after="13" w:line="259" w:lineRule="auto"/>
              <w:ind w:hanging="360"/>
            </w:pPr>
            <w:r>
              <w:t xml:space="preserve">acts of government, local government or Regulatory Bodies </w:t>
            </w:r>
          </w:p>
          <w:p w:rsidR="00087370" w:rsidRDefault="003B7960">
            <w:pPr>
              <w:numPr>
                <w:ilvl w:val="0"/>
                <w:numId w:val="16"/>
              </w:numPr>
              <w:spacing w:after="41" w:line="238" w:lineRule="auto"/>
              <w:ind w:hanging="360"/>
            </w:pPr>
            <w:r>
              <w:t xml:space="preserve">fire, flood or disaster and any failure or shortage of power or fuel </w:t>
            </w:r>
          </w:p>
          <w:p w:rsidR="00087370" w:rsidRDefault="003B7960">
            <w:pPr>
              <w:numPr>
                <w:ilvl w:val="0"/>
                <w:numId w:val="16"/>
              </w:numPr>
              <w:spacing w:after="0" w:line="239" w:lineRule="auto"/>
              <w:ind w:hanging="360"/>
            </w:pPr>
            <w:r>
              <w:t xml:space="preserve">industrial dispute affecting a third party for which a substitute third party isn’t reasonably available </w:t>
            </w:r>
          </w:p>
          <w:p w:rsidR="00087370" w:rsidRDefault="003B7960">
            <w:pPr>
              <w:spacing w:after="0" w:line="259" w:lineRule="auto"/>
              <w:ind w:left="0" w:firstLine="0"/>
            </w:pPr>
            <w:r>
              <w:t xml:space="preserve"> </w:t>
            </w:r>
          </w:p>
          <w:p w:rsidR="00087370" w:rsidRDefault="003B7960">
            <w:pPr>
              <w:spacing w:after="13" w:line="259" w:lineRule="auto"/>
              <w:ind w:left="0" w:firstLine="0"/>
            </w:pPr>
            <w:r>
              <w:t xml:space="preserve">The following do not constitute a Force Majeure event: </w:t>
            </w:r>
          </w:p>
          <w:p w:rsidR="00087370" w:rsidRDefault="003B7960">
            <w:pPr>
              <w:numPr>
                <w:ilvl w:val="0"/>
                <w:numId w:val="16"/>
              </w:numPr>
              <w:spacing w:after="0" w:line="259" w:lineRule="auto"/>
              <w:ind w:hanging="360"/>
            </w:pPr>
            <w:r>
              <w:t xml:space="preserve">any industrial dispute about the Supplier, its staff, or failure in the Supplier’s (or a Subcontractor's) supply chain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56" w:type="dxa"/>
        </w:tblCellMar>
        <w:tblLook w:val="04A0" w:firstRow="1" w:lastRow="0" w:firstColumn="1" w:lastColumn="0" w:noHBand="0" w:noVBand="1"/>
      </w:tblPr>
      <w:tblGrid>
        <w:gridCol w:w="3435"/>
        <w:gridCol w:w="7159"/>
      </w:tblGrid>
      <w:tr w:rsidR="00087370">
        <w:trPr>
          <w:trHeight w:val="3058"/>
        </w:trPr>
        <w:tc>
          <w:tcPr>
            <w:tcW w:w="3435" w:type="dxa"/>
            <w:tcBorders>
              <w:top w:val="single" w:sz="6" w:space="0" w:color="000000"/>
              <w:left w:val="single" w:sz="4" w:space="0" w:color="000000"/>
              <w:bottom w:val="single" w:sz="6" w:space="0" w:color="000000"/>
              <w:right w:val="single" w:sz="6" w:space="0" w:color="000000"/>
            </w:tcBorders>
          </w:tcPr>
          <w:p w:rsidR="00087370" w:rsidRDefault="00087370">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numPr>
                <w:ilvl w:val="0"/>
                <w:numId w:val="17"/>
              </w:numPr>
              <w:spacing w:after="37" w:line="239" w:lineRule="auto"/>
              <w:ind w:hanging="360"/>
            </w:pPr>
            <w:r>
              <w:t xml:space="preserve">any event which is attributable to the wilful act, neglect or failure to take reasonable precautions by the Party seeking to rely on Force Majeure </w:t>
            </w:r>
          </w:p>
          <w:p w:rsidR="00087370" w:rsidRDefault="003B7960">
            <w:pPr>
              <w:numPr>
                <w:ilvl w:val="0"/>
                <w:numId w:val="17"/>
              </w:numPr>
              <w:spacing w:after="37" w:line="239" w:lineRule="auto"/>
              <w:ind w:hanging="360"/>
            </w:pPr>
            <w:r>
              <w:t xml:space="preserve">the event was foreseeable by the Party seeking to rely on Force Majeure at the time this Call-Off Contract was </w:t>
            </w:r>
            <w:proofErr w:type="gramStart"/>
            <w:r>
              <w:t>entered into</w:t>
            </w:r>
            <w:proofErr w:type="gramEnd"/>
            <w:r>
              <w:t xml:space="preserve"> </w:t>
            </w:r>
          </w:p>
          <w:p w:rsidR="00087370" w:rsidRDefault="003B7960">
            <w:pPr>
              <w:numPr>
                <w:ilvl w:val="0"/>
                <w:numId w:val="17"/>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087370">
        <w:trPr>
          <w:trHeight w:val="1479"/>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Former Supplier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Framework Agreement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The clauses of framework agreement</w:t>
            </w:r>
            <w:r>
              <w:rPr>
                <w:rFonts w:ascii="Arial" w:eastAsia="Arial" w:hAnsi="Arial" w:cs="Arial"/>
              </w:rPr>
              <w:t xml:space="preserve"> </w:t>
            </w:r>
            <w:r>
              <w:t xml:space="preserve">RM1557.10 together with the Framework Schedules. </w:t>
            </w:r>
          </w:p>
        </w:tc>
      </w:tr>
      <w:tr w:rsidR="00087370">
        <w:trPr>
          <w:trHeight w:val="1793"/>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Fraud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087370">
        <w:trPr>
          <w:trHeight w:val="1476"/>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Freedom of Information Act or FOIA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087370">
        <w:trPr>
          <w:trHeight w:val="211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G-Cloud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cloud services described in Framework Agreement Section 2 </w:t>
            </w:r>
          </w:p>
          <w:p w:rsidR="00087370" w:rsidRDefault="003B7960">
            <w:pPr>
              <w:spacing w:after="0" w:line="259" w:lineRule="auto"/>
              <w:ind w:left="0" w:firstLine="0"/>
            </w:pPr>
            <w:r>
              <w:t xml:space="preserve">(Services Offered) as defined by the Service Definition, the Supplier </w:t>
            </w:r>
          </w:p>
          <w:p w:rsidR="00087370" w:rsidRDefault="003B7960">
            <w:pPr>
              <w:spacing w:after="0" w:line="259" w:lineRule="auto"/>
              <w:ind w:left="0" w:firstLine="0"/>
            </w:pPr>
            <w:r>
              <w:t xml:space="preserve">Terms and any related Application documentation, which the Supplier must make available to CCS and Buyers and those services which are deliverable by the Supplier under the Collaboration Agreement. </w:t>
            </w:r>
          </w:p>
        </w:tc>
      </w:tr>
      <w:tr w:rsidR="00087370">
        <w:trPr>
          <w:trHeight w:val="531"/>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GDPR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jc w:val="both"/>
            </w:pPr>
            <w:r>
              <w:t xml:space="preserve">The General Data Protection Regulation (Regulation (EU) 2016/679). </w:t>
            </w:r>
          </w:p>
        </w:tc>
      </w:tr>
      <w:tr w:rsidR="00087370">
        <w:trPr>
          <w:trHeight w:val="1793"/>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Good Industry Practice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right="43"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49" w:type="dxa"/>
        </w:tblCellMar>
        <w:tblLook w:val="04A0" w:firstRow="1" w:lastRow="0" w:firstColumn="1" w:lastColumn="0" w:noHBand="0" w:noVBand="1"/>
      </w:tblPr>
      <w:tblGrid>
        <w:gridCol w:w="3435"/>
        <w:gridCol w:w="7159"/>
      </w:tblGrid>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Guarantee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guarantee described in Schedule 5. </w:t>
            </w:r>
          </w:p>
        </w:tc>
      </w:tr>
      <w:tr w:rsidR="00087370">
        <w:trPr>
          <w:trHeight w:val="1476"/>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Guidance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current UK Government guidance on the Public Contracts </w:t>
            </w:r>
          </w:p>
          <w:p w:rsidR="00087370" w:rsidRDefault="003B7960">
            <w:pPr>
              <w:spacing w:after="0" w:line="259" w:lineRule="auto"/>
              <w:ind w:left="0" w:firstLine="0"/>
            </w:pPr>
            <w:r>
              <w:t xml:space="preserve">Regulations 2015. In the event of a conflict between any current UK Government guidance and the Crown Commercial Service guidance, current UK Government guidance will take precedence.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Indicative Test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ESI tool completed by contractors on their own behalf at the request of CCS or the Buyer (as applicable) under clause 4.6.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Has the meaning given under section 84 of the Freedom of Information Act </w:t>
            </w:r>
            <w:proofErr w:type="gramStart"/>
            <w:r>
              <w:t>2000.</w:t>
            </w:r>
            <w:proofErr w:type="gramEnd"/>
            <w:r>
              <w:t xml:space="preserve">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jc w:val="both"/>
            </w:pPr>
            <w:r>
              <w:t xml:space="preserve">Information Security Management System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information security management system and process developed by the Supplier in accordance with clause 16.1.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Inside 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Contractual engagements which would be determined to be within the scope of the IR35 Intermediaries legislation if assessed using the ESI tool. </w:t>
            </w:r>
          </w:p>
        </w:tc>
      </w:tr>
      <w:tr w:rsidR="00087370">
        <w:trPr>
          <w:trHeight w:val="211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Insolvency Event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13" w:line="259" w:lineRule="auto"/>
              <w:ind w:left="0" w:firstLine="0"/>
            </w:pPr>
            <w:r>
              <w:t xml:space="preserve">Can be: </w:t>
            </w:r>
          </w:p>
          <w:p w:rsidR="00087370" w:rsidRDefault="003B7960">
            <w:pPr>
              <w:numPr>
                <w:ilvl w:val="0"/>
                <w:numId w:val="18"/>
              </w:numPr>
              <w:spacing w:after="13" w:line="259" w:lineRule="auto"/>
              <w:ind w:firstLine="0"/>
            </w:pPr>
            <w:r>
              <w:t xml:space="preserve">a voluntary arrangement </w:t>
            </w:r>
          </w:p>
          <w:p w:rsidR="00087370" w:rsidRDefault="003B7960">
            <w:pPr>
              <w:numPr>
                <w:ilvl w:val="0"/>
                <w:numId w:val="18"/>
              </w:numPr>
              <w:spacing w:after="11" w:line="259" w:lineRule="auto"/>
              <w:ind w:firstLine="0"/>
            </w:pPr>
            <w:r>
              <w:t xml:space="preserve">a winding-up petition </w:t>
            </w:r>
          </w:p>
          <w:p w:rsidR="00087370" w:rsidRDefault="003B7960">
            <w:pPr>
              <w:numPr>
                <w:ilvl w:val="0"/>
                <w:numId w:val="18"/>
              </w:numPr>
              <w:spacing w:after="0" w:line="259" w:lineRule="auto"/>
              <w:ind w:firstLine="0"/>
            </w:pPr>
            <w:r>
              <w:t>the appointment of a receiver or administrator ●</w:t>
            </w:r>
            <w:r>
              <w:rPr>
                <w:rFonts w:ascii="Arial" w:eastAsia="Arial" w:hAnsi="Arial" w:cs="Arial"/>
              </w:rPr>
              <w:t xml:space="preserve"> </w:t>
            </w:r>
            <w:r>
              <w:t xml:space="preserve">an unresolved statutory </w:t>
            </w:r>
            <w:proofErr w:type="gramStart"/>
            <w:r>
              <w:t>demand  ●</w:t>
            </w:r>
            <w:proofErr w:type="gramEnd"/>
            <w:r>
              <w:rPr>
                <w:rFonts w:ascii="Arial" w:eastAsia="Arial" w:hAnsi="Arial" w:cs="Arial"/>
              </w:rPr>
              <w:t xml:space="preserve"> </w:t>
            </w:r>
            <w:r>
              <w:t xml:space="preserve">a Schedule A1 moratorium. </w:t>
            </w:r>
          </w:p>
        </w:tc>
      </w:tr>
      <w:tr w:rsidR="00087370">
        <w:trPr>
          <w:trHeight w:val="4006"/>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Intellectual Property Rights or IPR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13" w:line="259" w:lineRule="auto"/>
              <w:ind w:left="0" w:firstLine="0"/>
            </w:pPr>
            <w:r>
              <w:t xml:space="preserve">Intellectual Property Rights are: </w:t>
            </w:r>
          </w:p>
          <w:p w:rsidR="00087370" w:rsidRDefault="003B7960">
            <w:pPr>
              <w:numPr>
                <w:ilvl w:val="0"/>
                <w:numId w:val="19"/>
              </w:numPr>
              <w:spacing w:after="41" w:line="238" w:lineRule="auto"/>
              <w:ind w:hanging="360"/>
            </w:pPr>
            <w:r>
              <w:t xml:space="preserve">copyright, rights related to or affording protection </w:t>
            </w:r>
            <w:proofErr w:type="gramStart"/>
            <w:r>
              <w:t>similar to</w:t>
            </w:r>
            <w:proofErr w:type="gramEnd"/>
            <w:r>
              <w:t xml:space="preserve">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087370" w:rsidRDefault="003B7960">
            <w:pPr>
              <w:numPr>
                <w:ilvl w:val="0"/>
                <w:numId w:val="19"/>
              </w:numPr>
              <w:spacing w:after="38" w:line="239" w:lineRule="auto"/>
              <w:ind w:hanging="360"/>
            </w:pPr>
            <w:r>
              <w:t xml:space="preserve">applications for registration, and the right to apply for registration, for any of the rights listed at (a) that are capable of being registered in any country or jurisdiction </w:t>
            </w:r>
          </w:p>
          <w:p w:rsidR="00087370" w:rsidRDefault="003B7960">
            <w:pPr>
              <w:numPr>
                <w:ilvl w:val="0"/>
                <w:numId w:val="19"/>
              </w:numPr>
              <w:spacing w:after="0" w:line="259" w:lineRule="auto"/>
              <w:ind w:hanging="360"/>
            </w:pPr>
            <w:r>
              <w:t xml:space="preserve">all other rights having equivalent or similar effect in any country or jurisdiction </w:t>
            </w:r>
          </w:p>
        </w:tc>
      </w:tr>
      <w:tr w:rsidR="00087370">
        <w:trPr>
          <w:trHeight w:val="1478"/>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Intermediary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13" w:line="259" w:lineRule="auto"/>
              <w:ind w:left="0" w:firstLine="0"/>
            </w:pPr>
            <w:r>
              <w:t xml:space="preserve">For the purposes of the IR35 rules an intermediary can be: </w:t>
            </w:r>
          </w:p>
          <w:p w:rsidR="00087370" w:rsidRDefault="003B7960">
            <w:pPr>
              <w:numPr>
                <w:ilvl w:val="0"/>
                <w:numId w:val="20"/>
              </w:numPr>
              <w:spacing w:after="13" w:line="259" w:lineRule="auto"/>
              <w:ind w:right="1071" w:firstLine="0"/>
            </w:pPr>
            <w:r>
              <w:t xml:space="preserve">the supplier's own limited company </w:t>
            </w:r>
          </w:p>
          <w:p w:rsidR="00087370" w:rsidRDefault="003B7960">
            <w:pPr>
              <w:numPr>
                <w:ilvl w:val="0"/>
                <w:numId w:val="20"/>
              </w:numPr>
              <w:spacing w:after="0" w:line="259" w:lineRule="auto"/>
              <w:ind w:right="1071" w:firstLine="0"/>
            </w:pPr>
            <w:r>
              <w:t>a service or a personal service company ●</w:t>
            </w:r>
            <w:r>
              <w:rPr>
                <w:rFonts w:ascii="Arial" w:eastAsia="Arial" w:hAnsi="Arial" w:cs="Arial"/>
              </w:rPr>
              <w:t xml:space="preserve"> </w:t>
            </w:r>
            <w:r>
              <w:t xml:space="preserve">a partnership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115" w:type="dxa"/>
        </w:tblCellMar>
        <w:tblLook w:val="04A0" w:firstRow="1" w:lastRow="0" w:firstColumn="1" w:lastColumn="0" w:noHBand="0" w:noVBand="1"/>
      </w:tblPr>
      <w:tblGrid>
        <w:gridCol w:w="3435"/>
        <w:gridCol w:w="7159"/>
      </w:tblGrid>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087370">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 </w:t>
            </w:r>
          </w:p>
          <w:p w:rsidR="00087370" w:rsidRDefault="003B7960">
            <w:pPr>
              <w:spacing w:after="0" w:line="259" w:lineRule="auto"/>
              <w:ind w:left="0" w:firstLine="0"/>
            </w:pPr>
            <w:r>
              <w:t xml:space="preserve">It does not apply if you work for a client through a Managed Service Company (MSC) or agency (for example, an employment agency). </w:t>
            </w:r>
          </w:p>
        </w:tc>
      </w:tr>
      <w:tr w:rsidR="00087370">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IPR Claim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 claim as set out in clause 11.5.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IR35 is also known as ‘Intermediaries legislation’. It’s a set of rules that affect tax and National Insurance where a Supplier is contracted to work for a client through an Intermediary.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IR35 Assessment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Assessment of employment status using the ESI tool to determine if engagement is Inside or Outside IR35. </w:t>
            </w:r>
          </w:p>
        </w:tc>
      </w:tr>
      <w:tr w:rsidR="00087370">
        <w:trPr>
          <w:trHeight w:val="1479"/>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Know-How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087370">
        <w:trPr>
          <w:trHeight w:val="211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Law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087370">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LED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Law Enforcement Directive (EU) 2016/680. </w:t>
            </w:r>
          </w:p>
        </w:tc>
      </w:tr>
      <w:tr w:rsidR="00087370">
        <w:trPr>
          <w:trHeight w:val="1793"/>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 </w:t>
            </w:r>
          </w:p>
          <w:p w:rsidR="00087370" w:rsidRDefault="003B7960">
            <w:pPr>
              <w:spacing w:after="0" w:line="259" w:lineRule="auto"/>
              <w:ind w:left="0" w:firstLine="0"/>
            </w:pPr>
            <w:r>
              <w:t xml:space="preserve">Loss </w:t>
            </w:r>
          </w:p>
          <w:p w:rsidR="00087370" w:rsidRDefault="003B7960">
            <w:pPr>
              <w:spacing w:after="0" w:line="259" w:lineRule="auto"/>
              <w:ind w:left="0" w:firstLine="0"/>
            </w:pPr>
            <w:r>
              <w:t xml:space="preserve"> </w:t>
            </w:r>
          </w:p>
          <w:p w:rsidR="00087370" w:rsidRDefault="003B7960">
            <w:pPr>
              <w:spacing w:after="0" w:line="259" w:lineRule="auto"/>
              <w:ind w:left="0" w:firstLine="0"/>
            </w:pPr>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Lot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of the 3 Lots specified in the ITT and Lots will be construed accordingly. </w:t>
            </w:r>
          </w:p>
        </w:tc>
      </w:tr>
      <w:tr w:rsidR="00087370">
        <w:trPr>
          <w:trHeight w:val="211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Malicious Software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p>
        </w:tc>
      </w:tr>
      <w:tr w:rsidR="00087370">
        <w:trPr>
          <w:trHeight w:val="847"/>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Management Charge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sum paid by the Supplier to CCS being an amount of up to 1% but currently set at 0.75% of all Charges for the Services invoiced to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48" w:type="dxa"/>
        </w:tblCellMar>
        <w:tblLook w:val="04A0" w:firstRow="1" w:lastRow="0" w:firstColumn="1" w:lastColumn="0" w:noHBand="0" w:noVBand="1"/>
      </w:tblPr>
      <w:tblGrid>
        <w:gridCol w:w="3435"/>
        <w:gridCol w:w="7159"/>
      </w:tblGrid>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087370">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Buyers (net of VAT) in each month throughout the duration of the Framework Agreement and thereafter, until the expiry or End of any Call-Off Contract.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Management Information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management information specified in Framework Agreement section 6 (What you report to CCS).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Material Breach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Those breaches which have been expressly set out as a material breach and any other single serious breach or persistent failure to perform as required under this Call-Off Contract.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Ministry of Justice Code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Ministry of Justice’s Code of Practice on the Discharge of the Functions of Public Authorities under Part 1 of the Freedom of Information Act 2000. </w:t>
            </w:r>
          </w:p>
        </w:tc>
      </w:tr>
      <w:tr w:rsidR="00087370">
        <w:trPr>
          <w:trHeight w:val="1159"/>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New Fair Deal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revised Fair Deal position in the HM Treasury guidance: “Fair Deal for staff pensions: staff transfer from central government” issued in October 2013 as amended. </w:t>
            </w:r>
          </w:p>
        </w:tc>
      </w:tr>
      <w:tr w:rsidR="00087370">
        <w:trPr>
          <w:trHeight w:val="847"/>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Order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right="25" w:firstLine="0"/>
            </w:pPr>
            <w:r>
              <w:t xml:space="preserve">An order for G-Cloud Services placed by a Contracting Body with the Supplier in accordance with the Ordering Processes.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Order Form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order form set out in Part A of the Call-Off Contract to be used by a Buyer to order G-Cloud Services. </w:t>
            </w:r>
          </w:p>
        </w:tc>
      </w:tr>
      <w:tr w:rsidR="00087370">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Ordered G-Cloud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G-Cloud Services which are the subject of an Order by the Buyer.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Outside IR35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Party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Buyer or the Supplier and ‘Parties’ will be interpreted accordingly. </w:t>
            </w:r>
          </w:p>
        </w:tc>
      </w:tr>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Takes the meaning given in the Data Protection Legislation. </w:t>
            </w:r>
          </w:p>
        </w:tc>
      </w:tr>
      <w:tr w:rsidR="00087370">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Personal Data Breach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Takes the meaning given in the Data Protection Legislation. </w:t>
            </w:r>
          </w:p>
        </w:tc>
      </w:tr>
      <w:tr w:rsidR="00087370">
        <w:trPr>
          <w:trHeight w:val="1479"/>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Processing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Takes the meaning given in the Data Protection Legislation but, for the purposes of this Call-Off Contract, it will include both manual and automatic Processing. ‘Process’ and ‘processed’ will be interpreted accordingly. </w:t>
            </w:r>
          </w:p>
        </w:tc>
      </w:tr>
      <w:tr w:rsidR="00087370">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Processor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Takes the meaning given in the Data Protection Legislation. </w:t>
            </w:r>
          </w:p>
        </w:tc>
      </w:tr>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Prohibited 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To directly or indirectly offer, promise or give any person working </w:t>
            </w:r>
          </w:p>
        </w:tc>
      </w:tr>
    </w:tbl>
    <w:p w:rsidR="00087370" w:rsidRDefault="00087370">
      <w:pPr>
        <w:spacing w:after="0" w:line="259" w:lineRule="auto"/>
        <w:ind w:left="-701" w:right="42" w:firstLine="0"/>
      </w:pPr>
    </w:p>
    <w:tbl>
      <w:tblPr>
        <w:tblStyle w:val="TableGrid"/>
        <w:tblW w:w="10594" w:type="dxa"/>
        <w:tblInd w:w="10" w:type="dxa"/>
        <w:tblCellMar>
          <w:top w:w="19" w:type="dxa"/>
          <w:bottom w:w="32" w:type="dxa"/>
          <w:right w:w="96" w:type="dxa"/>
        </w:tblCellMar>
        <w:tblLook w:val="04A0" w:firstRow="1" w:lastRow="0" w:firstColumn="1" w:lastColumn="0" w:noHBand="0" w:noVBand="1"/>
      </w:tblPr>
      <w:tblGrid>
        <w:gridCol w:w="3435"/>
        <w:gridCol w:w="821"/>
        <w:gridCol w:w="6338"/>
      </w:tblGrid>
      <w:tr w:rsidR="00087370">
        <w:trPr>
          <w:trHeight w:val="1404"/>
        </w:trPr>
        <w:tc>
          <w:tcPr>
            <w:tcW w:w="3435" w:type="dxa"/>
            <w:tcBorders>
              <w:top w:val="single" w:sz="6" w:space="0" w:color="000000"/>
              <w:left w:val="single" w:sz="4" w:space="0" w:color="000000"/>
              <w:bottom w:val="nil"/>
              <w:right w:val="single" w:sz="6" w:space="0" w:color="000000"/>
            </w:tcBorders>
          </w:tcPr>
          <w:p w:rsidR="00087370" w:rsidRDefault="00087370">
            <w:pPr>
              <w:spacing w:after="160" w:line="259" w:lineRule="auto"/>
              <w:ind w:left="0" w:firstLine="0"/>
            </w:pPr>
          </w:p>
        </w:tc>
        <w:tc>
          <w:tcPr>
            <w:tcW w:w="821" w:type="dxa"/>
            <w:tcBorders>
              <w:top w:val="single" w:sz="6" w:space="0" w:color="000000"/>
              <w:left w:val="single" w:sz="6" w:space="0" w:color="000000"/>
              <w:bottom w:val="nil"/>
              <w:right w:val="nil"/>
            </w:tcBorders>
          </w:tcPr>
          <w:p w:rsidR="00087370" w:rsidRDefault="003B7960">
            <w:pPr>
              <w:spacing w:after="28" w:line="239" w:lineRule="auto"/>
              <w:ind w:left="101" w:firstLine="0"/>
            </w:pPr>
            <w:r>
              <w:t xml:space="preserve">for or to: </w:t>
            </w:r>
          </w:p>
          <w:p w:rsidR="00087370" w:rsidRDefault="003B7960">
            <w:pPr>
              <w:spacing w:after="0" w:line="259" w:lineRule="auto"/>
              <w:ind w:left="461" w:firstLine="0"/>
            </w:pPr>
            <w:r>
              <w:t>●</w:t>
            </w:r>
            <w:r>
              <w:rPr>
                <w:rFonts w:ascii="Arial" w:eastAsia="Arial" w:hAnsi="Arial" w:cs="Arial"/>
              </w:rPr>
              <w:t xml:space="preserve"> </w:t>
            </w:r>
          </w:p>
        </w:tc>
        <w:tc>
          <w:tcPr>
            <w:tcW w:w="6337" w:type="dxa"/>
            <w:tcBorders>
              <w:top w:val="single" w:sz="6" w:space="0" w:color="000000"/>
              <w:left w:val="nil"/>
              <w:bottom w:val="nil"/>
              <w:right w:val="single" w:sz="4" w:space="0" w:color="000000"/>
            </w:tcBorders>
            <w:vAlign w:val="bottom"/>
          </w:tcPr>
          <w:p w:rsidR="00087370" w:rsidRDefault="003B7960">
            <w:pPr>
              <w:spacing w:after="290" w:line="259" w:lineRule="auto"/>
              <w:ind w:left="-96" w:firstLine="0"/>
            </w:pPr>
            <w:r>
              <w:t xml:space="preserve">engaged by a Buyer or CCS a financial or other advantage </w:t>
            </w:r>
          </w:p>
          <w:p w:rsidR="00087370" w:rsidRDefault="003B7960">
            <w:pPr>
              <w:spacing w:after="0" w:line="259" w:lineRule="auto"/>
              <w:ind w:left="0" w:firstLine="0"/>
            </w:pPr>
            <w:r>
              <w:t xml:space="preserve">induce that person to perform improperly a relevant function or activity </w:t>
            </w:r>
          </w:p>
        </w:tc>
      </w:tr>
      <w:tr w:rsidR="00087370">
        <w:trPr>
          <w:trHeight w:val="632"/>
        </w:trPr>
        <w:tc>
          <w:tcPr>
            <w:tcW w:w="3435" w:type="dxa"/>
            <w:tcBorders>
              <w:top w:val="nil"/>
              <w:left w:val="single" w:sz="4" w:space="0" w:color="000000"/>
              <w:bottom w:val="nil"/>
              <w:right w:val="single" w:sz="6" w:space="0" w:color="000000"/>
            </w:tcBorders>
          </w:tcPr>
          <w:p w:rsidR="00087370" w:rsidRDefault="00087370">
            <w:pPr>
              <w:spacing w:after="160" w:line="259" w:lineRule="auto"/>
              <w:ind w:left="0" w:firstLine="0"/>
            </w:pPr>
          </w:p>
        </w:tc>
        <w:tc>
          <w:tcPr>
            <w:tcW w:w="821" w:type="dxa"/>
            <w:tcBorders>
              <w:top w:val="nil"/>
              <w:left w:val="single" w:sz="6" w:space="0" w:color="000000"/>
              <w:bottom w:val="nil"/>
              <w:right w:val="nil"/>
            </w:tcBorders>
          </w:tcPr>
          <w:p w:rsidR="00087370" w:rsidRDefault="003B7960">
            <w:pPr>
              <w:spacing w:after="0" w:line="259" w:lineRule="auto"/>
              <w:ind w:left="461" w:firstLine="0"/>
            </w:pPr>
            <w:r>
              <w:t>●</w:t>
            </w:r>
            <w:r>
              <w:rPr>
                <w:rFonts w:ascii="Arial" w:eastAsia="Arial" w:hAnsi="Arial" w:cs="Arial"/>
              </w:rPr>
              <w:t xml:space="preserve"> </w:t>
            </w:r>
          </w:p>
        </w:tc>
        <w:tc>
          <w:tcPr>
            <w:tcW w:w="6337" w:type="dxa"/>
            <w:tcBorders>
              <w:top w:val="nil"/>
              <w:left w:val="nil"/>
              <w:bottom w:val="nil"/>
              <w:right w:val="single" w:sz="4" w:space="0" w:color="000000"/>
            </w:tcBorders>
          </w:tcPr>
          <w:p w:rsidR="00087370" w:rsidRDefault="003B7960">
            <w:pPr>
              <w:spacing w:after="0" w:line="259" w:lineRule="auto"/>
              <w:ind w:left="0" w:firstLine="0"/>
            </w:pPr>
            <w:r>
              <w:t xml:space="preserve">reward that person for improper performance of a relevant function or activity </w:t>
            </w:r>
          </w:p>
        </w:tc>
      </w:tr>
      <w:tr w:rsidR="00087370">
        <w:trPr>
          <w:trHeight w:val="1970"/>
        </w:trPr>
        <w:tc>
          <w:tcPr>
            <w:tcW w:w="3435" w:type="dxa"/>
            <w:tcBorders>
              <w:top w:val="nil"/>
              <w:left w:val="single" w:sz="4" w:space="0" w:color="000000"/>
              <w:bottom w:val="single" w:sz="6" w:space="0" w:color="000000"/>
              <w:right w:val="single" w:sz="6" w:space="0" w:color="000000"/>
            </w:tcBorders>
          </w:tcPr>
          <w:p w:rsidR="00087370" w:rsidRDefault="00087370">
            <w:pPr>
              <w:spacing w:after="160" w:line="259" w:lineRule="auto"/>
              <w:ind w:left="0" w:firstLine="0"/>
            </w:pPr>
          </w:p>
        </w:tc>
        <w:tc>
          <w:tcPr>
            <w:tcW w:w="821" w:type="dxa"/>
            <w:tcBorders>
              <w:top w:val="nil"/>
              <w:left w:val="single" w:sz="6" w:space="0" w:color="000000"/>
              <w:bottom w:val="single" w:sz="6" w:space="0" w:color="000000"/>
              <w:right w:val="nil"/>
            </w:tcBorders>
          </w:tcPr>
          <w:p w:rsidR="00087370" w:rsidRDefault="003B7960">
            <w:pPr>
              <w:spacing w:after="0" w:line="259" w:lineRule="auto"/>
              <w:ind w:left="461" w:firstLine="0"/>
            </w:pPr>
            <w:r>
              <w:t>●</w:t>
            </w:r>
            <w:r>
              <w:rPr>
                <w:rFonts w:ascii="Arial" w:eastAsia="Arial" w:hAnsi="Arial" w:cs="Arial"/>
              </w:rPr>
              <w:t xml:space="preserve"> </w:t>
            </w:r>
          </w:p>
        </w:tc>
        <w:tc>
          <w:tcPr>
            <w:tcW w:w="6337" w:type="dxa"/>
            <w:tcBorders>
              <w:top w:val="nil"/>
              <w:left w:val="nil"/>
              <w:bottom w:val="single" w:sz="6" w:space="0" w:color="000000"/>
              <w:right w:val="single" w:sz="4" w:space="0" w:color="000000"/>
            </w:tcBorders>
          </w:tcPr>
          <w:p w:rsidR="00087370" w:rsidRDefault="003B7960">
            <w:pPr>
              <w:spacing w:after="13" w:line="259" w:lineRule="auto"/>
              <w:ind w:left="0" w:firstLine="0"/>
            </w:pPr>
            <w:r>
              <w:t xml:space="preserve">commit any offence: </w:t>
            </w:r>
          </w:p>
          <w:p w:rsidR="00087370" w:rsidRDefault="003B7960">
            <w:pPr>
              <w:spacing w:after="15" w:line="259" w:lineRule="auto"/>
              <w:ind w:left="360" w:firstLine="0"/>
            </w:pPr>
            <w:r>
              <w:rPr>
                <w:rFonts w:ascii="Arial" w:eastAsia="Arial" w:hAnsi="Arial" w:cs="Arial"/>
              </w:rPr>
              <w:t xml:space="preserve">○ </w:t>
            </w:r>
            <w:r>
              <w:t xml:space="preserve">under the Bribery Act 2010 </w:t>
            </w:r>
          </w:p>
          <w:p w:rsidR="00087370" w:rsidRDefault="003B7960">
            <w:pPr>
              <w:spacing w:after="11" w:line="259" w:lineRule="auto"/>
              <w:ind w:left="103" w:firstLine="0"/>
              <w:jc w:val="center"/>
            </w:pPr>
            <w:r>
              <w:rPr>
                <w:rFonts w:ascii="Arial" w:eastAsia="Arial" w:hAnsi="Arial" w:cs="Arial"/>
              </w:rPr>
              <w:t xml:space="preserve">○ </w:t>
            </w:r>
            <w:r>
              <w:t xml:space="preserve">under legislation creating offences concerning Fraud </w:t>
            </w:r>
          </w:p>
          <w:p w:rsidR="00087370" w:rsidRDefault="003B7960">
            <w:pPr>
              <w:spacing w:after="14" w:line="259" w:lineRule="auto"/>
              <w:ind w:left="360" w:firstLine="0"/>
            </w:pPr>
            <w:r>
              <w:rPr>
                <w:rFonts w:ascii="Arial" w:eastAsia="Arial" w:hAnsi="Arial" w:cs="Arial"/>
              </w:rPr>
              <w:t xml:space="preserve">○ </w:t>
            </w:r>
            <w:r>
              <w:t xml:space="preserve">at common Law concerning Fraud </w:t>
            </w:r>
          </w:p>
          <w:p w:rsidR="00087370" w:rsidRDefault="003B7960">
            <w:pPr>
              <w:spacing w:after="0" w:line="259" w:lineRule="auto"/>
              <w:ind w:left="720" w:hanging="360"/>
            </w:pPr>
            <w:r>
              <w:rPr>
                <w:rFonts w:ascii="Arial" w:eastAsia="Arial" w:hAnsi="Arial" w:cs="Arial"/>
              </w:rPr>
              <w:t xml:space="preserve">○ </w:t>
            </w:r>
            <w:r>
              <w:t xml:space="preserve">committing or attempting or conspiring to commit Fraud </w:t>
            </w:r>
          </w:p>
        </w:tc>
      </w:tr>
      <w:tr w:rsidR="00087370">
        <w:trPr>
          <w:trHeight w:val="211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101" w:firstLine="0"/>
            </w:pPr>
            <w:r>
              <w:lastRenderedPageBreak/>
              <w:t xml:space="preserve">Project Specific IPRs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101"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101" w:firstLine="0"/>
            </w:pPr>
            <w:r>
              <w:t xml:space="preserve">Property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101" w:firstLine="0"/>
            </w:pPr>
            <w:r>
              <w:t xml:space="preserve">Assets and property including technical infrastructure, IPRs and equipment.  </w:t>
            </w:r>
          </w:p>
        </w:tc>
      </w:tr>
      <w:tr w:rsidR="00087370">
        <w:trPr>
          <w:trHeight w:val="2427"/>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101" w:firstLine="0"/>
            </w:pPr>
            <w:r>
              <w:t xml:space="preserve">Protective Measures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101"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101" w:firstLine="0"/>
              <w:jc w:val="both"/>
            </w:pPr>
            <w:r>
              <w:t xml:space="preserve">PSN or Public Services Network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101" w:firstLine="0"/>
            </w:pPr>
            <w:r>
              <w:t xml:space="preserve">The Public Services Network (PSN) is the Government’s </w:t>
            </w:r>
            <w:proofErr w:type="spellStart"/>
            <w:r>
              <w:t>highperformance</w:t>
            </w:r>
            <w:proofErr w:type="spellEnd"/>
            <w:r>
              <w:t xml:space="preserve"> network which helps public sector organisations work together, reduce duplication and share resources. </w:t>
            </w:r>
          </w:p>
        </w:tc>
      </w:tr>
      <w:tr w:rsidR="00087370">
        <w:trPr>
          <w:trHeight w:val="1160"/>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101" w:firstLine="0"/>
            </w:pPr>
            <w:r>
              <w:t xml:space="preserve">Regulatory Body or Bodies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101" w:firstLine="0"/>
            </w:pPr>
            <w:r>
              <w:t xml:space="preserve">Government departments and other bodies which, whether under statute, codes of practice or otherwise, are entitled to investigate or influence the matters dealt with in this Call-Off Contract.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101" w:firstLine="0"/>
            </w:pPr>
            <w:r>
              <w:t xml:space="preserve">Relevant Person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101" w:firstLine="0"/>
            </w:pPr>
            <w:r>
              <w:t xml:space="preserve">Any employee, agent, servant, or representative of the Buyer, any other public body or person employed by or on behalf of the Buyer, or any other public body. </w:t>
            </w:r>
          </w:p>
        </w:tc>
      </w:tr>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101" w:firstLine="0"/>
            </w:pPr>
            <w:r>
              <w:t xml:space="preserve">Relevant Transfer </w:t>
            </w:r>
          </w:p>
        </w:tc>
        <w:tc>
          <w:tcPr>
            <w:tcW w:w="7158" w:type="dxa"/>
            <w:gridSpan w:val="2"/>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101" w:firstLine="0"/>
            </w:pPr>
            <w:r>
              <w:t xml:space="preserve">A transfer of employment to which the Employment Regulations </w:t>
            </w:r>
          </w:p>
        </w:tc>
      </w:tr>
    </w:tbl>
    <w:p w:rsidR="00087370" w:rsidRDefault="00087370">
      <w:pPr>
        <w:spacing w:after="0" w:line="259" w:lineRule="auto"/>
        <w:ind w:left="-701" w:right="42" w:firstLine="0"/>
      </w:pPr>
    </w:p>
    <w:tbl>
      <w:tblPr>
        <w:tblStyle w:val="TableGrid"/>
        <w:tblW w:w="10594" w:type="dxa"/>
        <w:tblInd w:w="10" w:type="dxa"/>
        <w:tblCellMar>
          <w:top w:w="171" w:type="dxa"/>
          <w:left w:w="101" w:type="dxa"/>
          <w:right w:w="112" w:type="dxa"/>
        </w:tblCellMar>
        <w:tblLook w:val="04A0" w:firstRow="1" w:lastRow="0" w:firstColumn="1" w:lastColumn="0" w:noHBand="0" w:noVBand="1"/>
      </w:tblPr>
      <w:tblGrid>
        <w:gridCol w:w="3435"/>
        <w:gridCol w:w="7159"/>
      </w:tblGrid>
      <w:tr w:rsidR="00087370">
        <w:trPr>
          <w:trHeight w:val="530"/>
        </w:trPr>
        <w:tc>
          <w:tcPr>
            <w:tcW w:w="3435" w:type="dxa"/>
            <w:tcBorders>
              <w:top w:val="single" w:sz="6" w:space="0" w:color="000000"/>
              <w:left w:val="single" w:sz="4" w:space="0" w:color="000000"/>
              <w:bottom w:val="single" w:sz="6" w:space="0" w:color="000000"/>
              <w:right w:val="single" w:sz="6" w:space="0" w:color="000000"/>
            </w:tcBorders>
          </w:tcPr>
          <w:p w:rsidR="00087370" w:rsidRDefault="00087370">
            <w:pPr>
              <w:spacing w:after="160" w:line="259" w:lineRule="auto"/>
              <w:ind w:left="0" w:firstLine="0"/>
            </w:pP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applies. </w:t>
            </w:r>
          </w:p>
        </w:tc>
      </w:tr>
      <w:tr w:rsidR="00087370">
        <w:trPr>
          <w:trHeight w:val="1793"/>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Replacement 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services which are the same as or substantially </w:t>
            </w:r>
            <w:proofErr w:type="gramStart"/>
            <w:r>
              <w:t>similar to</w:t>
            </w:r>
            <w:proofErr w:type="gramEnd"/>
            <w:r>
              <w:t xml:space="preserve"> any of the Services and which the Buyer receives in substitution for any of the Services after the expiry or Ending or partial Ending of the </w:t>
            </w:r>
            <w:proofErr w:type="spellStart"/>
            <w:r>
              <w:t>CallOff</w:t>
            </w:r>
            <w:proofErr w:type="spellEnd"/>
            <w:r>
              <w:t xml:space="preserve"> Contract, whether those services are provided by the Buyer or a third party.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lastRenderedPageBreak/>
              <w:t xml:space="preserve">Replacement Supplier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w:t>
            </w:r>
            <w:proofErr w:type="gramStart"/>
            <w:r>
              <w:t>third party</w:t>
            </w:r>
            <w:proofErr w:type="gramEnd"/>
            <w:r>
              <w:t xml:space="preserve"> service provider of Replacement Services appointed by the Buyer (or where the Buyer is providing replacement Services for its own account, the Buyer). </w:t>
            </w:r>
          </w:p>
        </w:tc>
      </w:tr>
      <w:tr w:rsidR="00087370">
        <w:trPr>
          <w:trHeight w:val="528"/>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Services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services ordered by the Buyer as set out in the Order Form.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Service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Data that is owned or managed by the Buyer and used for the GCloud Services, including backup data.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Service Definition(s)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right="30" w:firstLine="0"/>
            </w:pPr>
            <w:r>
              <w:t xml:space="preserve">The definition of the Supplier's G-Cloud Services provided as part of their Application that includes, but isn’t limited to, those items listed in Section 2 (Services Offered) of the Framework Agreement.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Service Description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description of the Supplier service offering as published on the Digital Marketplace.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Service Personal Data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r w:rsidR="00087370">
        <w:trPr>
          <w:trHeight w:val="1476"/>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Spend Controls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approval process used by a central government Buyer if it needs to spend money on certain digital or technology services, see </w:t>
            </w:r>
            <w:hyperlink r:id="rId146">
              <w:r>
                <w:rPr>
                  <w:color w:val="1155CC"/>
                  <w:u w:val="single" w:color="1155CC"/>
                </w:rPr>
                <w:t>https://www.gov.uk/service</w:t>
              </w:r>
            </w:hyperlink>
            <w:hyperlink r:id="rId147">
              <w:r>
                <w:rPr>
                  <w:color w:val="1155CC"/>
                  <w:u w:val="single" w:color="1155CC"/>
                </w:rPr>
                <w:t>-</w:t>
              </w:r>
            </w:hyperlink>
            <w:hyperlink r:id="rId148">
              <w:r>
                <w:rPr>
                  <w:color w:val="1155CC"/>
                  <w:u w:val="single" w:color="1155CC"/>
                </w:rPr>
                <w:t>manual/agile</w:t>
              </w:r>
            </w:hyperlink>
            <w:hyperlink r:id="rId149">
              <w:r>
                <w:rPr>
                  <w:color w:val="1155CC"/>
                  <w:u w:val="single" w:color="1155CC"/>
                </w:rPr>
                <w:t>-</w:t>
              </w:r>
            </w:hyperlink>
            <w:hyperlink r:id="rId150">
              <w:r>
                <w:rPr>
                  <w:color w:val="1155CC"/>
                  <w:u w:val="single" w:color="1155CC"/>
                </w:rPr>
                <w:t>delivery/spend</w:t>
              </w:r>
            </w:hyperlink>
            <w:hyperlink r:id="rId151">
              <w:r>
                <w:rPr>
                  <w:color w:val="1155CC"/>
                  <w:u w:val="single" w:color="1155CC"/>
                </w:rPr>
                <w:t>-</w:t>
              </w:r>
            </w:hyperlink>
            <w:hyperlink r:id="rId152">
              <w:r>
                <w:rPr>
                  <w:color w:val="1155CC"/>
                  <w:u w:val="single" w:color="1155CC"/>
                </w:rPr>
                <w:t>controls</w:t>
              </w:r>
            </w:hyperlink>
            <w:hyperlink r:id="rId153"/>
            <w:hyperlink r:id="rId154">
              <w:r>
                <w:rPr>
                  <w:color w:val="1155CC"/>
                  <w:u w:val="single" w:color="1155CC"/>
                </w:rPr>
                <w:t>check</w:t>
              </w:r>
            </w:hyperlink>
            <w:hyperlink r:id="rId155">
              <w:r>
                <w:rPr>
                  <w:color w:val="1155CC"/>
                  <w:u w:val="single" w:color="1155CC"/>
                </w:rPr>
                <w:t>-</w:t>
              </w:r>
            </w:hyperlink>
            <w:hyperlink r:id="rId156">
              <w:r>
                <w:rPr>
                  <w:color w:val="1155CC"/>
                  <w:u w:val="single" w:color="1155CC"/>
                </w:rPr>
                <w:t>if</w:t>
              </w:r>
            </w:hyperlink>
            <w:hyperlink r:id="rId157">
              <w:r>
                <w:rPr>
                  <w:color w:val="1155CC"/>
                  <w:u w:val="single" w:color="1155CC"/>
                </w:rPr>
                <w:t>-</w:t>
              </w:r>
            </w:hyperlink>
            <w:hyperlink r:id="rId158">
              <w:r>
                <w:rPr>
                  <w:color w:val="1155CC"/>
                  <w:u w:val="single" w:color="1155CC"/>
                </w:rPr>
                <w:t>you</w:t>
              </w:r>
            </w:hyperlink>
            <w:hyperlink r:id="rId159">
              <w:r>
                <w:rPr>
                  <w:color w:val="1155CC"/>
                  <w:u w:val="single" w:color="1155CC"/>
                </w:rPr>
                <w:t>-</w:t>
              </w:r>
            </w:hyperlink>
            <w:hyperlink r:id="rId160">
              <w:r>
                <w:rPr>
                  <w:color w:val="1155CC"/>
                  <w:u w:val="single" w:color="1155CC"/>
                </w:rPr>
                <w:t>need</w:t>
              </w:r>
            </w:hyperlink>
            <w:hyperlink r:id="rId161">
              <w:r>
                <w:rPr>
                  <w:color w:val="1155CC"/>
                  <w:u w:val="single" w:color="1155CC"/>
                </w:rPr>
                <w:t>-</w:t>
              </w:r>
            </w:hyperlink>
            <w:hyperlink r:id="rId162">
              <w:r>
                <w:rPr>
                  <w:color w:val="1155CC"/>
                  <w:u w:val="single" w:color="1155CC"/>
                </w:rPr>
                <w:t>approval</w:t>
              </w:r>
            </w:hyperlink>
            <w:hyperlink r:id="rId163">
              <w:r>
                <w:rPr>
                  <w:color w:val="1155CC"/>
                  <w:u w:val="single" w:color="1155CC"/>
                </w:rPr>
                <w:t>-</w:t>
              </w:r>
            </w:hyperlink>
            <w:hyperlink r:id="rId164">
              <w:r>
                <w:rPr>
                  <w:color w:val="1155CC"/>
                  <w:u w:val="single" w:color="1155CC"/>
                </w:rPr>
                <w:t>to</w:t>
              </w:r>
            </w:hyperlink>
            <w:hyperlink r:id="rId165">
              <w:r>
                <w:rPr>
                  <w:color w:val="1155CC"/>
                  <w:u w:val="single" w:color="1155CC"/>
                </w:rPr>
                <w:t>-</w:t>
              </w:r>
            </w:hyperlink>
            <w:hyperlink r:id="rId166">
              <w:r>
                <w:rPr>
                  <w:color w:val="1155CC"/>
                  <w:u w:val="single" w:color="1155CC"/>
                </w:rPr>
                <w:t>spend</w:t>
              </w:r>
            </w:hyperlink>
            <w:hyperlink r:id="rId167">
              <w:r>
                <w:rPr>
                  <w:color w:val="1155CC"/>
                  <w:u w:val="single" w:color="1155CC"/>
                </w:rPr>
                <w:t>-</w:t>
              </w:r>
            </w:hyperlink>
            <w:hyperlink r:id="rId168">
              <w:r>
                <w:rPr>
                  <w:color w:val="1155CC"/>
                  <w:u w:val="single" w:color="1155CC"/>
                </w:rPr>
                <w:t>money</w:t>
              </w:r>
            </w:hyperlink>
            <w:hyperlink r:id="rId169">
              <w:r>
                <w:rPr>
                  <w:color w:val="1155CC"/>
                  <w:u w:val="single" w:color="1155CC"/>
                </w:rPr>
                <w:t>-</w:t>
              </w:r>
            </w:hyperlink>
            <w:hyperlink r:id="rId170">
              <w:r>
                <w:rPr>
                  <w:color w:val="1155CC"/>
                  <w:u w:val="single" w:color="1155CC"/>
                </w:rPr>
                <w:t>on</w:t>
              </w:r>
            </w:hyperlink>
            <w:hyperlink r:id="rId171">
              <w:r>
                <w:rPr>
                  <w:color w:val="1155CC"/>
                  <w:u w:val="single" w:color="1155CC"/>
                </w:rPr>
                <w:t>-</w:t>
              </w:r>
            </w:hyperlink>
            <w:hyperlink r:id="rId172">
              <w:r>
                <w:rPr>
                  <w:color w:val="1155CC"/>
                  <w:u w:val="single" w:color="1155CC"/>
                </w:rPr>
                <w:t>a</w:t>
              </w:r>
            </w:hyperlink>
            <w:hyperlink r:id="rId173">
              <w:r>
                <w:rPr>
                  <w:color w:val="1155CC"/>
                  <w:u w:val="single" w:color="1155CC"/>
                </w:rPr>
                <w:t>-</w:t>
              </w:r>
            </w:hyperlink>
            <w:hyperlink r:id="rId174">
              <w:r>
                <w:rPr>
                  <w:color w:val="1155CC"/>
                  <w:u w:val="single" w:color="1155CC"/>
                </w:rPr>
                <w:t>service</w:t>
              </w:r>
            </w:hyperlink>
            <w:hyperlink r:id="rId175">
              <w:r>
                <w:t xml:space="preserve"> </w:t>
              </w:r>
            </w:hyperlink>
          </w:p>
        </w:tc>
      </w:tr>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Start Date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start date of this Call-Off Contract as set out in the Order Form. </w:t>
            </w:r>
          </w:p>
        </w:tc>
      </w:tr>
      <w:tr w:rsidR="00087370">
        <w:trPr>
          <w:trHeight w:val="1793"/>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Subcontract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087370">
        <w:trPr>
          <w:trHeight w:val="1478"/>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Subcontractor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third party engaged by the Supplier under a Subcontract </w:t>
            </w:r>
          </w:p>
          <w:p w:rsidR="00087370" w:rsidRDefault="003B7960">
            <w:pPr>
              <w:spacing w:after="0" w:line="259" w:lineRule="auto"/>
              <w:ind w:left="0" w:firstLine="0"/>
            </w:pPr>
            <w:r>
              <w:t xml:space="preserve">(permitted under the Framework Agreement and the Call-Off Contract) and its servants or agents </w:t>
            </w:r>
            <w:proofErr w:type="gramStart"/>
            <w:r>
              <w:t>in connection with</w:t>
            </w:r>
            <w:proofErr w:type="gramEnd"/>
            <w:r>
              <w:t xml:space="preserve"> the provision of G-Cloud Services.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proofErr w:type="spellStart"/>
            <w:r>
              <w:lastRenderedPageBreak/>
              <w:t>Subprocessor</w:t>
            </w:r>
            <w:proofErr w:type="spellEnd"/>
            <w:r>
              <w:t xml:space="preserv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third party appointed to process Personal Data on behalf of the Supplier under this Call-Off Contract.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Supplier Representative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representative appointed by the Supplier from time to time in relation to the Call-Off Contract.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Supplier Staff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All persons employed by the Supplier together with the Supplier’s servants, agents, suppliers and Subcontractors used in the performance of its obligations under this Call-Off Contract. </w:t>
            </w:r>
          </w:p>
        </w:tc>
      </w:tr>
      <w:tr w:rsidR="00087370">
        <w:trPr>
          <w:trHeight w:val="1162"/>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Supplier Terms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relevant G-Cloud Service terms and conditions as set out in the Terms and Conditions document supplied as part of the Supplier’s Application. </w:t>
            </w:r>
          </w:p>
        </w:tc>
      </w:tr>
      <w:tr w:rsidR="00087370">
        <w:trPr>
          <w:trHeight w:val="529"/>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Term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The term of this Call-Off Contract as set out in the Order Form.  </w:t>
            </w:r>
          </w:p>
        </w:tc>
      </w:tr>
      <w:tr w:rsidR="00087370">
        <w:trPr>
          <w:trHeight w:val="530"/>
        </w:trPr>
        <w:tc>
          <w:tcPr>
            <w:tcW w:w="3435" w:type="dxa"/>
            <w:tcBorders>
              <w:top w:val="single" w:sz="6" w:space="0" w:color="000000"/>
              <w:left w:val="single" w:sz="4" w:space="0" w:color="000000"/>
              <w:bottom w:val="single" w:sz="6" w:space="0" w:color="000000"/>
              <w:right w:val="single" w:sz="6" w:space="0" w:color="000000"/>
            </w:tcBorders>
            <w:vAlign w:val="center"/>
          </w:tcPr>
          <w:p w:rsidR="00087370" w:rsidRDefault="003B7960">
            <w:pPr>
              <w:spacing w:after="0" w:line="259" w:lineRule="auto"/>
              <w:ind w:left="0" w:firstLine="0"/>
            </w:pPr>
            <w:r>
              <w:t xml:space="preserve">Variation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This has the meaning given to it in clause 32 (Variation process). </w:t>
            </w:r>
          </w:p>
        </w:tc>
      </w:tr>
      <w:tr w:rsidR="00087370">
        <w:trPr>
          <w:trHeight w:val="845"/>
        </w:trPr>
        <w:tc>
          <w:tcPr>
            <w:tcW w:w="3435" w:type="dxa"/>
            <w:tcBorders>
              <w:top w:val="single" w:sz="6" w:space="0" w:color="000000"/>
              <w:left w:val="single" w:sz="4" w:space="0" w:color="000000"/>
              <w:bottom w:val="single" w:sz="6" w:space="0" w:color="000000"/>
              <w:right w:val="single" w:sz="6" w:space="0" w:color="000000"/>
            </w:tcBorders>
          </w:tcPr>
          <w:p w:rsidR="00087370" w:rsidRDefault="003B7960">
            <w:pPr>
              <w:spacing w:after="0" w:line="259" w:lineRule="auto"/>
              <w:ind w:left="0" w:firstLine="0"/>
            </w:pPr>
            <w:r>
              <w:t xml:space="preserve">Working Days </w:t>
            </w:r>
          </w:p>
        </w:tc>
        <w:tc>
          <w:tcPr>
            <w:tcW w:w="7158" w:type="dxa"/>
            <w:tcBorders>
              <w:top w:val="single" w:sz="6" w:space="0" w:color="000000"/>
              <w:left w:val="single" w:sz="6" w:space="0" w:color="000000"/>
              <w:bottom w:val="single" w:sz="6" w:space="0" w:color="000000"/>
              <w:right w:val="single" w:sz="4" w:space="0" w:color="000000"/>
            </w:tcBorders>
            <w:vAlign w:val="center"/>
          </w:tcPr>
          <w:p w:rsidR="00087370" w:rsidRDefault="003B7960">
            <w:pPr>
              <w:spacing w:after="0" w:line="259" w:lineRule="auto"/>
              <w:ind w:left="0" w:firstLine="0"/>
            </w:pPr>
            <w:r>
              <w:t xml:space="preserve">Any day other than a Saturday, Sunday or public holiday in England and Wales. </w:t>
            </w:r>
          </w:p>
        </w:tc>
      </w:tr>
      <w:tr w:rsidR="00087370">
        <w:trPr>
          <w:trHeight w:val="528"/>
        </w:trPr>
        <w:tc>
          <w:tcPr>
            <w:tcW w:w="3435" w:type="dxa"/>
            <w:tcBorders>
              <w:top w:val="single" w:sz="6" w:space="0" w:color="000000"/>
              <w:left w:val="single" w:sz="4" w:space="0" w:color="000000"/>
              <w:bottom w:val="single" w:sz="4" w:space="0" w:color="000000"/>
              <w:right w:val="single" w:sz="6" w:space="0" w:color="000000"/>
            </w:tcBorders>
            <w:vAlign w:val="center"/>
          </w:tcPr>
          <w:p w:rsidR="00087370" w:rsidRDefault="003B7960">
            <w:pPr>
              <w:spacing w:after="0" w:line="259" w:lineRule="auto"/>
              <w:ind w:left="0" w:firstLine="0"/>
            </w:pPr>
            <w:r>
              <w:t xml:space="preserve">Year </w:t>
            </w:r>
          </w:p>
        </w:tc>
        <w:tc>
          <w:tcPr>
            <w:tcW w:w="7158" w:type="dxa"/>
            <w:tcBorders>
              <w:top w:val="single" w:sz="6" w:space="0" w:color="000000"/>
              <w:left w:val="single" w:sz="6" w:space="0" w:color="000000"/>
              <w:bottom w:val="single" w:sz="4" w:space="0" w:color="000000"/>
              <w:right w:val="single" w:sz="4" w:space="0" w:color="000000"/>
            </w:tcBorders>
            <w:vAlign w:val="center"/>
          </w:tcPr>
          <w:p w:rsidR="00087370" w:rsidRDefault="003B7960">
            <w:pPr>
              <w:spacing w:after="0" w:line="259" w:lineRule="auto"/>
              <w:ind w:left="0" w:firstLine="0"/>
            </w:pPr>
            <w:r>
              <w:t xml:space="preserve">A contract year. </w:t>
            </w:r>
          </w:p>
        </w:tc>
      </w:tr>
    </w:tbl>
    <w:p w:rsidR="00087370" w:rsidRDefault="003B7960">
      <w:pPr>
        <w:spacing w:after="237" w:line="259" w:lineRule="auto"/>
        <w:ind w:left="5" w:firstLine="0"/>
      </w:pPr>
      <w:r>
        <w:t xml:space="preserve"> </w:t>
      </w:r>
    </w:p>
    <w:p w:rsidR="00087370" w:rsidRDefault="003B7960">
      <w:pPr>
        <w:spacing w:after="0" w:line="259" w:lineRule="auto"/>
        <w:ind w:left="5" w:firstLine="0"/>
        <w:jc w:val="both"/>
      </w:pPr>
      <w:r>
        <w:t xml:space="preserve"> </w:t>
      </w:r>
      <w:r>
        <w:tab/>
        <w:t xml:space="preserve"> </w:t>
      </w:r>
      <w:r>
        <w:br w:type="page"/>
      </w:r>
    </w:p>
    <w:p w:rsidR="00087370" w:rsidRDefault="003B7960">
      <w:pPr>
        <w:spacing w:after="221" w:line="259" w:lineRule="auto"/>
        <w:ind w:left="5" w:firstLine="0"/>
      </w:pPr>
      <w:r>
        <w:lastRenderedPageBreak/>
        <w:t xml:space="preserve"> </w:t>
      </w:r>
    </w:p>
    <w:p w:rsidR="00087370" w:rsidRDefault="003B7960">
      <w:pPr>
        <w:spacing w:after="0" w:line="259" w:lineRule="auto"/>
        <w:ind w:left="5" w:firstLine="0"/>
      </w:pPr>
      <w:r>
        <w:t xml:space="preserve"> </w:t>
      </w:r>
    </w:p>
    <w:p w:rsidR="00087370" w:rsidRDefault="003B7960">
      <w:pPr>
        <w:pStyle w:val="Heading1"/>
        <w:spacing w:after="203"/>
        <w:ind w:left="11" w:right="5"/>
      </w:pPr>
      <w:bookmarkStart w:id="8" w:name="_Toc72199"/>
      <w:r>
        <w:t xml:space="preserve">Schedule 7 - Processing, Personal Data and Data Subjects </w:t>
      </w:r>
      <w:bookmarkEnd w:id="8"/>
    </w:p>
    <w:p w:rsidR="00087370" w:rsidRDefault="003B7960">
      <w:pPr>
        <w:spacing w:after="212"/>
        <w:ind w:left="11" w:right="5"/>
      </w:pPr>
      <w:r>
        <w:t xml:space="preserve">Subject matter of the processing: </w:t>
      </w:r>
      <w:r>
        <w:rPr>
          <w:color w:val="353535"/>
        </w:rPr>
        <w:t xml:space="preserve"> </w:t>
      </w:r>
    </w:p>
    <w:p w:rsidR="00087370" w:rsidRDefault="003B7960">
      <w:pPr>
        <w:spacing w:after="212"/>
        <w:ind w:left="11" w:right="5"/>
      </w:pPr>
      <w:r>
        <w:t xml:space="preserve">Duration of the processing: </w:t>
      </w:r>
      <w:r>
        <w:rPr>
          <w:color w:val="353535"/>
        </w:rPr>
        <w:t xml:space="preserve"> </w:t>
      </w:r>
    </w:p>
    <w:p w:rsidR="00087370" w:rsidRDefault="003B7960">
      <w:pPr>
        <w:spacing w:after="212"/>
        <w:ind w:left="11" w:right="5"/>
      </w:pPr>
      <w:r>
        <w:t xml:space="preserve">Nature and purposes of the Processing:  </w:t>
      </w:r>
    </w:p>
    <w:p w:rsidR="00087370" w:rsidRDefault="003B7960">
      <w:pPr>
        <w:spacing w:after="19" w:line="259" w:lineRule="auto"/>
        <w:ind w:left="5" w:firstLine="0"/>
      </w:pPr>
      <w:r>
        <w:rPr>
          <w:color w:val="353535"/>
        </w:rPr>
        <w:t xml:space="preserve"> </w:t>
      </w:r>
    </w:p>
    <w:p w:rsidR="00087370" w:rsidRDefault="003B7960">
      <w:pPr>
        <w:spacing w:after="11"/>
        <w:ind w:left="11" w:right="5"/>
      </w:pPr>
      <w:r>
        <w:t xml:space="preserve">Type of Personal Data: </w:t>
      </w:r>
      <w:r>
        <w:rPr>
          <w:color w:val="353535"/>
        </w:rPr>
        <w:t xml:space="preserve"> </w:t>
      </w:r>
    </w:p>
    <w:p w:rsidR="00087370" w:rsidRDefault="003B7960">
      <w:pPr>
        <w:spacing w:after="221" w:line="259" w:lineRule="auto"/>
        <w:ind w:left="5" w:firstLine="0"/>
      </w:pPr>
      <w:r>
        <w:rPr>
          <w:color w:val="353535"/>
        </w:rPr>
        <w:t xml:space="preserve"> </w:t>
      </w:r>
    </w:p>
    <w:p w:rsidR="00087370" w:rsidRDefault="003B7960">
      <w:pPr>
        <w:spacing w:after="13"/>
        <w:ind w:left="11" w:right="5"/>
      </w:pPr>
      <w:r>
        <w:t xml:space="preserve">Categories of Data Subject: </w:t>
      </w:r>
      <w:r>
        <w:rPr>
          <w:color w:val="353535"/>
        </w:rPr>
        <w:t xml:space="preserve"> </w:t>
      </w:r>
    </w:p>
    <w:p w:rsidR="00087370" w:rsidRDefault="003B7960">
      <w:pPr>
        <w:spacing w:after="218" w:line="259" w:lineRule="auto"/>
        <w:ind w:left="5" w:firstLine="0"/>
      </w:pPr>
      <w:r>
        <w:rPr>
          <w:color w:val="353535"/>
        </w:rPr>
        <w:t xml:space="preserve"> </w:t>
      </w:r>
    </w:p>
    <w:p w:rsidR="00087370" w:rsidRDefault="003B7960">
      <w:pPr>
        <w:spacing w:after="8"/>
        <w:ind w:left="11" w:right="5"/>
      </w:pPr>
      <w:r>
        <w:t xml:space="preserve">Plan for return or destruction of the data once the Processing is complete UNLESS requirement under union or member state law to preserve that type of data: </w:t>
      </w:r>
      <w:r>
        <w:rPr>
          <w:color w:val="353535"/>
        </w:rPr>
        <w:t xml:space="preserve"> </w:t>
      </w:r>
    </w:p>
    <w:p w:rsidR="00087370" w:rsidRDefault="003B7960">
      <w:pPr>
        <w:spacing w:after="220" w:line="259" w:lineRule="auto"/>
        <w:ind w:left="5" w:firstLine="0"/>
      </w:pPr>
      <w:r>
        <w:rPr>
          <w:color w:val="353535"/>
        </w:rPr>
        <w:t xml:space="preserve"> </w:t>
      </w:r>
    </w:p>
    <w:p w:rsidR="00087370" w:rsidRDefault="003B7960">
      <w:pPr>
        <w:spacing w:after="0" w:line="259" w:lineRule="auto"/>
        <w:ind w:left="5" w:firstLine="0"/>
      </w:pPr>
      <w:r>
        <w:t xml:space="preserve"> </w:t>
      </w:r>
    </w:p>
    <w:sectPr w:rsidR="00087370">
      <w:footerReference w:type="even" r:id="rId176"/>
      <w:footerReference w:type="default" r:id="rId177"/>
      <w:footerReference w:type="first" r:id="rId178"/>
      <w:pgSz w:w="11906" w:h="16838"/>
      <w:pgMar w:top="972" w:right="561" w:bottom="2379" w:left="701" w:header="72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28F" w:rsidRDefault="0014728F">
      <w:pPr>
        <w:spacing w:after="0" w:line="240" w:lineRule="auto"/>
      </w:pPr>
      <w:r>
        <w:separator/>
      </w:r>
    </w:p>
  </w:endnote>
  <w:endnote w:type="continuationSeparator" w:id="0">
    <w:p w:rsidR="0014728F" w:rsidRDefault="00147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370" w:rsidRDefault="003B7960">
    <w:pPr>
      <w:spacing w:after="214" w:line="259" w:lineRule="auto"/>
      <w:ind w:left="16" w:firstLine="0"/>
    </w:pPr>
    <w:r>
      <w:rPr>
        <w:rFonts w:ascii="Arial" w:eastAsia="Arial" w:hAnsi="Arial" w:cs="Arial"/>
        <w:sz w:val="16"/>
      </w:rPr>
      <w:t xml:space="preserve"> </w:t>
    </w:r>
  </w:p>
  <w:p w:rsidR="00087370" w:rsidRDefault="003B7960">
    <w:pPr>
      <w:tabs>
        <w:tab w:val="center" w:pos="4025"/>
        <w:tab w:val="center" w:pos="5057"/>
        <w:tab w:val="center" w:pos="5777"/>
        <w:tab w:val="center" w:pos="6497"/>
        <w:tab w:val="center" w:pos="7217"/>
        <w:tab w:val="center" w:pos="7938"/>
        <w:tab w:val="center" w:pos="8658"/>
        <w:tab w:val="center" w:pos="9378"/>
        <w:tab w:val="center" w:pos="10098"/>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087370" w:rsidRDefault="003B7960">
    <w:pPr>
      <w:spacing w:after="211" w:line="259" w:lineRule="auto"/>
      <w:ind w:left="16" w:firstLine="0"/>
    </w:pPr>
    <w:r>
      <w:rPr>
        <w:rFonts w:ascii="Arial" w:eastAsia="Arial" w:hAnsi="Arial" w:cs="Arial"/>
        <w:sz w:val="16"/>
      </w:rPr>
      <w:t xml:space="preserve">https://www.gov.uk/government/publications/g-cloud-10-framework-agreement           </w:t>
    </w:r>
  </w:p>
  <w:p w:rsidR="00087370" w:rsidRDefault="003B7960">
    <w:pPr>
      <w:spacing w:after="0" w:line="259" w:lineRule="auto"/>
      <w:ind w:left="16" w:firstLine="0"/>
      <w:jc w:val="both"/>
    </w:pPr>
    <w:r>
      <w:rPr>
        <w:rFonts w:ascii="Arial" w:eastAsia="Arial" w:hAnsi="Arial" w:cs="Arial"/>
        <w:sz w:val="16"/>
      </w:rPr>
      <w:t xml:space="preserve">                                                                                                                                                                                                                          Page </w:t>
    </w:r>
    <w:r>
      <w:fldChar w:fldCharType="begin"/>
    </w:r>
    <w:r>
      <w:instrText xml:space="preserve"> PAGE   \* MERGEFORMAT </w:instrText>
    </w:r>
    <w:r>
      <w:fldChar w:fldCharType="separate"/>
    </w:r>
    <w:r w:rsidR="00644657" w:rsidRPr="00644657">
      <w:rPr>
        <w:rFonts w:ascii="Arial" w:eastAsia="Arial" w:hAnsi="Arial" w:cs="Arial"/>
        <w:noProof/>
        <w:sz w:val="16"/>
      </w:rPr>
      <w:t>10</w:t>
    </w:r>
    <w:r>
      <w:rPr>
        <w:rFonts w:ascii="Arial" w:eastAsia="Arial" w:hAnsi="Arial" w:cs="Arial"/>
        <w:sz w:val="16"/>
      </w:rPr>
      <w:fldChar w:fldCharType="end"/>
    </w:r>
    <w:r>
      <w:rPr>
        <w:rFonts w:ascii="Arial" w:eastAsia="Arial" w:hAnsi="Arial" w:cs="Arial"/>
        <w:sz w:val="16"/>
      </w:rPr>
      <w:t xml:space="preserve"> of 58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370" w:rsidRDefault="003B7960">
    <w:pPr>
      <w:spacing w:after="214" w:line="259" w:lineRule="auto"/>
      <w:ind w:left="16" w:firstLine="0"/>
    </w:pPr>
    <w:r>
      <w:rPr>
        <w:rFonts w:ascii="Arial" w:eastAsia="Arial" w:hAnsi="Arial" w:cs="Arial"/>
        <w:sz w:val="16"/>
      </w:rPr>
      <w:t xml:space="preserve"> </w:t>
    </w:r>
  </w:p>
  <w:p w:rsidR="00087370" w:rsidRDefault="003B7960">
    <w:pPr>
      <w:tabs>
        <w:tab w:val="center" w:pos="4025"/>
        <w:tab w:val="center" w:pos="5057"/>
        <w:tab w:val="center" w:pos="5777"/>
        <w:tab w:val="center" w:pos="6497"/>
        <w:tab w:val="center" w:pos="7217"/>
        <w:tab w:val="center" w:pos="7938"/>
        <w:tab w:val="center" w:pos="8658"/>
        <w:tab w:val="center" w:pos="9378"/>
        <w:tab w:val="center" w:pos="10098"/>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087370" w:rsidRDefault="003B7960">
    <w:pPr>
      <w:spacing w:after="211" w:line="259" w:lineRule="auto"/>
      <w:ind w:left="16" w:firstLine="0"/>
    </w:pPr>
    <w:r>
      <w:rPr>
        <w:rFonts w:ascii="Arial" w:eastAsia="Arial" w:hAnsi="Arial" w:cs="Arial"/>
        <w:sz w:val="16"/>
      </w:rPr>
      <w:t xml:space="preserve">https://www.gov.uk/government/publications/g-cloud-10-framework-agreement           </w:t>
    </w:r>
  </w:p>
  <w:p w:rsidR="00087370" w:rsidRDefault="003B7960">
    <w:pPr>
      <w:spacing w:after="0" w:line="259" w:lineRule="auto"/>
      <w:ind w:left="16" w:firstLine="0"/>
      <w:jc w:val="both"/>
    </w:pPr>
    <w:r>
      <w:rPr>
        <w:rFonts w:ascii="Arial" w:eastAsia="Arial" w:hAnsi="Arial" w:cs="Arial"/>
        <w:sz w:val="16"/>
      </w:rPr>
      <w:t xml:space="preserve">                                                                                                                                                                                                                          Page </w:t>
    </w:r>
    <w:r>
      <w:fldChar w:fldCharType="begin"/>
    </w:r>
    <w:r>
      <w:instrText xml:space="preserve"> PAGE   \* MERGEFORMAT </w:instrText>
    </w:r>
    <w:r>
      <w:fldChar w:fldCharType="separate"/>
    </w:r>
    <w:r w:rsidR="00644657" w:rsidRPr="00644657">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of 58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370" w:rsidRDefault="003B7960">
    <w:pPr>
      <w:spacing w:after="214" w:line="259" w:lineRule="auto"/>
      <w:ind w:left="16" w:firstLine="0"/>
    </w:pPr>
    <w:r>
      <w:rPr>
        <w:rFonts w:ascii="Arial" w:eastAsia="Arial" w:hAnsi="Arial" w:cs="Arial"/>
        <w:sz w:val="16"/>
      </w:rPr>
      <w:t xml:space="preserve"> </w:t>
    </w:r>
  </w:p>
  <w:p w:rsidR="00087370" w:rsidRDefault="003B7960">
    <w:pPr>
      <w:tabs>
        <w:tab w:val="center" w:pos="4025"/>
        <w:tab w:val="center" w:pos="5057"/>
        <w:tab w:val="center" w:pos="5777"/>
        <w:tab w:val="center" w:pos="6497"/>
        <w:tab w:val="center" w:pos="7217"/>
        <w:tab w:val="center" w:pos="7938"/>
        <w:tab w:val="center" w:pos="8658"/>
        <w:tab w:val="center" w:pos="9378"/>
        <w:tab w:val="center" w:pos="10098"/>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087370" w:rsidRDefault="003B7960">
    <w:pPr>
      <w:spacing w:after="211" w:line="259" w:lineRule="auto"/>
      <w:ind w:left="16" w:firstLine="0"/>
    </w:pPr>
    <w:r>
      <w:rPr>
        <w:rFonts w:ascii="Arial" w:eastAsia="Arial" w:hAnsi="Arial" w:cs="Arial"/>
        <w:sz w:val="16"/>
      </w:rPr>
      <w:t xml:space="preserve">https://www.gov.uk/government/publications/g-cloud-10-framework-agreement           </w:t>
    </w:r>
  </w:p>
  <w:p w:rsidR="00087370" w:rsidRDefault="003B7960">
    <w:pPr>
      <w:spacing w:after="0" w:line="259" w:lineRule="auto"/>
      <w:ind w:left="16" w:firstLine="0"/>
      <w:jc w:val="both"/>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370" w:rsidRDefault="003B7960">
    <w:pPr>
      <w:spacing w:after="0" w:line="259" w:lineRule="auto"/>
      <w:ind w:left="300" w:firstLine="0"/>
    </w:pPr>
    <w:r>
      <w:rPr>
        <w:rFonts w:ascii="Arial" w:eastAsia="Arial" w:hAnsi="Arial" w:cs="Arial"/>
      </w:rPr>
      <w:t xml:space="preserve"> </w:t>
    </w:r>
  </w:p>
  <w:p w:rsidR="00087370" w:rsidRDefault="003B7960">
    <w:pPr>
      <w:spacing w:after="214" w:line="259" w:lineRule="auto"/>
      <w:ind w:left="5" w:firstLine="0"/>
    </w:pPr>
    <w:r>
      <w:rPr>
        <w:rFonts w:ascii="Arial" w:eastAsia="Arial" w:hAnsi="Arial" w:cs="Arial"/>
        <w:sz w:val="16"/>
      </w:rPr>
      <w:t xml:space="preserve"> </w:t>
    </w:r>
  </w:p>
  <w:p w:rsidR="00087370" w:rsidRDefault="003B7960">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087370" w:rsidRDefault="003B7960">
    <w:pPr>
      <w:spacing w:after="211" w:line="259" w:lineRule="auto"/>
      <w:ind w:left="5" w:firstLine="0"/>
    </w:pPr>
    <w:r>
      <w:rPr>
        <w:rFonts w:ascii="Arial" w:eastAsia="Arial" w:hAnsi="Arial" w:cs="Arial"/>
        <w:sz w:val="16"/>
      </w:rPr>
      <w:t xml:space="preserve">https://www.gov.uk/government/publications/g-cloud-10-framework-agreement           </w:t>
    </w:r>
  </w:p>
  <w:p w:rsidR="00087370" w:rsidRDefault="003B7960">
    <w:pPr>
      <w:spacing w:after="12"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sidR="00644657" w:rsidRPr="00644657">
      <w:rPr>
        <w:rFonts w:ascii="Arial" w:eastAsia="Arial" w:hAnsi="Arial" w:cs="Arial"/>
        <w:noProof/>
        <w:sz w:val="16"/>
      </w:rPr>
      <w:t>48</w:t>
    </w:r>
    <w:r>
      <w:rPr>
        <w:rFonts w:ascii="Arial" w:eastAsia="Arial" w:hAnsi="Arial" w:cs="Arial"/>
        <w:sz w:val="16"/>
      </w:rPr>
      <w:fldChar w:fldCharType="end"/>
    </w:r>
    <w:r>
      <w:rPr>
        <w:rFonts w:ascii="Arial" w:eastAsia="Arial" w:hAnsi="Arial" w:cs="Arial"/>
        <w:sz w:val="16"/>
      </w:rPr>
      <w:t xml:space="preserve"> of </w:t>
    </w:r>
  </w:p>
  <w:p w:rsidR="00087370" w:rsidRDefault="003B7960">
    <w:pPr>
      <w:spacing w:after="0" w:line="259" w:lineRule="auto"/>
      <w:ind w:left="5" w:firstLine="0"/>
    </w:pPr>
    <w:r>
      <w:rPr>
        <w:rFonts w:ascii="Arial" w:eastAsia="Arial" w:hAnsi="Arial" w:cs="Arial"/>
        <w:sz w:val="16"/>
      </w:rPr>
      <w:t xml:space="preserve">58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370" w:rsidRDefault="003B7960">
    <w:pPr>
      <w:spacing w:after="214" w:line="259" w:lineRule="auto"/>
      <w:ind w:left="5" w:firstLine="0"/>
    </w:pPr>
    <w:r>
      <w:rPr>
        <w:rFonts w:ascii="Arial" w:eastAsia="Arial" w:hAnsi="Arial" w:cs="Arial"/>
        <w:sz w:val="16"/>
      </w:rPr>
      <w:t xml:space="preserve"> </w:t>
    </w:r>
  </w:p>
  <w:p w:rsidR="00087370" w:rsidRDefault="003B7960">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087370" w:rsidRDefault="003B7960">
    <w:pPr>
      <w:spacing w:after="211" w:line="259" w:lineRule="auto"/>
      <w:ind w:left="5" w:firstLine="0"/>
    </w:pPr>
    <w:r>
      <w:rPr>
        <w:rFonts w:ascii="Arial" w:eastAsia="Arial" w:hAnsi="Arial" w:cs="Arial"/>
        <w:sz w:val="16"/>
      </w:rPr>
      <w:t xml:space="preserve">https://www.gov.uk/government/publications/g-cloud-10-framework-agreement           </w:t>
    </w:r>
  </w:p>
  <w:p w:rsidR="00087370" w:rsidRDefault="003B7960">
    <w:pPr>
      <w:spacing w:after="12" w:line="259" w:lineRule="auto"/>
      <w:ind w:left="5" w:firstLine="0"/>
    </w:pPr>
    <w:r>
      <w:rPr>
        <w:rFonts w:ascii="Arial" w:eastAsia="Arial" w:hAnsi="Arial" w:cs="Arial"/>
        <w:sz w:val="16"/>
      </w:rPr>
      <w:t xml:space="preserve">                                                                                                                                                                                                                          Page </w:t>
    </w:r>
    <w:r>
      <w:fldChar w:fldCharType="begin"/>
    </w:r>
    <w:r>
      <w:instrText xml:space="preserve"> PAGE   \* MERGEFORMAT </w:instrText>
    </w:r>
    <w:r>
      <w:fldChar w:fldCharType="separate"/>
    </w:r>
    <w:r w:rsidR="00644657" w:rsidRPr="00644657">
      <w:rPr>
        <w:rFonts w:ascii="Arial" w:eastAsia="Arial" w:hAnsi="Arial" w:cs="Arial"/>
        <w:noProof/>
        <w:sz w:val="16"/>
      </w:rPr>
      <w:t>47</w:t>
    </w:r>
    <w:r>
      <w:rPr>
        <w:rFonts w:ascii="Arial" w:eastAsia="Arial" w:hAnsi="Arial" w:cs="Arial"/>
        <w:sz w:val="16"/>
      </w:rPr>
      <w:fldChar w:fldCharType="end"/>
    </w:r>
    <w:r>
      <w:rPr>
        <w:rFonts w:ascii="Arial" w:eastAsia="Arial" w:hAnsi="Arial" w:cs="Arial"/>
        <w:sz w:val="16"/>
      </w:rPr>
      <w:t xml:space="preserve"> of </w:t>
    </w:r>
  </w:p>
  <w:p w:rsidR="00087370" w:rsidRDefault="003B7960">
    <w:pPr>
      <w:spacing w:after="0" w:line="259" w:lineRule="auto"/>
      <w:ind w:left="5" w:firstLine="0"/>
    </w:pPr>
    <w:r>
      <w:rPr>
        <w:rFonts w:ascii="Arial" w:eastAsia="Arial" w:hAnsi="Arial" w:cs="Arial"/>
        <w:sz w:val="16"/>
      </w:rPr>
      <w:t xml:space="preserve">58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370" w:rsidRDefault="003B7960">
    <w:pPr>
      <w:spacing w:after="0" w:line="259" w:lineRule="auto"/>
      <w:ind w:left="300" w:firstLine="0"/>
    </w:pPr>
    <w:r>
      <w:rPr>
        <w:rFonts w:ascii="Arial" w:eastAsia="Arial" w:hAnsi="Arial" w:cs="Arial"/>
      </w:rPr>
      <w:t xml:space="preserve"> </w:t>
    </w:r>
  </w:p>
  <w:p w:rsidR="00087370" w:rsidRDefault="003B7960">
    <w:pPr>
      <w:spacing w:after="214" w:line="259" w:lineRule="auto"/>
      <w:ind w:left="5" w:firstLine="0"/>
    </w:pPr>
    <w:r>
      <w:rPr>
        <w:rFonts w:ascii="Arial" w:eastAsia="Arial" w:hAnsi="Arial" w:cs="Arial"/>
        <w:sz w:val="16"/>
      </w:rPr>
      <w:t xml:space="preserve"> </w:t>
    </w:r>
  </w:p>
  <w:p w:rsidR="00087370" w:rsidRDefault="003B7960">
    <w:pPr>
      <w:tabs>
        <w:tab w:val="center" w:pos="4014"/>
        <w:tab w:val="center" w:pos="5046"/>
        <w:tab w:val="center" w:pos="5766"/>
        <w:tab w:val="center" w:pos="6486"/>
        <w:tab w:val="center" w:pos="7206"/>
        <w:tab w:val="center" w:pos="7927"/>
        <w:tab w:val="center" w:pos="8647"/>
        <w:tab w:val="center" w:pos="9367"/>
        <w:tab w:val="center" w:pos="10087"/>
      </w:tabs>
      <w:spacing w:after="17" w:line="259" w:lineRule="auto"/>
      <w:ind w:left="0" w:firstLine="0"/>
    </w:pPr>
    <w:r>
      <w:rPr>
        <w:rFonts w:ascii="Arial" w:eastAsia="Arial" w:hAnsi="Arial" w:cs="Arial"/>
        <w:sz w:val="16"/>
      </w:rPr>
      <w:t xml:space="preserve">G-Cloud 10 Call-Off Contract – RM1557.10 </w:t>
    </w:r>
    <w:r>
      <w:rPr>
        <w:rFonts w:ascii="Arial" w:eastAsia="Arial" w:hAnsi="Arial" w:cs="Arial"/>
        <w:sz w:val="16"/>
      </w:rPr>
      <w:tab/>
      <w:t xml:space="preserve">18-04-2018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rsidR="00087370" w:rsidRDefault="003B7960">
    <w:pPr>
      <w:spacing w:after="211" w:line="259" w:lineRule="auto"/>
      <w:ind w:left="5" w:firstLine="0"/>
    </w:pPr>
    <w:r>
      <w:rPr>
        <w:rFonts w:ascii="Arial" w:eastAsia="Arial" w:hAnsi="Arial" w:cs="Arial"/>
        <w:sz w:val="16"/>
      </w:rPr>
      <w:t xml:space="preserve">https://www.gov.uk/government/publications/g-cloud-10-framework-agreement           </w:t>
    </w:r>
  </w:p>
  <w:p w:rsidR="00087370" w:rsidRDefault="003B7960">
    <w:pPr>
      <w:spacing w:after="12" w:line="259" w:lineRule="auto"/>
      <w:ind w:left="5" w:firstLine="0"/>
      <w:jc w:val="both"/>
    </w:pPr>
    <w:r>
      <w:rPr>
        <w:rFonts w:ascii="Arial" w:eastAsia="Arial" w:hAnsi="Arial" w:cs="Arial"/>
        <w:sz w:val="16"/>
      </w:rPr>
      <w:t xml:space="preserve">                                                                                                                                                                                                                          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w:t>
    </w:r>
  </w:p>
  <w:p w:rsidR="00087370" w:rsidRDefault="003B7960">
    <w:pPr>
      <w:spacing w:after="0" w:line="259" w:lineRule="auto"/>
      <w:ind w:left="5" w:firstLine="0"/>
    </w:pPr>
    <w:r>
      <w:rPr>
        <w:rFonts w:ascii="Arial" w:eastAsia="Arial" w:hAnsi="Arial" w:cs="Arial"/>
        <w:sz w:val="16"/>
      </w:rPr>
      <w:t xml:space="preserve">58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28F" w:rsidRDefault="0014728F">
      <w:pPr>
        <w:spacing w:after="0" w:line="240" w:lineRule="auto"/>
      </w:pPr>
      <w:r>
        <w:separator/>
      </w:r>
    </w:p>
  </w:footnote>
  <w:footnote w:type="continuationSeparator" w:id="0">
    <w:p w:rsidR="0014728F" w:rsidRDefault="00147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A6F" w:rsidRDefault="00AA5A6F" w:rsidP="00AA5A6F">
    <w:pPr>
      <w:pStyle w:val="Header"/>
      <w:jc w:val="right"/>
    </w:pPr>
    <w:r>
      <w:t>Redacted under Section 40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00A3"/>
    <w:multiLevelType w:val="hybridMultilevel"/>
    <w:tmpl w:val="186E7F06"/>
    <w:lvl w:ilvl="0" w:tplc="85184F24">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90ACB718">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82071E4">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9DA5892">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D98F4A4">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A523EE6">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53C07C58">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C55E4D74">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996D2B0">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D111B"/>
    <w:multiLevelType w:val="hybridMultilevel"/>
    <w:tmpl w:val="DCFC567A"/>
    <w:lvl w:ilvl="0" w:tplc="FEAC9304">
      <w:start w:val="1"/>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659812A8">
      <w:start w:val="1"/>
      <w:numFmt w:val="lowerLetter"/>
      <w:lvlText w:val="%2"/>
      <w:lvlJc w:val="left"/>
      <w:pPr>
        <w:ind w:left="842"/>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7B68728">
      <w:start w:val="1"/>
      <w:numFmt w:val="lowerRoman"/>
      <w:lvlText w:val="%3"/>
      <w:lvlJc w:val="left"/>
      <w:pPr>
        <w:ind w:left="132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B2010B4">
      <w:start w:val="1"/>
      <w:numFmt w:val="lowerRoman"/>
      <w:lvlRestart w:val="0"/>
      <w:lvlText w:val="%4)"/>
      <w:lvlJc w:val="left"/>
      <w:pPr>
        <w:ind w:left="177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1F880EAA">
      <w:start w:val="1"/>
      <w:numFmt w:val="lowerLetter"/>
      <w:lvlText w:val="%5"/>
      <w:lvlJc w:val="left"/>
      <w:pPr>
        <w:ind w:left="25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3386480">
      <w:start w:val="1"/>
      <w:numFmt w:val="lowerRoman"/>
      <w:lvlText w:val="%6"/>
      <w:lvlJc w:val="left"/>
      <w:pPr>
        <w:ind w:left="32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DB6EAC5C">
      <w:start w:val="1"/>
      <w:numFmt w:val="decimal"/>
      <w:lvlText w:val="%7"/>
      <w:lvlJc w:val="left"/>
      <w:pPr>
        <w:ind w:left="39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D87E1C10">
      <w:start w:val="1"/>
      <w:numFmt w:val="lowerLetter"/>
      <w:lvlText w:val="%8"/>
      <w:lvlJc w:val="left"/>
      <w:pPr>
        <w:ind w:left="46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D0BA2E3C">
      <w:start w:val="1"/>
      <w:numFmt w:val="lowerRoman"/>
      <w:lvlText w:val="%9"/>
      <w:lvlJc w:val="left"/>
      <w:pPr>
        <w:ind w:left="54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F0D10"/>
    <w:multiLevelType w:val="hybridMultilevel"/>
    <w:tmpl w:val="811ED95A"/>
    <w:lvl w:ilvl="0" w:tplc="E026A6A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20D4A">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BADCAA">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C20EC4">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4AC5FE">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08D234">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E5596">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165FE0">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A4659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67F86"/>
    <w:multiLevelType w:val="hybridMultilevel"/>
    <w:tmpl w:val="14E4C376"/>
    <w:lvl w:ilvl="0" w:tplc="0CEAAAF2">
      <w:start w:val="1"/>
      <w:numFmt w:val="decimal"/>
      <w:lvlText w:val="%1"/>
      <w:lvlJc w:val="left"/>
      <w:pPr>
        <w:ind w:left="36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1" w:tplc="B0EE21D8">
      <w:start w:val="1"/>
      <w:numFmt w:val="lowerLetter"/>
      <w:lvlText w:val="%2"/>
      <w:lvlJc w:val="left"/>
      <w:pPr>
        <w:ind w:left="84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2" w:tplc="9C44687E">
      <w:start w:val="1"/>
      <w:numFmt w:val="lowerRoman"/>
      <w:lvlText w:val="%3"/>
      <w:lvlJc w:val="left"/>
      <w:pPr>
        <w:ind w:left="132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3" w:tplc="004CE00A">
      <w:start w:val="1"/>
      <w:numFmt w:val="lowerRoman"/>
      <w:lvlRestart w:val="0"/>
      <w:lvlText w:val="%4)"/>
      <w:lvlJc w:val="left"/>
      <w:pPr>
        <w:ind w:left="1445"/>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4" w:tplc="8ABCD68E">
      <w:start w:val="1"/>
      <w:numFmt w:val="lowerLetter"/>
      <w:lvlText w:val="%5"/>
      <w:lvlJc w:val="left"/>
      <w:pPr>
        <w:ind w:left="252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5" w:tplc="AA2834DA">
      <w:start w:val="1"/>
      <w:numFmt w:val="lowerRoman"/>
      <w:lvlText w:val="%6"/>
      <w:lvlJc w:val="left"/>
      <w:pPr>
        <w:ind w:left="324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6" w:tplc="ECC04980">
      <w:start w:val="1"/>
      <w:numFmt w:val="decimal"/>
      <w:lvlText w:val="%7"/>
      <w:lvlJc w:val="left"/>
      <w:pPr>
        <w:ind w:left="396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7" w:tplc="1E283D2C">
      <w:start w:val="1"/>
      <w:numFmt w:val="lowerLetter"/>
      <w:lvlText w:val="%8"/>
      <w:lvlJc w:val="left"/>
      <w:pPr>
        <w:ind w:left="468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lvl w:ilvl="8" w:tplc="0F488BAC">
      <w:start w:val="1"/>
      <w:numFmt w:val="lowerRoman"/>
      <w:lvlText w:val="%9"/>
      <w:lvlJc w:val="left"/>
      <w:pPr>
        <w:ind w:left="5400"/>
      </w:pPr>
      <w:rPr>
        <w:rFonts w:ascii="Sylfaen" w:eastAsia="Sylfaen" w:hAnsi="Sylfaen" w:cs="Sylfaen"/>
        <w:b w:val="0"/>
        <w:i w:val="0"/>
        <w:strike w:val="0"/>
        <w:dstrike w:val="0"/>
        <w:color w:val="353535"/>
        <w:sz w:val="24"/>
        <w:szCs w:val="24"/>
        <w:u w:val="none" w:color="000000"/>
        <w:bdr w:val="none" w:sz="0" w:space="0" w:color="auto"/>
        <w:shd w:val="clear" w:color="auto" w:fill="auto"/>
        <w:vertAlign w:val="baseline"/>
      </w:rPr>
    </w:lvl>
  </w:abstractNum>
  <w:abstractNum w:abstractNumId="4" w15:restartNumberingAfterBreak="0">
    <w:nsid w:val="2E1C1D68"/>
    <w:multiLevelType w:val="hybridMultilevel"/>
    <w:tmpl w:val="AC5E4432"/>
    <w:lvl w:ilvl="0" w:tplc="7F541A10">
      <w:start w:val="1"/>
      <w:numFmt w:val="bullet"/>
      <w:lvlText w:val="●"/>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C26856A">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A18FB7C">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1A4DBB0">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3B2BB60">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9624946">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B32994A">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29D07E38">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9528ABE2">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D878A4"/>
    <w:multiLevelType w:val="hybridMultilevel"/>
    <w:tmpl w:val="FE4070F6"/>
    <w:lvl w:ilvl="0" w:tplc="281AC7DC">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FF4A530A">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10D4EB70">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A6965766">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43AA3050">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D6A05FA">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932C144">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C4243FC0">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F2B83364">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9E0E62"/>
    <w:multiLevelType w:val="hybridMultilevel"/>
    <w:tmpl w:val="ED1A84EA"/>
    <w:lvl w:ilvl="0" w:tplc="916C70E0">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AC6636D6">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C60BE32">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05944274">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C10ED46">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3F0C4358">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C0066D0">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ADAE9B0E">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0D1A2020">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7F14B3"/>
    <w:multiLevelType w:val="hybridMultilevel"/>
    <w:tmpl w:val="AECC52DE"/>
    <w:lvl w:ilvl="0" w:tplc="78780826">
      <w:start w:val="1"/>
      <w:numFmt w:val="upperLetter"/>
      <w:lvlText w:val="(%1)"/>
      <w:lvlJc w:val="left"/>
      <w:pPr>
        <w:ind w:left="7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1C2876F4">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31883A4">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D48A4392">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BE82F620">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DD409226">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2C54D632">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D72C0AC">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11424EF0">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116405"/>
    <w:multiLevelType w:val="multilevel"/>
    <w:tmpl w:val="D3AACF34"/>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724E5B"/>
    <w:multiLevelType w:val="multilevel"/>
    <w:tmpl w:val="77D471F0"/>
    <w:lvl w:ilvl="0">
      <w:start w:val="1"/>
      <w:numFmt w:val="decimal"/>
      <w:lvlText w:val="%1."/>
      <w:lvlJc w:val="left"/>
      <w:pPr>
        <w:ind w:left="239"/>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D25027"/>
    <w:multiLevelType w:val="hybridMultilevel"/>
    <w:tmpl w:val="5644CEB0"/>
    <w:lvl w:ilvl="0" w:tplc="AB5C9B60">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20885AC0">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0B0E787A">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F987A12">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3ECAE86">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C4AF350">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F1084144">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2C367EC0">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EDBCD706">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F0548BC"/>
    <w:multiLevelType w:val="multilevel"/>
    <w:tmpl w:val="3768ECAE"/>
    <w:lvl w:ilvl="0">
      <w:start w:val="1"/>
      <w:numFmt w:val="decimal"/>
      <w:lvlText w:val="%1."/>
      <w:lvlJc w:val="left"/>
      <w:pPr>
        <w:ind w:left="239"/>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0CD0E99"/>
    <w:multiLevelType w:val="hybridMultilevel"/>
    <w:tmpl w:val="92067EF2"/>
    <w:lvl w:ilvl="0" w:tplc="86981AE2">
      <w:start w:val="1"/>
      <w:numFmt w:val="bullet"/>
      <w:lvlText w:val="●"/>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C65EA9F6">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526398A">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0B6C0BA">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65EE914">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670B3CA">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7F4FD48">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7436C53A">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FA819D0">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D14101"/>
    <w:multiLevelType w:val="hybridMultilevel"/>
    <w:tmpl w:val="1FB6F618"/>
    <w:lvl w:ilvl="0" w:tplc="9C7CDD8A">
      <w:start w:val="1"/>
      <w:numFmt w:val="bullet"/>
      <w:lvlText w:val="●"/>
      <w:lvlJc w:val="left"/>
      <w:pPr>
        <w:ind w:left="67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994CA4A4">
      <w:start w:val="1"/>
      <w:numFmt w:val="bullet"/>
      <w:lvlText w:val="o"/>
      <w:lvlJc w:val="left"/>
      <w:pPr>
        <w:ind w:left="150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A03EFDEA">
      <w:start w:val="1"/>
      <w:numFmt w:val="bullet"/>
      <w:lvlText w:val="▪"/>
      <w:lvlJc w:val="left"/>
      <w:pPr>
        <w:ind w:left="222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AF62E34E">
      <w:start w:val="1"/>
      <w:numFmt w:val="bullet"/>
      <w:lvlText w:val="•"/>
      <w:lvlJc w:val="left"/>
      <w:pPr>
        <w:ind w:left="294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C8D66234">
      <w:start w:val="1"/>
      <w:numFmt w:val="bullet"/>
      <w:lvlText w:val="o"/>
      <w:lvlJc w:val="left"/>
      <w:pPr>
        <w:ind w:left="366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0AA56E6">
      <w:start w:val="1"/>
      <w:numFmt w:val="bullet"/>
      <w:lvlText w:val="▪"/>
      <w:lvlJc w:val="left"/>
      <w:pPr>
        <w:ind w:left="438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48C060BA">
      <w:start w:val="1"/>
      <w:numFmt w:val="bullet"/>
      <w:lvlText w:val="•"/>
      <w:lvlJc w:val="left"/>
      <w:pPr>
        <w:ind w:left="510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1E9478D2">
      <w:start w:val="1"/>
      <w:numFmt w:val="bullet"/>
      <w:lvlText w:val="o"/>
      <w:lvlJc w:val="left"/>
      <w:pPr>
        <w:ind w:left="582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A5E82D26">
      <w:start w:val="1"/>
      <w:numFmt w:val="bullet"/>
      <w:lvlText w:val="▪"/>
      <w:lvlJc w:val="left"/>
      <w:pPr>
        <w:ind w:left="654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D618B7"/>
    <w:multiLevelType w:val="multilevel"/>
    <w:tmpl w:val="9B32375C"/>
    <w:lvl w:ilvl="0">
      <w:start w:val="10"/>
      <w:numFmt w:val="decimal"/>
      <w:lvlText w:val="%1."/>
      <w:lvlJc w:val="left"/>
      <w:pPr>
        <w:ind w:left="35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6F5449D"/>
    <w:multiLevelType w:val="hybridMultilevel"/>
    <w:tmpl w:val="0358B75C"/>
    <w:lvl w:ilvl="0" w:tplc="D26C047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DCBB26">
      <w:start w:val="1"/>
      <w:numFmt w:val="lowerLetter"/>
      <w:lvlText w:val="%2"/>
      <w:lvlJc w:val="left"/>
      <w:pPr>
        <w:ind w:left="1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344130">
      <w:start w:val="1"/>
      <w:numFmt w:val="lowerRoman"/>
      <w:lvlText w:val="%3"/>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3CA96C">
      <w:start w:val="1"/>
      <w:numFmt w:val="decimal"/>
      <w:lvlText w:val="%4"/>
      <w:lvlJc w:val="left"/>
      <w:pPr>
        <w:ind w:left="2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5AD9F8">
      <w:start w:val="1"/>
      <w:numFmt w:val="lowerRoman"/>
      <w:lvlRestart w:val="0"/>
      <w:lvlText w:val="%5."/>
      <w:lvlJc w:val="left"/>
      <w:pPr>
        <w:ind w:left="3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8625E6">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08D48E">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34C7C8">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123D1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8910033"/>
    <w:multiLevelType w:val="multilevel"/>
    <w:tmpl w:val="B6B262CE"/>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CF38EB"/>
    <w:multiLevelType w:val="hybridMultilevel"/>
    <w:tmpl w:val="78CA5ADC"/>
    <w:lvl w:ilvl="0" w:tplc="02C229F4">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CE68EA1E">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06E84AE6">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DAFA296C">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32E245A">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8E07B2C">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204B088">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C7EA00F0">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67EC347C">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822D58"/>
    <w:multiLevelType w:val="hybridMultilevel"/>
    <w:tmpl w:val="86B44C56"/>
    <w:lvl w:ilvl="0" w:tplc="17FEC598">
      <w:start w:val="1"/>
      <w:numFmt w:val="bullet"/>
      <w:lvlText w:val="●"/>
      <w:lvlJc w:val="left"/>
      <w:pPr>
        <w:ind w:left="7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CA2C6D9E">
      <w:start w:val="1"/>
      <w:numFmt w:val="bullet"/>
      <w:lvlText w:val="o"/>
      <w:lvlJc w:val="left"/>
      <w:pPr>
        <w:ind w:left="15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DCA8C304">
      <w:start w:val="1"/>
      <w:numFmt w:val="bullet"/>
      <w:lvlText w:val="▪"/>
      <w:lvlJc w:val="left"/>
      <w:pPr>
        <w:ind w:left="22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9724B5C">
      <w:start w:val="1"/>
      <w:numFmt w:val="bullet"/>
      <w:lvlText w:val="•"/>
      <w:lvlJc w:val="left"/>
      <w:pPr>
        <w:ind w:left="29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5CC8BF4">
      <w:start w:val="1"/>
      <w:numFmt w:val="bullet"/>
      <w:lvlText w:val="o"/>
      <w:lvlJc w:val="left"/>
      <w:pPr>
        <w:ind w:left="370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814CD324">
      <w:start w:val="1"/>
      <w:numFmt w:val="bullet"/>
      <w:lvlText w:val="▪"/>
      <w:lvlJc w:val="left"/>
      <w:pPr>
        <w:ind w:left="44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086E590">
      <w:start w:val="1"/>
      <w:numFmt w:val="bullet"/>
      <w:lvlText w:val="•"/>
      <w:lvlJc w:val="left"/>
      <w:pPr>
        <w:ind w:left="514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539A9976">
      <w:start w:val="1"/>
      <w:numFmt w:val="bullet"/>
      <w:lvlText w:val="o"/>
      <w:lvlJc w:val="left"/>
      <w:pPr>
        <w:ind w:left="586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C074B490">
      <w:start w:val="1"/>
      <w:numFmt w:val="bullet"/>
      <w:lvlText w:val="▪"/>
      <w:lvlJc w:val="left"/>
      <w:pPr>
        <w:ind w:left="658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0608DD"/>
    <w:multiLevelType w:val="multilevel"/>
    <w:tmpl w:val="8466A698"/>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6"/>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7"/>
  </w:num>
  <w:num w:numId="3">
    <w:abstractNumId w:val="11"/>
  </w:num>
  <w:num w:numId="4">
    <w:abstractNumId w:val="8"/>
  </w:num>
  <w:num w:numId="5">
    <w:abstractNumId w:val="16"/>
  </w:num>
  <w:num w:numId="6">
    <w:abstractNumId w:val="19"/>
  </w:num>
  <w:num w:numId="7">
    <w:abstractNumId w:val="14"/>
  </w:num>
  <w:num w:numId="8">
    <w:abstractNumId w:val="1"/>
  </w:num>
  <w:num w:numId="9">
    <w:abstractNumId w:val="3"/>
  </w:num>
  <w:num w:numId="10">
    <w:abstractNumId w:val="15"/>
  </w:num>
  <w:num w:numId="11">
    <w:abstractNumId w:val="2"/>
  </w:num>
  <w:num w:numId="12">
    <w:abstractNumId w:val="13"/>
  </w:num>
  <w:num w:numId="13">
    <w:abstractNumId w:val="6"/>
  </w:num>
  <w:num w:numId="14">
    <w:abstractNumId w:val="17"/>
  </w:num>
  <w:num w:numId="15">
    <w:abstractNumId w:val="18"/>
  </w:num>
  <w:num w:numId="16">
    <w:abstractNumId w:val="5"/>
  </w:num>
  <w:num w:numId="17">
    <w:abstractNumId w:val="0"/>
  </w:num>
  <w:num w:numId="18">
    <w:abstractNumId w:val="4"/>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70"/>
    <w:rsid w:val="00087370"/>
    <w:rsid w:val="0014728F"/>
    <w:rsid w:val="001F3498"/>
    <w:rsid w:val="003B7960"/>
    <w:rsid w:val="00644657"/>
    <w:rsid w:val="00AA5A6F"/>
    <w:rsid w:val="00B76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5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9" w:line="267" w:lineRule="auto"/>
      <w:ind w:left="26" w:hanging="10"/>
    </w:pPr>
    <w:rPr>
      <w:rFonts w:ascii="Sylfaen" w:eastAsia="Sylfaen" w:hAnsi="Sylfaen" w:cs="Sylfaen"/>
      <w:color w:val="000000"/>
      <w:sz w:val="24"/>
    </w:rPr>
  </w:style>
  <w:style w:type="paragraph" w:styleId="Heading1">
    <w:name w:val="heading 1"/>
    <w:next w:val="Normal"/>
    <w:link w:val="Heading1Char"/>
    <w:uiPriority w:val="9"/>
    <w:unhideWhenUsed/>
    <w:qFormat/>
    <w:pPr>
      <w:keepNext/>
      <w:keepLines/>
      <w:spacing w:after="249" w:line="267" w:lineRule="auto"/>
      <w:ind w:left="26" w:hanging="10"/>
      <w:outlineLvl w:val="0"/>
    </w:pPr>
    <w:rPr>
      <w:rFonts w:ascii="Sylfaen" w:eastAsia="Sylfaen" w:hAnsi="Sylfaen" w:cs="Sylfae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ylfaen" w:eastAsia="Sylfaen" w:hAnsi="Sylfaen" w:cs="Sylfaen"/>
      <w:color w:val="000000"/>
      <w:sz w:val="24"/>
    </w:rPr>
  </w:style>
  <w:style w:type="paragraph" w:styleId="TOC1">
    <w:name w:val="toc 1"/>
    <w:hidden/>
    <w:pPr>
      <w:spacing w:after="145"/>
      <w:ind w:left="33" w:right="25" w:hanging="10"/>
    </w:pPr>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5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A6F"/>
    <w:rPr>
      <w:rFonts w:ascii="Sylfaen" w:eastAsia="Sylfaen" w:hAnsi="Sylfaen" w:cs="Sylfae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pni.gov.uk/content/adopt-risk-management-approach" TargetMode="External"/><Relationship Id="rId117" Type="http://schemas.openxmlformats.org/officeDocument/2006/relationships/hyperlink" Target="https://www.gov.uk/guidance/g-cloud-templates-and-legal-documents" TargetMode="External"/><Relationship Id="rId21" Type="http://schemas.openxmlformats.org/officeDocument/2006/relationships/hyperlink" Target="https://www.gov.uk/government/publications/government-security-classifications" TargetMode="External"/><Relationship Id="rId42" Type="http://schemas.openxmlformats.org/officeDocument/2006/relationships/hyperlink" Target="https://www.ncsc.gov.uk/guidance/risk-management-collection" TargetMode="External"/><Relationship Id="rId47" Type="http://schemas.openxmlformats.org/officeDocument/2006/relationships/hyperlink" Target="https://www.ncsc.gov.uk/guidance/risk-management-collection" TargetMode="External"/><Relationship Id="rId63"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ncsc.gov.uk/guidance/implementing-cloud-security-principle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uidance/g-cloud-templates-and-legal-documents" TargetMode="External"/><Relationship Id="rId133" Type="http://schemas.openxmlformats.org/officeDocument/2006/relationships/hyperlink" Target="https://www.gov.uk/guidance/g-cloud-templates-and-legal-documents" TargetMode="External"/><Relationship Id="rId138" Type="http://schemas.openxmlformats.org/officeDocument/2006/relationships/hyperlink" Target="https://www.gov.uk/guidance/g-cloud-templates-and-legal-documents"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guidance/g-cloud-templates-and-legal-documents" TargetMode="External"/><Relationship Id="rId11" Type="http://schemas.openxmlformats.org/officeDocument/2006/relationships/footer" Target="footer3.xm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cpni.gov.uk/protection-sensitive-information-and-assets"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cyber-risk-management-a-board-level-responsibility/10-steps-summary" TargetMode="External"/><Relationship Id="rId79" Type="http://schemas.openxmlformats.org/officeDocument/2006/relationships/hyperlink" Target="https://www.gov.uk/government/publications/cyber-risk-management-a-board-level-responsibility/10-steps-summary"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guidance/g-cloud-templates-and-legal-documents" TargetMode="External"/><Relationship Id="rId128" Type="http://schemas.openxmlformats.org/officeDocument/2006/relationships/hyperlink" Target="https://www.gov.uk/guidance/g-cloud-templates-and-legal-documents" TargetMode="External"/><Relationship Id="rId144" Type="http://schemas.openxmlformats.org/officeDocument/2006/relationships/hyperlink" Target="http://tools.hmrc.gov.uk/esi"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gov.uk/government/publications/cyber-risk-management-a-board-level-responsibility/10-steps-summary"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ncsc.gov.uk/guidance/risk-management-collection" TargetMode="External"/><Relationship Id="rId48" Type="http://schemas.openxmlformats.org/officeDocument/2006/relationships/hyperlink" Target="https://www.cesg.gov.uk/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guidance/g-cloud-templates-and-legal-documents" TargetMode="External"/><Relationship Id="rId118" Type="http://schemas.openxmlformats.org/officeDocument/2006/relationships/hyperlink" Target="https://www.gov.uk/guidance/g-cloud-templates-and-legal-documents" TargetMode="External"/><Relationship Id="rId134" Type="http://schemas.openxmlformats.org/officeDocument/2006/relationships/hyperlink" Target="https://www.gov.uk/guidance/g-cloud-templates-and-legal-documents" TargetMode="External"/><Relationship Id="rId139" Type="http://schemas.openxmlformats.org/officeDocument/2006/relationships/hyperlink" Target="https://www.gov.uk/guidance/g-cloud-templates-and-legal-documents" TargetMode="External"/><Relationship Id="rId80" Type="http://schemas.openxmlformats.org/officeDocument/2006/relationships/hyperlink" Target="https://www.gov.uk/government/publications/cyber-risk-management-a-board-level-responsibility/10-steps-summary"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footer" Target="footer4.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ncsc.gov.uk/guidance/10-steps-cyber-security" TargetMode="External"/><Relationship Id="rId108" Type="http://schemas.openxmlformats.org/officeDocument/2006/relationships/hyperlink" Target="https://www.gov.uk/guidance/g-cloud-templates-and-legal-documents" TargetMode="External"/><Relationship Id="rId124" Type="http://schemas.openxmlformats.org/officeDocument/2006/relationships/hyperlink" Target="https://www.gov.uk/guidance/g-cloud-templates-and-legal-documents" TargetMode="External"/><Relationship Id="rId129" Type="http://schemas.openxmlformats.org/officeDocument/2006/relationships/hyperlink" Target="https://www.gov.uk/guidance/g-cloud-templates-and-legal-documents" TargetMode="External"/><Relationship Id="rId54" Type="http://schemas.openxmlformats.org/officeDocument/2006/relationships/hyperlink" Target="https://www.gov.uk/government/publications/technology-code-of-practice/technology-code-of-practice"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cyber-risk-management-a-board-level-responsibility/10-steps-summary"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gov.uk/government/publications/cyber-risk-management-a-board-level-responsibility/10-steps-summary" TargetMode="External"/><Relationship Id="rId140" Type="http://schemas.openxmlformats.org/officeDocument/2006/relationships/hyperlink" Target="https://www.gov.uk/guidance/g-cloud-templates-and-legal-documents" TargetMode="External"/><Relationship Id="rId145" Type="http://schemas.openxmlformats.org/officeDocument/2006/relationships/hyperlink" Target="http://tools.hmrc.gov.uk/esi"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cesg.gov.uk/risk-management-collection" TargetMode="External"/><Relationship Id="rId114" Type="http://schemas.openxmlformats.org/officeDocument/2006/relationships/hyperlink" Target="https://www.gov.uk/guidance/g-cloud-templates-and-legal-documents" TargetMode="External"/><Relationship Id="rId119" Type="http://schemas.openxmlformats.org/officeDocument/2006/relationships/hyperlink" Target="https://www.gov.uk/guidance/g-cloud-templates-and-legal-documents" TargetMode="External"/><Relationship Id="rId10" Type="http://schemas.openxmlformats.org/officeDocument/2006/relationships/footer" Target="footer2.xml"/><Relationship Id="rId31" Type="http://schemas.openxmlformats.org/officeDocument/2006/relationships/hyperlink" Target="https://www.cpni.gov.uk/content/adopt-risk-management-approach" TargetMode="External"/><Relationship Id="rId44" Type="http://schemas.openxmlformats.org/officeDocument/2006/relationships/hyperlink" Target="https://www.ncsc.gov.uk/guidance/risk-management-collection"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cyber-risk-management-a-board-level-responsibility/10-steps-summary"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guidance/g-cloud-templates-and-legal-documents" TargetMode="External"/><Relationship Id="rId130" Type="http://schemas.openxmlformats.org/officeDocument/2006/relationships/hyperlink" Target="https://www.gov.uk/guidance/g-cloud-templates-and-legal-documents" TargetMode="External"/><Relationship Id="rId135" Type="http://schemas.openxmlformats.org/officeDocument/2006/relationships/hyperlink" Target="https://www.gov.uk/guidance/g-cloud-templates-and-legal-documents" TargetMode="External"/><Relationship Id="rId143" Type="http://schemas.openxmlformats.org/officeDocument/2006/relationships/hyperlink" Target="https://www.digitalmarketplace.service.gov.uk/" TargetMode="External"/><Relationship Id="rId148"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hyperlink" Target="https://www.gov.uk/service-manual/agile-delivery/spend-controls-check-if-you-need-approval-to-spend-money-on-a-service" TargetMode="External"/><Relationship Id="rId180" Type="http://schemas.openxmlformats.org/officeDocument/2006/relationships/theme" Target="theme/theme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government-security-classifications"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guidance/g-cloud-templates-and-legal-documents"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cesg.gov.uk/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cyber-risk-management-a-board-level-responsibility/10-steps-summary"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ncsc.gov.uk/guidance/10-steps-cyber-security" TargetMode="External"/><Relationship Id="rId120" Type="http://schemas.openxmlformats.org/officeDocument/2006/relationships/hyperlink" Target="https://www.gov.uk/guidance/g-cloud-templates-and-legal-documents" TargetMode="External"/><Relationship Id="rId125" Type="http://schemas.openxmlformats.org/officeDocument/2006/relationships/hyperlink" Target="https://www.gov.uk/guidance/g-cloud-templates-and-legal-documents" TargetMode="External"/><Relationship Id="rId141" Type="http://schemas.openxmlformats.org/officeDocument/2006/relationships/hyperlink" Target="https://www.digitalmarketplace.service.gov.uk/"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guidance/risk-management-collection" TargetMode="External"/><Relationship Id="rId66" Type="http://schemas.openxmlformats.org/officeDocument/2006/relationships/hyperlink" Target="https://www.ncsc.gov.uk/guidance/implementing-cloud-security-principle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uidance/g-cloud-templates-and-legal-documents" TargetMode="External"/><Relationship Id="rId115" Type="http://schemas.openxmlformats.org/officeDocument/2006/relationships/hyperlink" Target="https://www.gov.uk/guidance/g-cloud-templates-and-legal-documents" TargetMode="External"/><Relationship Id="rId131" Type="http://schemas.openxmlformats.org/officeDocument/2006/relationships/hyperlink" Target="https://www.gov.uk/guidance/g-cloud-templates-and-legal-documents" TargetMode="External"/><Relationship Id="rId136" Type="http://schemas.openxmlformats.org/officeDocument/2006/relationships/hyperlink" Target="https://www.gov.uk/guidance/g-cloud-templates-and-legal-documents"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footer" Target="footer6.xm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government-security-classifications"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cyber-risk-management-a-board-level-responsibility/10-steps-summary"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gov.uk/guidance/g-cloud-templates-and-legal-documents" TargetMode="External"/><Relationship Id="rId126" Type="http://schemas.openxmlformats.org/officeDocument/2006/relationships/hyperlink" Target="https://www.gov.uk/guidance/g-cloud-templates-and-legal-documents"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header" Target="header1.xml"/><Relationship Id="rId51" Type="http://schemas.openxmlformats.org/officeDocument/2006/relationships/hyperlink" Target="https://www.cesg.gov.uk/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guidance/g-cloud-templates-and-legal-documents" TargetMode="External"/><Relationship Id="rId142" Type="http://schemas.openxmlformats.org/officeDocument/2006/relationships/hyperlink" Target="https://www.digitalmarketplace.service.gov.uk/"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ncsc.gov.uk/guidance/risk-management-collection" TargetMode="External"/><Relationship Id="rId67" Type="http://schemas.openxmlformats.org/officeDocument/2006/relationships/hyperlink" Target="https://www.ncsc.gov.uk/guidance/implementing-cloud-security-principles" TargetMode="External"/><Relationship Id="rId116" Type="http://schemas.openxmlformats.org/officeDocument/2006/relationships/hyperlink" Target="https://www.gov.uk/guidance/g-cloud-templates-and-legal-documents" TargetMode="External"/><Relationship Id="rId137" Type="http://schemas.openxmlformats.org/officeDocument/2006/relationships/hyperlink" Target="https://www.gov.uk/guidance/g-cloud-templates-and-legal-documents"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government-security-classifications"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uidance/g-cloud-templates-and-legal-documents" TargetMode="External"/><Relationship Id="rId132" Type="http://schemas.openxmlformats.org/officeDocument/2006/relationships/hyperlink" Target="https://www.gov.uk/guidance/g-cloud-templates-and-legal-documents"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fontTable" Target="fontTable.xm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s://www.gov.uk/guidance/g-cloud-templates-and-legal-documents" TargetMode="External"/><Relationship Id="rId127" Type="http://schemas.openxmlformats.org/officeDocument/2006/relationships/hyperlink" Target="https://www.gov.uk/guidance/g-cloud-templates-and-legal-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14171</Words>
  <Characters>80779</Characters>
  <Application>Microsoft Office Word</Application>
  <DocSecurity>0</DocSecurity>
  <Lines>673</Lines>
  <Paragraphs>189</Paragraphs>
  <ScaleCrop>false</ScaleCrop>
  <Company/>
  <LinksUpToDate>false</LinksUpToDate>
  <CharactersWithSpaces>94761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2018-11-01T13:40:00Z</dcterms:created>
  <dcterms:modified xsi:type="dcterms:W3CDTF">2018-11-01T13:40:00Z</dcterms:modified>
</cp:coreProperties>
</file>