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5BBA9" w14:textId="46F892D2" w:rsidR="004E4967" w:rsidRDefault="537EA437" w:rsidP="00FE18AC">
      <w:pPr>
        <w:pStyle w:val="bodystrongcentred"/>
      </w:pPr>
      <w:r>
        <w:rPr>
          <w:noProof/>
        </w:rPr>
        <w:drawing>
          <wp:inline distT="0" distB="0" distL="0" distR="0" wp14:anchorId="2DC8C6E4" wp14:editId="6BC94A98">
            <wp:extent cx="2692527" cy="1160998"/>
            <wp:effectExtent l="0" t="0" r="0" b="0"/>
            <wp:docPr id="430802822" name="Picture 430802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2692527" cy="1160998"/>
                    </a:xfrm>
                    <a:prstGeom prst="rect">
                      <a:avLst/>
                    </a:prstGeom>
                  </pic:spPr>
                </pic:pic>
              </a:graphicData>
            </a:graphic>
          </wp:inline>
        </w:drawing>
      </w:r>
    </w:p>
    <w:p w14:paraId="00E71863" w14:textId="77777777" w:rsidR="004E4967" w:rsidRDefault="004E4967" w:rsidP="00FE18AC">
      <w:pPr>
        <w:pStyle w:val="bodystrongcentred"/>
      </w:pPr>
    </w:p>
    <w:p w14:paraId="423A1945" w14:textId="77777777" w:rsidR="004E4967" w:rsidRDefault="004E4967" w:rsidP="00FE18AC">
      <w:pPr>
        <w:pStyle w:val="bodystrongcentred"/>
      </w:pPr>
    </w:p>
    <w:p w14:paraId="6FC5DBD4" w14:textId="77777777" w:rsidR="004E4967" w:rsidRDefault="004E4967" w:rsidP="00FE18AC">
      <w:pPr>
        <w:pStyle w:val="bodystrongcentred"/>
      </w:pPr>
    </w:p>
    <w:p w14:paraId="582ECAA5" w14:textId="77777777" w:rsidR="004E4967" w:rsidRDefault="004E4967" w:rsidP="00FE18AC">
      <w:pPr>
        <w:pStyle w:val="bodystrongcentred"/>
      </w:pPr>
    </w:p>
    <w:p w14:paraId="4BEDA825" w14:textId="77777777" w:rsidR="004E4967" w:rsidRDefault="004E4967" w:rsidP="00FE18AC">
      <w:pPr>
        <w:pStyle w:val="bodystrongcentred"/>
      </w:pPr>
    </w:p>
    <w:p w14:paraId="198730C0" w14:textId="77777777" w:rsidR="004E4967" w:rsidRDefault="004E4967" w:rsidP="00FE18AC">
      <w:pPr>
        <w:pStyle w:val="bodystrongcentred"/>
      </w:pPr>
    </w:p>
    <w:p w14:paraId="19453A76" w14:textId="77777777" w:rsidR="001478C6" w:rsidRDefault="004E4967" w:rsidP="00FE18AC">
      <w:pPr>
        <w:pStyle w:val="bodystrongcentred"/>
        <w:rPr>
          <w:sz w:val="40"/>
          <w:szCs w:val="40"/>
        </w:rPr>
      </w:pPr>
      <w:r w:rsidRPr="004E4967">
        <w:rPr>
          <w:sz w:val="40"/>
          <w:szCs w:val="40"/>
        </w:rPr>
        <w:t xml:space="preserve">Authority: </w:t>
      </w:r>
    </w:p>
    <w:p w14:paraId="43425A63" w14:textId="14FF17EA" w:rsidR="007A77DF" w:rsidRDefault="004E4967" w:rsidP="00FE18AC">
      <w:pPr>
        <w:pStyle w:val="bodystrongcentred"/>
        <w:rPr>
          <w:sz w:val="40"/>
          <w:szCs w:val="40"/>
        </w:rPr>
      </w:pPr>
      <w:r w:rsidRPr="004E4967">
        <w:rPr>
          <w:sz w:val="40"/>
          <w:szCs w:val="40"/>
        </w:rPr>
        <w:t xml:space="preserve">The Secretary of State for the </w:t>
      </w:r>
    </w:p>
    <w:p w14:paraId="4DEFA2C0" w14:textId="386985E4" w:rsidR="004E4967" w:rsidRPr="004E4967" w:rsidRDefault="004E4967" w:rsidP="00FE18AC">
      <w:pPr>
        <w:pStyle w:val="bodystrongcentred"/>
        <w:rPr>
          <w:sz w:val="40"/>
          <w:szCs w:val="40"/>
        </w:rPr>
      </w:pPr>
      <w:r w:rsidRPr="004E4967">
        <w:rPr>
          <w:sz w:val="40"/>
          <w:szCs w:val="40"/>
        </w:rPr>
        <w:t xml:space="preserve">Home Department </w:t>
      </w:r>
    </w:p>
    <w:p w14:paraId="6FA18110" w14:textId="21E12AD1" w:rsidR="004E4967" w:rsidRDefault="004E4967" w:rsidP="00FE18AC">
      <w:pPr>
        <w:pStyle w:val="bodystrongcentred"/>
      </w:pPr>
    </w:p>
    <w:p w14:paraId="4212F6B0" w14:textId="77777777" w:rsidR="004E4967" w:rsidRDefault="004E4967" w:rsidP="00FE18AC">
      <w:pPr>
        <w:pStyle w:val="bodystrongcentred"/>
        <w:rPr>
          <w:sz w:val="48"/>
          <w:szCs w:val="48"/>
        </w:rPr>
      </w:pPr>
    </w:p>
    <w:p w14:paraId="332E1850" w14:textId="77777777" w:rsidR="004E4967" w:rsidRDefault="004E4967" w:rsidP="00FE18AC">
      <w:pPr>
        <w:pStyle w:val="bodystrongcentred"/>
        <w:rPr>
          <w:sz w:val="48"/>
          <w:szCs w:val="48"/>
        </w:rPr>
      </w:pPr>
    </w:p>
    <w:p w14:paraId="56344BE5" w14:textId="5C078463" w:rsidR="004E4967" w:rsidRPr="004E4967" w:rsidRDefault="001478C6" w:rsidP="00FE18AC">
      <w:pPr>
        <w:pStyle w:val="bodystrongcentred"/>
        <w:rPr>
          <w:sz w:val="48"/>
          <w:szCs w:val="48"/>
        </w:rPr>
      </w:pPr>
      <w:r>
        <w:rPr>
          <w:sz w:val="48"/>
          <w:szCs w:val="48"/>
        </w:rPr>
        <w:t>ASB</w:t>
      </w:r>
      <w:r w:rsidR="00103509">
        <w:rPr>
          <w:sz w:val="48"/>
          <w:szCs w:val="48"/>
        </w:rPr>
        <w:t xml:space="preserve"> </w:t>
      </w:r>
      <w:r w:rsidR="004E4967" w:rsidRPr="004E4967">
        <w:rPr>
          <w:sz w:val="48"/>
          <w:szCs w:val="48"/>
        </w:rPr>
        <w:t>Hot</w:t>
      </w:r>
      <w:r w:rsidR="000074EA">
        <w:rPr>
          <w:sz w:val="48"/>
          <w:szCs w:val="48"/>
        </w:rPr>
        <w:t>-</w:t>
      </w:r>
      <w:r w:rsidR="00F41A28">
        <w:rPr>
          <w:sz w:val="48"/>
          <w:szCs w:val="48"/>
        </w:rPr>
        <w:t>S</w:t>
      </w:r>
      <w:r w:rsidR="004E4967" w:rsidRPr="004E4967">
        <w:rPr>
          <w:sz w:val="48"/>
          <w:szCs w:val="48"/>
        </w:rPr>
        <w:t xml:space="preserve">pot Response Fund – Evaluation </w:t>
      </w:r>
    </w:p>
    <w:p w14:paraId="48B3422D" w14:textId="1FFE85C0" w:rsidR="004E4967" w:rsidRDefault="004E4967" w:rsidP="00FE18AC">
      <w:pPr>
        <w:pStyle w:val="bodystrongcentred"/>
      </w:pPr>
    </w:p>
    <w:p w14:paraId="3A3A1B60" w14:textId="77777777" w:rsidR="004E4967" w:rsidRDefault="004E4967" w:rsidP="00FE18AC">
      <w:pPr>
        <w:pStyle w:val="bodystrongcentred"/>
        <w:rPr>
          <w:sz w:val="40"/>
          <w:szCs w:val="40"/>
        </w:rPr>
      </w:pPr>
    </w:p>
    <w:p w14:paraId="5D6402FA" w14:textId="77777777" w:rsidR="004E4967" w:rsidRDefault="004E4967" w:rsidP="00FE18AC">
      <w:pPr>
        <w:pStyle w:val="bodystrongcentred"/>
        <w:rPr>
          <w:sz w:val="40"/>
          <w:szCs w:val="40"/>
        </w:rPr>
      </w:pPr>
    </w:p>
    <w:p w14:paraId="025DE295" w14:textId="6D97389E" w:rsidR="004E4967" w:rsidRPr="004E4967" w:rsidRDefault="004E4967" w:rsidP="00FE18AC">
      <w:pPr>
        <w:pStyle w:val="bodystrongcentred"/>
        <w:rPr>
          <w:sz w:val="40"/>
          <w:szCs w:val="40"/>
        </w:rPr>
      </w:pPr>
      <w:r w:rsidRPr="004E4967">
        <w:rPr>
          <w:sz w:val="40"/>
          <w:szCs w:val="40"/>
        </w:rPr>
        <w:t>Request for Proposal (RFP)</w:t>
      </w:r>
    </w:p>
    <w:p w14:paraId="4110245F" w14:textId="23502A81" w:rsidR="004E4967" w:rsidRPr="004E4967" w:rsidRDefault="004E4967" w:rsidP="00FE18AC">
      <w:pPr>
        <w:pStyle w:val="bodystrongcentred"/>
        <w:rPr>
          <w:sz w:val="40"/>
          <w:szCs w:val="40"/>
        </w:rPr>
      </w:pPr>
    </w:p>
    <w:p w14:paraId="557B501C" w14:textId="4281CDB1" w:rsidR="004E4967" w:rsidRPr="004E4967" w:rsidRDefault="004E4967" w:rsidP="00FE18AC">
      <w:pPr>
        <w:pStyle w:val="bodystrongcentred"/>
        <w:rPr>
          <w:sz w:val="40"/>
          <w:szCs w:val="40"/>
        </w:rPr>
      </w:pPr>
      <w:r w:rsidRPr="004E4967">
        <w:rPr>
          <w:sz w:val="40"/>
          <w:szCs w:val="40"/>
        </w:rPr>
        <w:t xml:space="preserve">Statement of Requirements </w:t>
      </w:r>
    </w:p>
    <w:p w14:paraId="20ECE3E9" w14:textId="77777777" w:rsidR="004E4967" w:rsidRDefault="004E4967" w:rsidP="00FE18AC">
      <w:pPr>
        <w:pStyle w:val="bodystrongcentred"/>
      </w:pPr>
    </w:p>
    <w:p w14:paraId="275018F8" w14:textId="77777777" w:rsidR="004E4967" w:rsidRDefault="004E4967" w:rsidP="00FE18AC">
      <w:pPr>
        <w:pStyle w:val="bodystrongcentred"/>
      </w:pPr>
    </w:p>
    <w:p w14:paraId="4F885B95" w14:textId="77777777" w:rsidR="004E4967" w:rsidRDefault="004E4967" w:rsidP="00FE18AC">
      <w:pPr>
        <w:pStyle w:val="bodystrongcentred"/>
      </w:pPr>
    </w:p>
    <w:p w14:paraId="34022F74" w14:textId="77777777" w:rsidR="004E4967" w:rsidRDefault="004E4967" w:rsidP="00FE18AC">
      <w:pPr>
        <w:pStyle w:val="bodystrongcentred"/>
      </w:pPr>
    </w:p>
    <w:p w14:paraId="74291290" w14:textId="77777777" w:rsidR="004E4967" w:rsidRDefault="004E4967" w:rsidP="00FE18AC">
      <w:pPr>
        <w:pStyle w:val="bodystrongcentred"/>
      </w:pPr>
    </w:p>
    <w:p w14:paraId="0999A916" w14:textId="77777777" w:rsidR="004E4967" w:rsidRDefault="004E4967" w:rsidP="00FE18AC">
      <w:pPr>
        <w:pStyle w:val="bodystrongcentred"/>
      </w:pPr>
    </w:p>
    <w:p w14:paraId="65551D2F" w14:textId="77777777" w:rsidR="004E4967" w:rsidRDefault="004E4967" w:rsidP="00FE18AC">
      <w:pPr>
        <w:pStyle w:val="bodystrongcentred"/>
      </w:pPr>
    </w:p>
    <w:p w14:paraId="6E985A83" w14:textId="77777777" w:rsidR="004E4967" w:rsidRDefault="004E4967" w:rsidP="00FE18AC">
      <w:pPr>
        <w:pStyle w:val="bodystrongcentred"/>
      </w:pPr>
    </w:p>
    <w:p w14:paraId="441C0325" w14:textId="77777777" w:rsidR="004E4967" w:rsidRDefault="004E4967" w:rsidP="00FE18AC">
      <w:pPr>
        <w:pStyle w:val="bodystrongcentred"/>
      </w:pPr>
    </w:p>
    <w:p w14:paraId="11F3BC94" w14:textId="77777777" w:rsidR="004E4967" w:rsidRDefault="004E4967" w:rsidP="00FE18AC">
      <w:pPr>
        <w:pStyle w:val="bodystrongcentred"/>
      </w:pPr>
    </w:p>
    <w:p w14:paraId="760441A6" w14:textId="77777777" w:rsidR="004E4967" w:rsidRDefault="004E4967" w:rsidP="00FE18AC">
      <w:pPr>
        <w:pStyle w:val="bodystrongcentred"/>
      </w:pPr>
    </w:p>
    <w:p w14:paraId="60129D07" w14:textId="77777777" w:rsidR="004E4967" w:rsidRDefault="004E4967" w:rsidP="00FE18AC">
      <w:pPr>
        <w:pStyle w:val="bodystrongcentred"/>
      </w:pPr>
    </w:p>
    <w:p w14:paraId="52560BCB" w14:textId="77777777" w:rsidR="004E4967" w:rsidRDefault="004E4967" w:rsidP="00FE18AC">
      <w:pPr>
        <w:pStyle w:val="bodystrongcentred"/>
      </w:pPr>
    </w:p>
    <w:p w14:paraId="48E087FB" w14:textId="77777777" w:rsidR="004E4967" w:rsidRDefault="004E4967" w:rsidP="00FE18AC">
      <w:pPr>
        <w:pStyle w:val="bodystrongcentred"/>
      </w:pPr>
    </w:p>
    <w:p w14:paraId="2E6F5873" w14:textId="77777777" w:rsidR="004E4967" w:rsidRDefault="004E4967" w:rsidP="00FE18AC">
      <w:pPr>
        <w:pStyle w:val="bodystrongcentred"/>
      </w:pPr>
    </w:p>
    <w:p w14:paraId="3A837B60" w14:textId="77777777" w:rsidR="004E4967" w:rsidRDefault="004E4967" w:rsidP="00FE18AC">
      <w:pPr>
        <w:pStyle w:val="bodystrongcentred"/>
      </w:pPr>
    </w:p>
    <w:p w14:paraId="48CE73CB" w14:textId="77777777" w:rsidR="004E4967" w:rsidRDefault="004E4967" w:rsidP="00FE18AC">
      <w:pPr>
        <w:pStyle w:val="bodystrongcentred"/>
      </w:pPr>
    </w:p>
    <w:p w14:paraId="4AE18817" w14:textId="77777777" w:rsidR="004E4967" w:rsidRDefault="004E4967" w:rsidP="00FE18AC">
      <w:pPr>
        <w:pStyle w:val="bodystrongcentred"/>
      </w:pPr>
    </w:p>
    <w:p w14:paraId="21C35CD1" w14:textId="77777777" w:rsidR="004E4967" w:rsidRDefault="004E4967" w:rsidP="00FE18AC">
      <w:pPr>
        <w:pStyle w:val="bodystrongcentred"/>
      </w:pPr>
    </w:p>
    <w:p w14:paraId="5C12F8B6" w14:textId="77777777" w:rsidR="004E4967" w:rsidRDefault="004E4967" w:rsidP="00002580">
      <w:pPr>
        <w:pStyle w:val="bodystrongcentred"/>
        <w:jc w:val="left"/>
      </w:pPr>
    </w:p>
    <w:p w14:paraId="4629CC53" w14:textId="77777777" w:rsidR="004E4967" w:rsidRDefault="004E4967" w:rsidP="00FE18AC">
      <w:pPr>
        <w:pStyle w:val="bodystrongcentred"/>
      </w:pPr>
    </w:p>
    <w:p w14:paraId="5AB6D22B" w14:textId="77777777" w:rsidR="004E4967" w:rsidRDefault="004E4967" w:rsidP="00FE18AC">
      <w:pPr>
        <w:pStyle w:val="bodystrongcentred"/>
      </w:pPr>
    </w:p>
    <w:p w14:paraId="52111C44" w14:textId="32A9A2A6" w:rsidR="00FE18AC" w:rsidRDefault="00FE18AC" w:rsidP="00FE18AC">
      <w:pPr>
        <w:pStyle w:val="bodystrongcentred"/>
      </w:pPr>
      <w:r>
        <w:t>CONTENTS</w:t>
      </w:r>
    </w:p>
    <w:p w14:paraId="757634AA" w14:textId="77777777" w:rsidR="00FE18AC" w:rsidRDefault="00FE18AC" w:rsidP="00FE18AC"/>
    <w:p w14:paraId="658CDF11" w14:textId="7E41B9A1" w:rsidR="00E83049" w:rsidRDefault="00E10E97">
      <w:pPr>
        <w:pStyle w:val="TOC1"/>
        <w:rPr>
          <w:rFonts w:asciiTheme="minorHAnsi" w:eastAsiaTheme="minorEastAsia" w:hAnsiTheme="minorHAnsi" w:cstheme="minorBidi"/>
          <w:caps w:val="0"/>
          <w:noProof/>
          <w:szCs w:val="22"/>
          <w:lang w:eastAsia="en-GB"/>
        </w:rPr>
      </w:pPr>
      <w:r w:rsidRPr="00FA5229">
        <w:rPr>
          <w:rFonts w:cs="Arial"/>
          <w:caps w:val="0"/>
        </w:rPr>
        <w:fldChar w:fldCharType="begin"/>
      </w:r>
      <w:r w:rsidR="00FE18AC" w:rsidRPr="00FA5229">
        <w:rPr>
          <w:rFonts w:cs="Arial"/>
          <w:caps w:val="0"/>
        </w:rPr>
        <w:instrText xml:space="preserve"> TOC \o "1-1" \h \z \u </w:instrText>
      </w:r>
      <w:r w:rsidRPr="00FA5229">
        <w:rPr>
          <w:rFonts w:cs="Arial"/>
          <w:caps w:val="0"/>
        </w:rPr>
        <w:fldChar w:fldCharType="separate"/>
      </w:r>
      <w:hyperlink w:anchor="_Toc159329809" w:history="1">
        <w:r w:rsidR="00E83049" w:rsidRPr="00DF3F91">
          <w:rPr>
            <w:rStyle w:val="Hyperlink"/>
            <w:noProof/>
          </w:rPr>
          <w:t>1.</w:t>
        </w:r>
        <w:r w:rsidR="00E83049">
          <w:rPr>
            <w:rFonts w:asciiTheme="minorHAnsi" w:eastAsiaTheme="minorEastAsia" w:hAnsiTheme="minorHAnsi" w:cstheme="minorBidi"/>
            <w:caps w:val="0"/>
            <w:noProof/>
            <w:szCs w:val="22"/>
            <w:lang w:eastAsia="en-GB"/>
          </w:rPr>
          <w:tab/>
        </w:r>
        <w:r w:rsidR="00E83049" w:rsidRPr="00DF3F91">
          <w:rPr>
            <w:rStyle w:val="Hyperlink"/>
            <w:noProof/>
          </w:rPr>
          <w:t>PURPOSE</w:t>
        </w:r>
        <w:r w:rsidR="00E83049">
          <w:rPr>
            <w:noProof/>
            <w:webHidden/>
          </w:rPr>
          <w:tab/>
        </w:r>
        <w:r w:rsidR="00E83049">
          <w:rPr>
            <w:noProof/>
            <w:webHidden/>
          </w:rPr>
          <w:fldChar w:fldCharType="begin"/>
        </w:r>
        <w:r w:rsidR="00E83049">
          <w:rPr>
            <w:noProof/>
            <w:webHidden/>
          </w:rPr>
          <w:instrText xml:space="preserve"> PAGEREF _Toc159329809 \h </w:instrText>
        </w:r>
        <w:r w:rsidR="00E83049">
          <w:rPr>
            <w:noProof/>
            <w:webHidden/>
          </w:rPr>
        </w:r>
        <w:r w:rsidR="00E83049">
          <w:rPr>
            <w:noProof/>
            <w:webHidden/>
          </w:rPr>
          <w:fldChar w:fldCharType="separate"/>
        </w:r>
        <w:r w:rsidR="00F6047B">
          <w:rPr>
            <w:noProof/>
            <w:webHidden/>
          </w:rPr>
          <w:t>3</w:t>
        </w:r>
        <w:r w:rsidR="00E83049">
          <w:rPr>
            <w:noProof/>
            <w:webHidden/>
          </w:rPr>
          <w:fldChar w:fldCharType="end"/>
        </w:r>
      </w:hyperlink>
    </w:p>
    <w:p w14:paraId="6856881C" w14:textId="3388EAE8" w:rsidR="00E83049" w:rsidRDefault="001105EA">
      <w:pPr>
        <w:pStyle w:val="TOC1"/>
        <w:rPr>
          <w:rFonts w:asciiTheme="minorHAnsi" w:eastAsiaTheme="minorEastAsia" w:hAnsiTheme="minorHAnsi" w:cstheme="minorBidi"/>
          <w:caps w:val="0"/>
          <w:noProof/>
          <w:szCs w:val="22"/>
          <w:lang w:eastAsia="en-GB"/>
        </w:rPr>
      </w:pPr>
      <w:hyperlink w:anchor="_Toc159329810" w:history="1">
        <w:r w:rsidR="00E83049" w:rsidRPr="00DF3F91">
          <w:rPr>
            <w:rStyle w:val="Hyperlink"/>
            <w:noProof/>
          </w:rPr>
          <w:t>2.</w:t>
        </w:r>
        <w:r w:rsidR="00E83049">
          <w:rPr>
            <w:rFonts w:asciiTheme="minorHAnsi" w:eastAsiaTheme="minorEastAsia" w:hAnsiTheme="minorHAnsi" w:cstheme="minorBidi"/>
            <w:caps w:val="0"/>
            <w:noProof/>
            <w:szCs w:val="22"/>
            <w:lang w:eastAsia="en-GB"/>
          </w:rPr>
          <w:tab/>
        </w:r>
        <w:r w:rsidR="00E83049" w:rsidRPr="00DF3F91">
          <w:rPr>
            <w:rStyle w:val="Hyperlink"/>
            <w:noProof/>
          </w:rPr>
          <w:t>BACKGROUND TO THE CONTRACTING aUTHORITY</w:t>
        </w:r>
        <w:r w:rsidR="00E83049">
          <w:rPr>
            <w:noProof/>
            <w:webHidden/>
          </w:rPr>
          <w:tab/>
        </w:r>
        <w:r w:rsidR="00E83049">
          <w:rPr>
            <w:noProof/>
            <w:webHidden/>
          </w:rPr>
          <w:fldChar w:fldCharType="begin"/>
        </w:r>
        <w:r w:rsidR="00E83049">
          <w:rPr>
            <w:noProof/>
            <w:webHidden/>
          </w:rPr>
          <w:instrText xml:space="preserve"> PAGEREF _Toc159329810 \h </w:instrText>
        </w:r>
        <w:r w:rsidR="00E83049">
          <w:rPr>
            <w:noProof/>
            <w:webHidden/>
          </w:rPr>
        </w:r>
        <w:r w:rsidR="00E83049">
          <w:rPr>
            <w:noProof/>
            <w:webHidden/>
          </w:rPr>
          <w:fldChar w:fldCharType="separate"/>
        </w:r>
        <w:r w:rsidR="00F6047B">
          <w:rPr>
            <w:noProof/>
            <w:webHidden/>
          </w:rPr>
          <w:t>3</w:t>
        </w:r>
        <w:r w:rsidR="00E83049">
          <w:rPr>
            <w:noProof/>
            <w:webHidden/>
          </w:rPr>
          <w:fldChar w:fldCharType="end"/>
        </w:r>
      </w:hyperlink>
    </w:p>
    <w:p w14:paraId="5AB07A74" w14:textId="5BDFDDEB" w:rsidR="00E83049" w:rsidRDefault="001105EA">
      <w:pPr>
        <w:pStyle w:val="TOC1"/>
        <w:rPr>
          <w:rFonts w:asciiTheme="minorHAnsi" w:eastAsiaTheme="minorEastAsia" w:hAnsiTheme="minorHAnsi" w:cstheme="minorBidi"/>
          <w:caps w:val="0"/>
          <w:noProof/>
          <w:szCs w:val="22"/>
          <w:lang w:eastAsia="en-GB"/>
        </w:rPr>
      </w:pPr>
      <w:hyperlink w:anchor="_Toc159329811" w:history="1">
        <w:r w:rsidR="00E83049" w:rsidRPr="00DF3F91">
          <w:rPr>
            <w:rStyle w:val="Hyperlink"/>
            <w:noProof/>
          </w:rPr>
          <w:t>3.</w:t>
        </w:r>
        <w:r w:rsidR="00E83049">
          <w:rPr>
            <w:rFonts w:asciiTheme="minorHAnsi" w:eastAsiaTheme="minorEastAsia" w:hAnsiTheme="minorHAnsi" w:cstheme="minorBidi"/>
            <w:caps w:val="0"/>
            <w:noProof/>
            <w:szCs w:val="22"/>
            <w:lang w:eastAsia="en-GB"/>
          </w:rPr>
          <w:tab/>
        </w:r>
        <w:r w:rsidR="00E83049" w:rsidRPr="00DF3F91">
          <w:rPr>
            <w:rStyle w:val="Hyperlink"/>
            <w:noProof/>
          </w:rPr>
          <w:t>Background to requirement/OVERVIEW of requirement</w:t>
        </w:r>
        <w:r w:rsidR="00E83049">
          <w:rPr>
            <w:noProof/>
            <w:webHidden/>
          </w:rPr>
          <w:tab/>
        </w:r>
        <w:r w:rsidR="00E83049">
          <w:rPr>
            <w:noProof/>
            <w:webHidden/>
          </w:rPr>
          <w:fldChar w:fldCharType="begin"/>
        </w:r>
        <w:r w:rsidR="00E83049">
          <w:rPr>
            <w:noProof/>
            <w:webHidden/>
          </w:rPr>
          <w:instrText xml:space="preserve"> PAGEREF _Toc159329811 \h </w:instrText>
        </w:r>
        <w:r w:rsidR="00E83049">
          <w:rPr>
            <w:noProof/>
            <w:webHidden/>
          </w:rPr>
        </w:r>
        <w:r w:rsidR="00E83049">
          <w:rPr>
            <w:noProof/>
            <w:webHidden/>
          </w:rPr>
          <w:fldChar w:fldCharType="separate"/>
        </w:r>
        <w:r w:rsidR="00F6047B">
          <w:rPr>
            <w:noProof/>
            <w:webHidden/>
          </w:rPr>
          <w:t>3</w:t>
        </w:r>
        <w:r w:rsidR="00E83049">
          <w:rPr>
            <w:noProof/>
            <w:webHidden/>
          </w:rPr>
          <w:fldChar w:fldCharType="end"/>
        </w:r>
      </w:hyperlink>
    </w:p>
    <w:p w14:paraId="3F569DA4" w14:textId="7EC8F07B" w:rsidR="00E83049" w:rsidRDefault="001105EA">
      <w:pPr>
        <w:pStyle w:val="TOC1"/>
        <w:rPr>
          <w:rFonts w:asciiTheme="minorHAnsi" w:eastAsiaTheme="minorEastAsia" w:hAnsiTheme="minorHAnsi" w:cstheme="minorBidi"/>
          <w:caps w:val="0"/>
          <w:noProof/>
          <w:szCs w:val="22"/>
          <w:lang w:eastAsia="en-GB"/>
        </w:rPr>
      </w:pPr>
      <w:hyperlink w:anchor="_Toc159329812" w:history="1">
        <w:r w:rsidR="00E83049" w:rsidRPr="00DF3F91">
          <w:rPr>
            <w:rStyle w:val="Hyperlink"/>
            <w:noProof/>
          </w:rPr>
          <w:t>4.</w:t>
        </w:r>
        <w:r w:rsidR="00E83049">
          <w:rPr>
            <w:rFonts w:asciiTheme="minorHAnsi" w:eastAsiaTheme="minorEastAsia" w:hAnsiTheme="minorHAnsi" w:cstheme="minorBidi"/>
            <w:caps w:val="0"/>
            <w:noProof/>
            <w:szCs w:val="22"/>
            <w:lang w:eastAsia="en-GB"/>
          </w:rPr>
          <w:tab/>
        </w:r>
        <w:r w:rsidR="00E83049" w:rsidRPr="00DF3F91">
          <w:rPr>
            <w:rStyle w:val="Hyperlink"/>
            <w:noProof/>
          </w:rPr>
          <w:t>scope of requirement</w:t>
        </w:r>
        <w:r w:rsidR="00E83049">
          <w:rPr>
            <w:noProof/>
            <w:webHidden/>
          </w:rPr>
          <w:tab/>
        </w:r>
        <w:r w:rsidR="00E83049">
          <w:rPr>
            <w:noProof/>
            <w:webHidden/>
          </w:rPr>
          <w:fldChar w:fldCharType="begin"/>
        </w:r>
        <w:r w:rsidR="00E83049">
          <w:rPr>
            <w:noProof/>
            <w:webHidden/>
          </w:rPr>
          <w:instrText xml:space="preserve"> PAGEREF _Toc159329812 \h </w:instrText>
        </w:r>
        <w:r w:rsidR="00E83049">
          <w:rPr>
            <w:noProof/>
            <w:webHidden/>
          </w:rPr>
        </w:r>
        <w:r w:rsidR="00E83049">
          <w:rPr>
            <w:noProof/>
            <w:webHidden/>
          </w:rPr>
          <w:fldChar w:fldCharType="separate"/>
        </w:r>
        <w:r w:rsidR="00F6047B">
          <w:rPr>
            <w:noProof/>
            <w:webHidden/>
          </w:rPr>
          <w:t>5</w:t>
        </w:r>
        <w:r w:rsidR="00E83049">
          <w:rPr>
            <w:noProof/>
            <w:webHidden/>
          </w:rPr>
          <w:fldChar w:fldCharType="end"/>
        </w:r>
      </w:hyperlink>
    </w:p>
    <w:p w14:paraId="78EA6CD3" w14:textId="7F4B04B2" w:rsidR="00E83049" w:rsidRDefault="001105EA">
      <w:pPr>
        <w:pStyle w:val="TOC1"/>
        <w:rPr>
          <w:rFonts w:asciiTheme="minorHAnsi" w:eastAsiaTheme="minorEastAsia" w:hAnsiTheme="minorHAnsi" w:cstheme="minorBidi"/>
          <w:caps w:val="0"/>
          <w:noProof/>
          <w:szCs w:val="22"/>
          <w:lang w:eastAsia="en-GB"/>
        </w:rPr>
      </w:pPr>
      <w:hyperlink w:anchor="_Toc159329813" w:history="1">
        <w:r w:rsidR="00E83049" w:rsidRPr="00DF3F91">
          <w:rPr>
            <w:rStyle w:val="Hyperlink"/>
            <w:noProof/>
          </w:rPr>
          <w:t>5.</w:t>
        </w:r>
        <w:r w:rsidR="00E83049">
          <w:rPr>
            <w:rFonts w:asciiTheme="minorHAnsi" w:eastAsiaTheme="minorEastAsia" w:hAnsiTheme="minorHAnsi" w:cstheme="minorBidi"/>
            <w:caps w:val="0"/>
            <w:noProof/>
            <w:szCs w:val="22"/>
            <w:lang w:eastAsia="en-GB"/>
          </w:rPr>
          <w:tab/>
        </w:r>
        <w:r w:rsidR="00E83049" w:rsidRPr="00DF3F91">
          <w:rPr>
            <w:rStyle w:val="Hyperlink"/>
            <w:noProof/>
          </w:rPr>
          <w:t>The Requirement</w:t>
        </w:r>
        <w:r w:rsidR="00E83049">
          <w:rPr>
            <w:noProof/>
            <w:webHidden/>
          </w:rPr>
          <w:tab/>
        </w:r>
        <w:r w:rsidR="00E83049">
          <w:rPr>
            <w:noProof/>
            <w:webHidden/>
          </w:rPr>
          <w:fldChar w:fldCharType="begin"/>
        </w:r>
        <w:r w:rsidR="00E83049">
          <w:rPr>
            <w:noProof/>
            <w:webHidden/>
          </w:rPr>
          <w:instrText xml:space="preserve"> PAGEREF _Toc159329813 \h </w:instrText>
        </w:r>
        <w:r w:rsidR="00E83049">
          <w:rPr>
            <w:noProof/>
            <w:webHidden/>
          </w:rPr>
        </w:r>
        <w:r w:rsidR="00E83049">
          <w:rPr>
            <w:noProof/>
            <w:webHidden/>
          </w:rPr>
          <w:fldChar w:fldCharType="separate"/>
        </w:r>
        <w:r w:rsidR="00F6047B">
          <w:rPr>
            <w:noProof/>
            <w:webHidden/>
          </w:rPr>
          <w:t>10</w:t>
        </w:r>
        <w:r w:rsidR="00E83049">
          <w:rPr>
            <w:noProof/>
            <w:webHidden/>
          </w:rPr>
          <w:fldChar w:fldCharType="end"/>
        </w:r>
      </w:hyperlink>
    </w:p>
    <w:p w14:paraId="545DC919" w14:textId="1871573B" w:rsidR="00E83049" w:rsidRDefault="001105EA">
      <w:pPr>
        <w:pStyle w:val="TOC1"/>
        <w:rPr>
          <w:rFonts w:asciiTheme="minorHAnsi" w:eastAsiaTheme="minorEastAsia" w:hAnsiTheme="minorHAnsi" w:cstheme="minorBidi"/>
          <w:caps w:val="0"/>
          <w:noProof/>
          <w:szCs w:val="22"/>
          <w:lang w:eastAsia="en-GB"/>
        </w:rPr>
      </w:pPr>
      <w:hyperlink w:anchor="_Toc159329814" w:history="1">
        <w:r w:rsidR="00E83049" w:rsidRPr="00DF3F91">
          <w:rPr>
            <w:rStyle w:val="Hyperlink"/>
            <w:noProof/>
          </w:rPr>
          <w:t>6.</w:t>
        </w:r>
        <w:r w:rsidR="00E83049">
          <w:rPr>
            <w:rFonts w:asciiTheme="minorHAnsi" w:eastAsiaTheme="minorEastAsia" w:hAnsiTheme="minorHAnsi" w:cstheme="minorBidi"/>
            <w:caps w:val="0"/>
            <w:noProof/>
            <w:szCs w:val="22"/>
            <w:lang w:eastAsia="en-GB"/>
          </w:rPr>
          <w:tab/>
        </w:r>
        <w:r w:rsidR="00E83049" w:rsidRPr="00DF3F91">
          <w:rPr>
            <w:rStyle w:val="Hyperlink"/>
            <w:noProof/>
          </w:rPr>
          <w:t>Key Milestones and Deliverables</w:t>
        </w:r>
        <w:r w:rsidR="00E83049">
          <w:rPr>
            <w:noProof/>
            <w:webHidden/>
          </w:rPr>
          <w:tab/>
        </w:r>
        <w:r w:rsidR="00E83049">
          <w:rPr>
            <w:noProof/>
            <w:webHidden/>
          </w:rPr>
          <w:fldChar w:fldCharType="begin"/>
        </w:r>
        <w:r w:rsidR="00E83049">
          <w:rPr>
            <w:noProof/>
            <w:webHidden/>
          </w:rPr>
          <w:instrText xml:space="preserve"> PAGEREF _Toc159329814 \h </w:instrText>
        </w:r>
        <w:r w:rsidR="00E83049">
          <w:rPr>
            <w:noProof/>
            <w:webHidden/>
          </w:rPr>
        </w:r>
        <w:r w:rsidR="00E83049">
          <w:rPr>
            <w:noProof/>
            <w:webHidden/>
          </w:rPr>
          <w:fldChar w:fldCharType="separate"/>
        </w:r>
        <w:r w:rsidR="00F6047B">
          <w:rPr>
            <w:noProof/>
            <w:webHidden/>
          </w:rPr>
          <w:t>11</w:t>
        </w:r>
        <w:r w:rsidR="00E83049">
          <w:rPr>
            <w:noProof/>
            <w:webHidden/>
          </w:rPr>
          <w:fldChar w:fldCharType="end"/>
        </w:r>
      </w:hyperlink>
    </w:p>
    <w:p w14:paraId="2CF89408" w14:textId="78298FD2" w:rsidR="00E83049" w:rsidRDefault="001105EA">
      <w:pPr>
        <w:pStyle w:val="TOC1"/>
        <w:rPr>
          <w:rFonts w:asciiTheme="minorHAnsi" w:eastAsiaTheme="minorEastAsia" w:hAnsiTheme="minorHAnsi" w:cstheme="minorBidi"/>
          <w:caps w:val="0"/>
          <w:noProof/>
          <w:szCs w:val="22"/>
          <w:lang w:eastAsia="en-GB"/>
        </w:rPr>
      </w:pPr>
      <w:hyperlink w:anchor="_Toc159329815" w:history="1">
        <w:r w:rsidR="00E83049" w:rsidRPr="00DF3F91">
          <w:rPr>
            <w:rStyle w:val="Hyperlink"/>
            <w:rFonts w:cs="Arial"/>
            <w:noProof/>
          </w:rPr>
          <w:t>7.</w:t>
        </w:r>
        <w:r w:rsidR="00E83049">
          <w:rPr>
            <w:rFonts w:asciiTheme="minorHAnsi" w:eastAsiaTheme="minorEastAsia" w:hAnsiTheme="minorHAnsi" w:cstheme="minorBidi"/>
            <w:caps w:val="0"/>
            <w:noProof/>
            <w:szCs w:val="22"/>
            <w:lang w:eastAsia="en-GB"/>
          </w:rPr>
          <w:tab/>
        </w:r>
        <w:r w:rsidR="00E83049" w:rsidRPr="00DF3F91">
          <w:rPr>
            <w:rStyle w:val="Hyperlink"/>
            <w:rFonts w:cs="Arial"/>
            <w:noProof/>
          </w:rPr>
          <w:t>Project Management</w:t>
        </w:r>
        <w:r w:rsidR="00E83049">
          <w:rPr>
            <w:noProof/>
            <w:webHidden/>
          </w:rPr>
          <w:tab/>
        </w:r>
        <w:r w:rsidR="00E83049">
          <w:rPr>
            <w:noProof/>
            <w:webHidden/>
          </w:rPr>
          <w:fldChar w:fldCharType="begin"/>
        </w:r>
        <w:r w:rsidR="00E83049">
          <w:rPr>
            <w:noProof/>
            <w:webHidden/>
          </w:rPr>
          <w:instrText xml:space="preserve"> PAGEREF _Toc159329815 \h </w:instrText>
        </w:r>
        <w:r w:rsidR="00E83049">
          <w:rPr>
            <w:noProof/>
            <w:webHidden/>
          </w:rPr>
        </w:r>
        <w:r w:rsidR="00E83049">
          <w:rPr>
            <w:noProof/>
            <w:webHidden/>
          </w:rPr>
          <w:fldChar w:fldCharType="separate"/>
        </w:r>
        <w:r w:rsidR="00F6047B">
          <w:rPr>
            <w:noProof/>
            <w:webHidden/>
          </w:rPr>
          <w:t>12</w:t>
        </w:r>
        <w:r w:rsidR="00E83049">
          <w:rPr>
            <w:noProof/>
            <w:webHidden/>
          </w:rPr>
          <w:fldChar w:fldCharType="end"/>
        </w:r>
      </w:hyperlink>
    </w:p>
    <w:p w14:paraId="5753C97A" w14:textId="52614451" w:rsidR="00E83049" w:rsidRDefault="001105EA">
      <w:pPr>
        <w:pStyle w:val="TOC1"/>
        <w:rPr>
          <w:rFonts w:asciiTheme="minorHAnsi" w:eastAsiaTheme="minorEastAsia" w:hAnsiTheme="minorHAnsi" w:cstheme="minorBidi"/>
          <w:caps w:val="0"/>
          <w:noProof/>
          <w:szCs w:val="22"/>
          <w:lang w:eastAsia="en-GB"/>
        </w:rPr>
      </w:pPr>
      <w:hyperlink w:anchor="_Toc159329816" w:history="1">
        <w:r w:rsidR="00E83049" w:rsidRPr="00DF3F91">
          <w:rPr>
            <w:rStyle w:val="Hyperlink"/>
            <w:rFonts w:cs="Arial"/>
            <w:noProof/>
          </w:rPr>
          <w:t>8.</w:t>
        </w:r>
        <w:r w:rsidR="00E83049">
          <w:rPr>
            <w:rFonts w:asciiTheme="minorHAnsi" w:eastAsiaTheme="minorEastAsia" w:hAnsiTheme="minorHAnsi" w:cstheme="minorBidi"/>
            <w:caps w:val="0"/>
            <w:noProof/>
            <w:szCs w:val="22"/>
            <w:lang w:eastAsia="en-GB"/>
          </w:rPr>
          <w:tab/>
        </w:r>
        <w:r w:rsidR="00E83049" w:rsidRPr="00DF3F91">
          <w:rPr>
            <w:rStyle w:val="Hyperlink"/>
            <w:rFonts w:cs="Arial"/>
            <w:noProof/>
          </w:rPr>
          <w:t>MANAGEMENT INFORMATION/reporting</w:t>
        </w:r>
        <w:r w:rsidR="00E83049">
          <w:rPr>
            <w:noProof/>
            <w:webHidden/>
          </w:rPr>
          <w:tab/>
        </w:r>
        <w:r w:rsidR="00E83049">
          <w:rPr>
            <w:noProof/>
            <w:webHidden/>
          </w:rPr>
          <w:fldChar w:fldCharType="begin"/>
        </w:r>
        <w:r w:rsidR="00E83049">
          <w:rPr>
            <w:noProof/>
            <w:webHidden/>
          </w:rPr>
          <w:instrText xml:space="preserve"> PAGEREF _Toc159329816 \h </w:instrText>
        </w:r>
        <w:r w:rsidR="00E83049">
          <w:rPr>
            <w:noProof/>
            <w:webHidden/>
          </w:rPr>
        </w:r>
        <w:r w:rsidR="00E83049">
          <w:rPr>
            <w:noProof/>
            <w:webHidden/>
          </w:rPr>
          <w:fldChar w:fldCharType="separate"/>
        </w:r>
        <w:r w:rsidR="00F6047B">
          <w:rPr>
            <w:noProof/>
            <w:webHidden/>
          </w:rPr>
          <w:t>12</w:t>
        </w:r>
        <w:r w:rsidR="00E83049">
          <w:rPr>
            <w:noProof/>
            <w:webHidden/>
          </w:rPr>
          <w:fldChar w:fldCharType="end"/>
        </w:r>
      </w:hyperlink>
    </w:p>
    <w:p w14:paraId="44652D9A" w14:textId="6C8E3D64" w:rsidR="00E83049" w:rsidRDefault="001105EA">
      <w:pPr>
        <w:pStyle w:val="TOC1"/>
        <w:rPr>
          <w:rFonts w:asciiTheme="minorHAnsi" w:eastAsiaTheme="minorEastAsia" w:hAnsiTheme="minorHAnsi" w:cstheme="minorBidi"/>
          <w:caps w:val="0"/>
          <w:noProof/>
          <w:szCs w:val="22"/>
          <w:lang w:eastAsia="en-GB"/>
        </w:rPr>
      </w:pPr>
      <w:hyperlink w:anchor="_Toc159329817" w:history="1">
        <w:r w:rsidR="00E83049" w:rsidRPr="00DF3F91">
          <w:rPr>
            <w:rStyle w:val="Hyperlink"/>
            <w:rFonts w:cs="Arial"/>
            <w:noProof/>
          </w:rPr>
          <w:t>9.</w:t>
        </w:r>
        <w:r w:rsidR="00E83049">
          <w:rPr>
            <w:rFonts w:asciiTheme="minorHAnsi" w:eastAsiaTheme="minorEastAsia" w:hAnsiTheme="minorHAnsi" w:cstheme="minorBidi"/>
            <w:caps w:val="0"/>
            <w:noProof/>
            <w:szCs w:val="22"/>
            <w:lang w:eastAsia="en-GB"/>
          </w:rPr>
          <w:tab/>
        </w:r>
        <w:r w:rsidR="00E83049" w:rsidRPr="00DF3F91">
          <w:rPr>
            <w:rStyle w:val="Hyperlink"/>
            <w:rFonts w:cs="Arial"/>
            <w:noProof/>
          </w:rPr>
          <w:t>Continuous Improvement</w:t>
        </w:r>
        <w:r w:rsidR="00E83049">
          <w:rPr>
            <w:noProof/>
            <w:webHidden/>
          </w:rPr>
          <w:tab/>
        </w:r>
        <w:r w:rsidR="00E83049">
          <w:rPr>
            <w:noProof/>
            <w:webHidden/>
          </w:rPr>
          <w:fldChar w:fldCharType="begin"/>
        </w:r>
        <w:r w:rsidR="00E83049">
          <w:rPr>
            <w:noProof/>
            <w:webHidden/>
          </w:rPr>
          <w:instrText xml:space="preserve"> PAGEREF _Toc159329817 \h </w:instrText>
        </w:r>
        <w:r w:rsidR="00E83049">
          <w:rPr>
            <w:noProof/>
            <w:webHidden/>
          </w:rPr>
        </w:r>
        <w:r w:rsidR="00E83049">
          <w:rPr>
            <w:noProof/>
            <w:webHidden/>
          </w:rPr>
          <w:fldChar w:fldCharType="separate"/>
        </w:r>
        <w:r w:rsidR="00F6047B">
          <w:rPr>
            <w:noProof/>
            <w:webHidden/>
          </w:rPr>
          <w:t>13</w:t>
        </w:r>
        <w:r w:rsidR="00E83049">
          <w:rPr>
            <w:noProof/>
            <w:webHidden/>
          </w:rPr>
          <w:fldChar w:fldCharType="end"/>
        </w:r>
      </w:hyperlink>
    </w:p>
    <w:p w14:paraId="78935671" w14:textId="00A41762" w:rsidR="00E83049" w:rsidRDefault="001105EA">
      <w:pPr>
        <w:pStyle w:val="TOC1"/>
        <w:rPr>
          <w:rFonts w:asciiTheme="minorHAnsi" w:eastAsiaTheme="minorEastAsia" w:hAnsiTheme="minorHAnsi" w:cstheme="minorBidi"/>
          <w:caps w:val="0"/>
          <w:noProof/>
          <w:szCs w:val="22"/>
          <w:lang w:eastAsia="en-GB"/>
        </w:rPr>
      </w:pPr>
      <w:hyperlink w:anchor="_Toc159329818" w:history="1">
        <w:r w:rsidR="00E83049" w:rsidRPr="00DF3F91">
          <w:rPr>
            <w:rStyle w:val="Hyperlink"/>
            <w:noProof/>
          </w:rPr>
          <w:t>10.</w:t>
        </w:r>
        <w:r w:rsidR="00E83049">
          <w:rPr>
            <w:rFonts w:asciiTheme="minorHAnsi" w:eastAsiaTheme="minorEastAsia" w:hAnsiTheme="minorHAnsi" w:cstheme="minorBidi"/>
            <w:caps w:val="0"/>
            <w:noProof/>
            <w:szCs w:val="22"/>
            <w:lang w:eastAsia="en-GB"/>
          </w:rPr>
          <w:tab/>
        </w:r>
        <w:r w:rsidR="00E83049" w:rsidRPr="00DF3F91">
          <w:rPr>
            <w:rStyle w:val="Hyperlink"/>
            <w:noProof/>
          </w:rPr>
          <w:t>Sustainability</w:t>
        </w:r>
        <w:r w:rsidR="00E83049">
          <w:rPr>
            <w:noProof/>
            <w:webHidden/>
          </w:rPr>
          <w:tab/>
        </w:r>
        <w:r w:rsidR="00E83049">
          <w:rPr>
            <w:noProof/>
            <w:webHidden/>
          </w:rPr>
          <w:fldChar w:fldCharType="begin"/>
        </w:r>
        <w:r w:rsidR="00E83049">
          <w:rPr>
            <w:noProof/>
            <w:webHidden/>
          </w:rPr>
          <w:instrText xml:space="preserve"> PAGEREF _Toc159329818 \h </w:instrText>
        </w:r>
        <w:r w:rsidR="00E83049">
          <w:rPr>
            <w:noProof/>
            <w:webHidden/>
          </w:rPr>
        </w:r>
        <w:r w:rsidR="00E83049">
          <w:rPr>
            <w:noProof/>
            <w:webHidden/>
          </w:rPr>
          <w:fldChar w:fldCharType="separate"/>
        </w:r>
        <w:r w:rsidR="00F6047B">
          <w:rPr>
            <w:noProof/>
            <w:webHidden/>
          </w:rPr>
          <w:t>13</w:t>
        </w:r>
        <w:r w:rsidR="00E83049">
          <w:rPr>
            <w:noProof/>
            <w:webHidden/>
          </w:rPr>
          <w:fldChar w:fldCharType="end"/>
        </w:r>
      </w:hyperlink>
    </w:p>
    <w:p w14:paraId="476823AA" w14:textId="56470FAB" w:rsidR="00E83049" w:rsidRDefault="001105EA">
      <w:pPr>
        <w:pStyle w:val="TOC1"/>
        <w:rPr>
          <w:rFonts w:asciiTheme="minorHAnsi" w:eastAsiaTheme="minorEastAsia" w:hAnsiTheme="minorHAnsi" w:cstheme="minorBidi"/>
          <w:caps w:val="0"/>
          <w:noProof/>
          <w:szCs w:val="22"/>
          <w:lang w:eastAsia="en-GB"/>
        </w:rPr>
      </w:pPr>
      <w:hyperlink w:anchor="_Toc159329819" w:history="1">
        <w:r w:rsidR="00E83049" w:rsidRPr="00DF3F91">
          <w:rPr>
            <w:rStyle w:val="Hyperlink"/>
            <w:rFonts w:cs="Arial"/>
            <w:noProof/>
          </w:rPr>
          <w:t>11.</w:t>
        </w:r>
        <w:r w:rsidR="00E83049">
          <w:rPr>
            <w:rFonts w:asciiTheme="minorHAnsi" w:eastAsiaTheme="minorEastAsia" w:hAnsiTheme="minorHAnsi" w:cstheme="minorBidi"/>
            <w:caps w:val="0"/>
            <w:noProof/>
            <w:szCs w:val="22"/>
            <w:lang w:eastAsia="en-GB"/>
          </w:rPr>
          <w:tab/>
        </w:r>
        <w:r w:rsidR="00E83049" w:rsidRPr="00DF3F91">
          <w:rPr>
            <w:rStyle w:val="Hyperlink"/>
            <w:rFonts w:cs="Arial"/>
            <w:noProof/>
          </w:rPr>
          <w:t>Quality</w:t>
        </w:r>
        <w:r w:rsidR="00E83049">
          <w:rPr>
            <w:noProof/>
            <w:webHidden/>
          </w:rPr>
          <w:tab/>
        </w:r>
        <w:r w:rsidR="00E83049">
          <w:rPr>
            <w:noProof/>
            <w:webHidden/>
          </w:rPr>
          <w:fldChar w:fldCharType="begin"/>
        </w:r>
        <w:r w:rsidR="00E83049">
          <w:rPr>
            <w:noProof/>
            <w:webHidden/>
          </w:rPr>
          <w:instrText xml:space="preserve"> PAGEREF _Toc159329819 \h </w:instrText>
        </w:r>
        <w:r w:rsidR="00E83049">
          <w:rPr>
            <w:noProof/>
            <w:webHidden/>
          </w:rPr>
        </w:r>
        <w:r w:rsidR="00E83049">
          <w:rPr>
            <w:noProof/>
            <w:webHidden/>
          </w:rPr>
          <w:fldChar w:fldCharType="separate"/>
        </w:r>
        <w:r w:rsidR="00F6047B">
          <w:rPr>
            <w:noProof/>
            <w:webHidden/>
          </w:rPr>
          <w:t>14</w:t>
        </w:r>
        <w:r w:rsidR="00E83049">
          <w:rPr>
            <w:noProof/>
            <w:webHidden/>
          </w:rPr>
          <w:fldChar w:fldCharType="end"/>
        </w:r>
      </w:hyperlink>
    </w:p>
    <w:p w14:paraId="012CF8EB" w14:textId="5F57F41C" w:rsidR="00E83049" w:rsidRDefault="001105EA">
      <w:pPr>
        <w:pStyle w:val="TOC1"/>
        <w:rPr>
          <w:rFonts w:asciiTheme="minorHAnsi" w:eastAsiaTheme="minorEastAsia" w:hAnsiTheme="minorHAnsi" w:cstheme="minorBidi"/>
          <w:caps w:val="0"/>
          <w:noProof/>
          <w:szCs w:val="22"/>
          <w:lang w:eastAsia="en-GB"/>
        </w:rPr>
      </w:pPr>
      <w:hyperlink w:anchor="_Toc159329820" w:history="1">
        <w:r w:rsidR="00E83049" w:rsidRPr="00DF3F91">
          <w:rPr>
            <w:rStyle w:val="Hyperlink"/>
            <w:rFonts w:cs="Arial"/>
            <w:noProof/>
          </w:rPr>
          <w:t>12.</w:t>
        </w:r>
        <w:r w:rsidR="00E83049">
          <w:rPr>
            <w:rFonts w:asciiTheme="minorHAnsi" w:eastAsiaTheme="minorEastAsia" w:hAnsiTheme="minorHAnsi" w:cstheme="minorBidi"/>
            <w:caps w:val="0"/>
            <w:noProof/>
            <w:szCs w:val="22"/>
            <w:lang w:eastAsia="en-GB"/>
          </w:rPr>
          <w:tab/>
        </w:r>
        <w:r w:rsidR="00E83049" w:rsidRPr="00DF3F91">
          <w:rPr>
            <w:rStyle w:val="Hyperlink"/>
            <w:rFonts w:cs="Arial"/>
            <w:noProof/>
          </w:rPr>
          <w:t>Price</w:t>
        </w:r>
        <w:r w:rsidR="00E83049">
          <w:rPr>
            <w:noProof/>
            <w:webHidden/>
          </w:rPr>
          <w:tab/>
        </w:r>
        <w:r w:rsidR="00E83049">
          <w:rPr>
            <w:noProof/>
            <w:webHidden/>
          </w:rPr>
          <w:fldChar w:fldCharType="begin"/>
        </w:r>
        <w:r w:rsidR="00E83049">
          <w:rPr>
            <w:noProof/>
            <w:webHidden/>
          </w:rPr>
          <w:instrText xml:space="preserve"> PAGEREF _Toc159329820 \h </w:instrText>
        </w:r>
        <w:r w:rsidR="00E83049">
          <w:rPr>
            <w:noProof/>
            <w:webHidden/>
          </w:rPr>
        </w:r>
        <w:r w:rsidR="00E83049">
          <w:rPr>
            <w:noProof/>
            <w:webHidden/>
          </w:rPr>
          <w:fldChar w:fldCharType="separate"/>
        </w:r>
        <w:r w:rsidR="00F6047B">
          <w:rPr>
            <w:noProof/>
            <w:webHidden/>
          </w:rPr>
          <w:t>14</w:t>
        </w:r>
        <w:r w:rsidR="00E83049">
          <w:rPr>
            <w:noProof/>
            <w:webHidden/>
          </w:rPr>
          <w:fldChar w:fldCharType="end"/>
        </w:r>
      </w:hyperlink>
    </w:p>
    <w:p w14:paraId="3555FFC7" w14:textId="676732A9" w:rsidR="00E83049" w:rsidRDefault="001105EA">
      <w:pPr>
        <w:pStyle w:val="TOC1"/>
        <w:rPr>
          <w:rFonts w:asciiTheme="minorHAnsi" w:eastAsiaTheme="minorEastAsia" w:hAnsiTheme="minorHAnsi" w:cstheme="minorBidi"/>
          <w:caps w:val="0"/>
          <w:noProof/>
          <w:szCs w:val="22"/>
          <w:lang w:eastAsia="en-GB"/>
        </w:rPr>
      </w:pPr>
      <w:hyperlink w:anchor="_Toc159329821" w:history="1">
        <w:r w:rsidR="00E83049" w:rsidRPr="00DF3F91">
          <w:rPr>
            <w:rStyle w:val="Hyperlink"/>
            <w:rFonts w:cs="Arial"/>
            <w:noProof/>
          </w:rPr>
          <w:t>13.</w:t>
        </w:r>
        <w:r w:rsidR="00E83049">
          <w:rPr>
            <w:rFonts w:asciiTheme="minorHAnsi" w:eastAsiaTheme="minorEastAsia" w:hAnsiTheme="minorHAnsi" w:cstheme="minorBidi"/>
            <w:caps w:val="0"/>
            <w:noProof/>
            <w:szCs w:val="22"/>
            <w:lang w:eastAsia="en-GB"/>
          </w:rPr>
          <w:tab/>
        </w:r>
        <w:r w:rsidR="00E83049" w:rsidRPr="00DF3F91">
          <w:rPr>
            <w:rStyle w:val="Hyperlink"/>
            <w:rFonts w:cs="Arial"/>
            <w:noProof/>
          </w:rPr>
          <w:t>Experience and CustomeR SERVICE</w:t>
        </w:r>
        <w:r w:rsidR="00E83049">
          <w:rPr>
            <w:noProof/>
            <w:webHidden/>
          </w:rPr>
          <w:tab/>
        </w:r>
        <w:r w:rsidR="00E83049">
          <w:rPr>
            <w:noProof/>
            <w:webHidden/>
          </w:rPr>
          <w:fldChar w:fldCharType="begin"/>
        </w:r>
        <w:r w:rsidR="00E83049">
          <w:rPr>
            <w:noProof/>
            <w:webHidden/>
          </w:rPr>
          <w:instrText xml:space="preserve"> PAGEREF _Toc159329821 \h </w:instrText>
        </w:r>
        <w:r w:rsidR="00E83049">
          <w:rPr>
            <w:noProof/>
            <w:webHidden/>
          </w:rPr>
        </w:r>
        <w:r w:rsidR="00E83049">
          <w:rPr>
            <w:noProof/>
            <w:webHidden/>
          </w:rPr>
          <w:fldChar w:fldCharType="separate"/>
        </w:r>
        <w:r w:rsidR="00F6047B">
          <w:rPr>
            <w:noProof/>
            <w:webHidden/>
          </w:rPr>
          <w:t>14</w:t>
        </w:r>
        <w:r w:rsidR="00E83049">
          <w:rPr>
            <w:noProof/>
            <w:webHidden/>
          </w:rPr>
          <w:fldChar w:fldCharType="end"/>
        </w:r>
      </w:hyperlink>
    </w:p>
    <w:p w14:paraId="3F4235CF" w14:textId="044386F7" w:rsidR="00E83049" w:rsidRDefault="001105EA">
      <w:pPr>
        <w:pStyle w:val="TOC1"/>
        <w:rPr>
          <w:rFonts w:asciiTheme="minorHAnsi" w:eastAsiaTheme="minorEastAsia" w:hAnsiTheme="minorHAnsi" w:cstheme="minorBidi"/>
          <w:caps w:val="0"/>
          <w:noProof/>
          <w:szCs w:val="22"/>
          <w:lang w:eastAsia="en-GB"/>
        </w:rPr>
      </w:pPr>
      <w:hyperlink w:anchor="_Toc159329822" w:history="1">
        <w:r w:rsidR="00E83049" w:rsidRPr="00DF3F91">
          <w:rPr>
            <w:rStyle w:val="Hyperlink"/>
            <w:rFonts w:cs="Arial"/>
            <w:noProof/>
          </w:rPr>
          <w:t>14.</w:t>
        </w:r>
        <w:r w:rsidR="00E83049">
          <w:rPr>
            <w:rFonts w:asciiTheme="minorHAnsi" w:eastAsiaTheme="minorEastAsia" w:hAnsiTheme="minorHAnsi" w:cstheme="minorBidi"/>
            <w:caps w:val="0"/>
            <w:noProof/>
            <w:szCs w:val="22"/>
            <w:lang w:eastAsia="en-GB"/>
          </w:rPr>
          <w:tab/>
        </w:r>
        <w:r w:rsidR="00E83049" w:rsidRPr="00DF3F91">
          <w:rPr>
            <w:rStyle w:val="Hyperlink"/>
            <w:rFonts w:cs="Arial"/>
            <w:noProof/>
          </w:rPr>
          <w:t>service levels and performance</w:t>
        </w:r>
        <w:r w:rsidR="00E83049">
          <w:rPr>
            <w:noProof/>
            <w:webHidden/>
          </w:rPr>
          <w:tab/>
        </w:r>
        <w:r w:rsidR="00E83049">
          <w:rPr>
            <w:noProof/>
            <w:webHidden/>
          </w:rPr>
          <w:fldChar w:fldCharType="begin"/>
        </w:r>
        <w:r w:rsidR="00E83049">
          <w:rPr>
            <w:noProof/>
            <w:webHidden/>
          </w:rPr>
          <w:instrText xml:space="preserve"> PAGEREF _Toc159329822 \h </w:instrText>
        </w:r>
        <w:r w:rsidR="00E83049">
          <w:rPr>
            <w:noProof/>
            <w:webHidden/>
          </w:rPr>
        </w:r>
        <w:r w:rsidR="00E83049">
          <w:rPr>
            <w:noProof/>
            <w:webHidden/>
          </w:rPr>
          <w:fldChar w:fldCharType="separate"/>
        </w:r>
        <w:r w:rsidR="00F6047B">
          <w:rPr>
            <w:noProof/>
            <w:webHidden/>
          </w:rPr>
          <w:t>15</w:t>
        </w:r>
        <w:r w:rsidR="00E83049">
          <w:rPr>
            <w:noProof/>
            <w:webHidden/>
          </w:rPr>
          <w:fldChar w:fldCharType="end"/>
        </w:r>
      </w:hyperlink>
    </w:p>
    <w:p w14:paraId="6A17143C" w14:textId="26724E44" w:rsidR="00E83049" w:rsidRDefault="001105EA">
      <w:pPr>
        <w:pStyle w:val="TOC1"/>
        <w:rPr>
          <w:rFonts w:asciiTheme="minorHAnsi" w:eastAsiaTheme="minorEastAsia" w:hAnsiTheme="minorHAnsi" w:cstheme="minorBidi"/>
          <w:caps w:val="0"/>
          <w:noProof/>
          <w:szCs w:val="22"/>
          <w:lang w:eastAsia="en-GB"/>
        </w:rPr>
      </w:pPr>
      <w:hyperlink w:anchor="_Toc159329823" w:history="1">
        <w:r w:rsidR="00E83049" w:rsidRPr="00DF3F91">
          <w:rPr>
            <w:rStyle w:val="Hyperlink"/>
            <w:noProof/>
          </w:rPr>
          <w:t>15.</w:t>
        </w:r>
        <w:r w:rsidR="00E83049">
          <w:rPr>
            <w:rFonts w:asciiTheme="minorHAnsi" w:eastAsiaTheme="minorEastAsia" w:hAnsiTheme="minorHAnsi" w:cstheme="minorBidi"/>
            <w:caps w:val="0"/>
            <w:noProof/>
            <w:szCs w:val="22"/>
            <w:lang w:eastAsia="en-GB"/>
          </w:rPr>
          <w:tab/>
        </w:r>
        <w:r w:rsidR="00E83049" w:rsidRPr="00DF3F91">
          <w:rPr>
            <w:rStyle w:val="Hyperlink"/>
            <w:noProof/>
          </w:rPr>
          <w:t>Security and CONFIDENTIALITY requirements</w:t>
        </w:r>
        <w:r w:rsidR="00E83049">
          <w:rPr>
            <w:noProof/>
            <w:webHidden/>
          </w:rPr>
          <w:tab/>
        </w:r>
        <w:r w:rsidR="00E83049">
          <w:rPr>
            <w:noProof/>
            <w:webHidden/>
          </w:rPr>
          <w:fldChar w:fldCharType="begin"/>
        </w:r>
        <w:r w:rsidR="00E83049">
          <w:rPr>
            <w:noProof/>
            <w:webHidden/>
          </w:rPr>
          <w:instrText xml:space="preserve"> PAGEREF _Toc159329823 \h </w:instrText>
        </w:r>
        <w:r w:rsidR="00E83049">
          <w:rPr>
            <w:noProof/>
            <w:webHidden/>
          </w:rPr>
        </w:r>
        <w:r w:rsidR="00E83049">
          <w:rPr>
            <w:noProof/>
            <w:webHidden/>
          </w:rPr>
          <w:fldChar w:fldCharType="separate"/>
        </w:r>
        <w:r w:rsidR="00F6047B">
          <w:rPr>
            <w:noProof/>
            <w:webHidden/>
          </w:rPr>
          <w:t>16</w:t>
        </w:r>
        <w:r w:rsidR="00E83049">
          <w:rPr>
            <w:noProof/>
            <w:webHidden/>
          </w:rPr>
          <w:fldChar w:fldCharType="end"/>
        </w:r>
      </w:hyperlink>
    </w:p>
    <w:p w14:paraId="127035A4" w14:textId="4C9A3973" w:rsidR="00E83049" w:rsidRDefault="001105EA">
      <w:pPr>
        <w:pStyle w:val="TOC1"/>
        <w:rPr>
          <w:rFonts w:asciiTheme="minorHAnsi" w:eastAsiaTheme="minorEastAsia" w:hAnsiTheme="minorHAnsi" w:cstheme="minorBidi"/>
          <w:caps w:val="0"/>
          <w:noProof/>
          <w:szCs w:val="22"/>
          <w:lang w:eastAsia="en-GB"/>
        </w:rPr>
      </w:pPr>
      <w:hyperlink w:anchor="_Toc159329824" w:history="1">
        <w:r w:rsidR="00E83049" w:rsidRPr="00DF3F91">
          <w:rPr>
            <w:rStyle w:val="Hyperlink"/>
            <w:noProof/>
          </w:rPr>
          <w:t>16.</w:t>
        </w:r>
        <w:r w:rsidR="00E83049">
          <w:rPr>
            <w:rFonts w:asciiTheme="minorHAnsi" w:eastAsiaTheme="minorEastAsia" w:hAnsiTheme="minorHAnsi" w:cstheme="minorBidi"/>
            <w:caps w:val="0"/>
            <w:noProof/>
            <w:szCs w:val="22"/>
            <w:lang w:eastAsia="en-GB"/>
          </w:rPr>
          <w:tab/>
        </w:r>
        <w:r w:rsidR="00E83049" w:rsidRPr="00DF3F91">
          <w:rPr>
            <w:rStyle w:val="Hyperlink"/>
            <w:noProof/>
          </w:rPr>
          <w:t>Social Value</w:t>
        </w:r>
        <w:r w:rsidR="00E83049">
          <w:rPr>
            <w:noProof/>
            <w:webHidden/>
          </w:rPr>
          <w:tab/>
        </w:r>
        <w:r w:rsidR="00E83049">
          <w:rPr>
            <w:noProof/>
            <w:webHidden/>
          </w:rPr>
          <w:fldChar w:fldCharType="begin"/>
        </w:r>
        <w:r w:rsidR="00E83049">
          <w:rPr>
            <w:noProof/>
            <w:webHidden/>
          </w:rPr>
          <w:instrText xml:space="preserve"> PAGEREF _Toc159329824 \h </w:instrText>
        </w:r>
        <w:r w:rsidR="00E83049">
          <w:rPr>
            <w:noProof/>
            <w:webHidden/>
          </w:rPr>
        </w:r>
        <w:r w:rsidR="00E83049">
          <w:rPr>
            <w:noProof/>
            <w:webHidden/>
          </w:rPr>
          <w:fldChar w:fldCharType="separate"/>
        </w:r>
        <w:r w:rsidR="00F6047B">
          <w:rPr>
            <w:noProof/>
            <w:webHidden/>
          </w:rPr>
          <w:t>16</w:t>
        </w:r>
        <w:r w:rsidR="00E83049">
          <w:rPr>
            <w:noProof/>
            <w:webHidden/>
          </w:rPr>
          <w:fldChar w:fldCharType="end"/>
        </w:r>
      </w:hyperlink>
    </w:p>
    <w:p w14:paraId="75C68102" w14:textId="2B3C9F1A" w:rsidR="00E83049" w:rsidRDefault="001105EA">
      <w:pPr>
        <w:pStyle w:val="TOC1"/>
        <w:rPr>
          <w:rFonts w:asciiTheme="minorHAnsi" w:eastAsiaTheme="minorEastAsia" w:hAnsiTheme="minorHAnsi" w:cstheme="minorBidi"/>
          <w:caps w:val="0"/>
          <w:noProof/>
          <w:szCs w:val="22"/>
          <w:lang w:eastAsia="en-GB"/>
        </w:rPr>
      </w:pPr>
      <w:hyperlink w:anchor="_Toc159329825" w:history="1">
        <w:r w:rsidR="00E83049" w:rsidRPr="00DF3F91">
          <w:rPr>
            <w:rStyle w:val="Hyperlink"/>
            <w:rFonts w:cs="Arial"/>
            <w:noProof/>
          </w:rPr>
          <w:t>17.</w:t>
        </w:r>
        <w:r w:rsidR="00E83049">
          <w:rPr>
            <w:rFonts w:asciiTheme="minorHAnsi" w:eastAsiaTheme="minorEastAsia" w:hAnsiTheme="minorHAnsi" w:cstheme="minorBidi"/>
            <w:caps w:val="0"/>
            <w:noProof/>
            <w:szCs w:val="22"/>
            <w:lang w:eastAsia="en-GB"/>
          </w:rPr>
          <w:tab/>
        </w:r>
        <w:r w:rsidR="00E83049" w:rsidRPr="00DF3F91">
          <w:rPr>
            <w:rStyle w:val="Hyperlink"/>
            <w:rFonts w:cs="Arial"/>
            <w:noProof/>
          </w:rPr>
          <w:t>payment AND INVOICING</w:t>
        </w:r>
        <w:r w:rsidR="00E83049">
          <w:rPr>
            <w:noProof/>
            <w:webHidden/>
          </w:rPr>
          <w:tab/>
        </w:r>
        <w:r w:rsidR="00E83049">
          <w:rPr>
            <w:noProof/>
            <w:webHidden/>
          </w:rPr>
          <w:fldChar w:fldCharType="begin"/>
        </w:r>
        <w:r w:rsidR="00E83049">
          <w:rPr>
            <w:noProof/>
            <w:webHidden/>
          </w:rPr>
          <w:instrText xml:space="preserve"> PAGEREF _Toc159329825 \h </w:instrText>
        </w:r>
        <w:r w:rsidR="00E83049">
          <w:rPr>
            <w:noProof/>
            <w:webHidden/>
          </w:rPr>
        </w:r>
        <w:r w:rsidR="00E83049">
          <w:rPr>
            <w:noProof/>
            <w:webHidden/>
          </w:rPr>
          <w:fldChar w:fldCharType="separate"/>
        </w:r>
        <w:r w:rsidR="00F6047B">
          <w:rPr>
            <w:noProof/>
            <w:webHidden/>
          </w:rPr>
          <w:t>17</w:t>
        </w:r>
        <w:r w:rsidR="00E83049">
          <w:rPr>
            <w:noProof/>
            <w:webHidden/>
          </w:rPr>
          <w:fldChar w:fldCharType="end"/>
        </w:r>
      </w:hyperlink>
    </w:p>
    <w:p w14:paraId="5B501EEA" w14:textId="301140EF" w:rsidR="00E83049" w:rsidRDefault="001105EA">
      <w:pPr>
        <w:pStyle w:val="TOC1"/>
        <w:rPr>
          <w:rFonts w:asciiTheme="minorHAnsi" w:eastAsiaTheme="minorEastAsia" w:hAnsiTheme="minorHAnsi" w:cstheme="minorBidi"/>
          <w:caps w:val="0"/>
          <w:noProof/>
          <w:szCs w:val="22"/>
          <w:lang w:eastAsia="en-GB"/>
        </w:rPr>
      </w:pPr>
      <w:hyperlink w:anchor="_Toc159329826" w:history="1">
        <w:r w:rsidR="00E83049" w:rsidRPr="00DF3F91">
          <w:rPr>
            <w:rStyle w:val="Hyperlink"/>
            <w:rFonts w:cs="Arial"/>
            <w:noProof/>
          </w:rPr>
          <w:t>18.</w:t>
        </w:r>
        <w:r w:rsidR="00E83049">
          <w:rPr>
            <w:rFonts w:asciiTheme="minorHAnsi" w:eastAsiaTheme="minorEastAsia" w:hAnsiTheme="minorHAnsi" w:cstheme="minorBidi"/>
            <w:caps w:val="0"/>
            <w:noProof/>
            <w:szCs w:val="22"/>
            <w:lang w:eastAsia="en-GB"/>
          </w:rPr>
          <w:tab/>
        </w:r>
        <w:r w:rsidR="00E83049" w:rsidRPr="00DF3F91">
          <w:rPr>
            <w:rStyle w:val="Hyperlink"/>
            <w:rFonts w:cs="Arial"/>
            <w:noProof/>
          </w:rPr>
          <w:t>CONTRACT MANAGEMENT</w:t>
        </w:r>
        <w:r w:rsidR="00E83049">
          <w:rPr>
            <w:noProof/>
            <w:webHidden/>
          </w:rPr>
          <w:tab/>
        </w:r>
        <w:r w:rsidR="00E83049">
          <w:rPr>
            <w:noProof/>
            <w:webHidden/>
          </w:rPr>
          <w:fldChar w:fldCharType="begin"/>
        </w:r>
        <w:r w:rsidR="00E83049">
          <w:rPr>
            <w:noProof/>
            <w:webHidden/>
          </w:rPr>
          <w:instrText xml:space="preserve"> PAGEREF _Toc159329826 \h </w:instrText>
        </w:r>
        <w:r w:rsidR="00E83049">
          <w:rPr>
            <w:noProof/>
            <w:webHidden/>
          </w:rPr>
        </w:r>
        <w:r w:rsidR="00E83049">
          <w:rPr>
            <w:noProof/>
            <w:webHidden/>
          </w:rPr>
          <w:fldChar w:fldCharType="separate"/>
        </w:r>
        <w:r w:rsidR="00F6047B">
          <w:rPr>
            <w:noProof/>
            <w:webHidden/>
          </w:rPr>
          <w:t>17</w:t>
        </w:r>
        <w:r w:rsidR="00E83049">
          <w:rPr>
            <w:noProof/>
            <w:webHidden/>
          </w:rPr>
          <w:fldChar w:fldCharType="end"/>
        </w:r>
      </w:hyperlink>
    </w:p>
    <w:p w14:paraId="2BBED425" w14:textId="3C41B138" w:rsidR="00E83049" w:rsidRDefault="001105EA">
      <w:pPr>
        <w:pStyle w:val="TOC1"/>
        <w:rPr>
          <w:rFonts w:asciiTheme="minorHAnsi" w:eastAsiaTheme="minorEastAsia" w:hAnsiTheme="minorHAnsi" w:cstheme="minorBidi"/>
          <w:caps w:val="0"/>
          <w:noProof/>
          <w:szCs w:val="22"/>
          <w:lang w:eastAsia="en-GB"/>
        </w:rPr>
      </w:pPr>
      <w:hyperlink w:anchor="_Toc159329827" w:history="1">
        <w:r w:rsidR="00E83049" w:rsidRPr="00DF3F91">
          <w:rPr>
            <w:rStyle w:val="Hyperlink"/>
            <w:noProof/>
          </w:rPr>
          <w:t>19.</w:t>
        </w:r>
        <w:r w:rsidR="00E83049">
          <w:rPr>
            <w:rFonts w:asciiTheme="minorHAnsi" w:eastAsiaTheme="minorEastAsia" w:hAnsiTheme="minorHAnsi" w:cstheme="minorBidi"/>
            <w:caps w:val="0"/>
            <w:noProof/>
            <w:szCs w:val="22"/>
            <w:lang w:eastAsia="en-GB"/>
          </w:rPr>
          <w:tab/>
        </w:r>
        <w:r w:rsidR="00E83049" w:rsidRPr="00DF3F91">
          <w:rPr>
            <w:rStyle w:val="Hyperlink"/>
            <w:noProof/>
          </w:rPr>
          <w:t>Location</w:t>
        </w:r>
        <w:r w:rsidR="00E83049">
          <w:rPr>
            <w:noProof/>
            <w:webHidden/>
          </w:rPr>
          <w:tab/>
        </w:r>
        <w:r w:rsidR="00E83049">
          <w:rPr>
            <w:noProof/>
            <w:webHidden/>
          </w:rPr>
          <w:fldChar w:fldCharType="begin"/>
        </w:r>
        <w:r w:rsidR="00E83049">
          <w:rPr>
            <w:noProof/>
            <w:webHidden/>
          </w:rPr>
          <w:instrText xml:space="preserve"> PAGEREF _Toc159329827 \h </w:instrText>
        </w:r>
        <w:r w:rsidR="00E83049">
          <w:rPr>
            <w:noProof/>
            <w:webHidden/>
          </w:rPr>
        </w:r>
        <w:r w:rsidR="00E83049">
          <w:rPr>
            <w:noProof/>
            <w:webHidden/>
          </w:rPr>
          <w:fldChar w:fldCharType="separate"/>
        </w:r>
        <w:r w:rsidR="00F6047B">
          <w:rPr>
            <w:noProof/>
            <w:webHidden/>
          </w:rPr>
          <w:t>17</w:t>
        </w:r>
        <w:r w:rsidR="00E83049">
          <w:rPr>
            <w:noProof/>
            <w:webHidden/>
          </w:rPr>
          <w:fldChar w:fldCharType="end"/>
        </w:r>
      </w:hyperlink>
    </w:p>
    <w:p w14:paraId="52DD60D0" w14:textId="2CF8C4B8" w:rsidR="00E83049" w:rsidRDefault="001105EA">
      <w:pPr>
        <w:pStyle w:val="TOC1"/>
        <w:rPr>
          <w:rFonts w:asciiTheme="minorHAnsi" w:eastAsiaTheme="minorEastAsia" w:hAnsiTheme="minorHAnsi" w:cstheme="minorBidi"/>
          <w:caps w:val="0"/>
          <w:noProof/>
          <w:szCs w:val="22"/>
          <w:lang w:eastAsia="en-GB"/>
        </w:rPr>
      </w:pPr>
      <w:hyperlink w:anchor="_Toc159329828" w:history="1">
        <w:r w:rsidR="00E83049" w:rsidRPr="00DF3F91">
          <w:rPr>
            <w:rStyle w:val="Hyperlink"/>
            <w:noProof/>
          </w:rPr>
          <w:t>ANNEX A – Payment Schedule</w:t>
        </w:r>
        <w:r w:rsidR="00E83049">
          <w:rPr>
            <w:noProof/>
            <w:webHidden/>
          </w:rPr>
          <w:tab/>
        </w:r>
        <w:r w:rsidR="00E83049">
          <w:rPr>
            <w:noProof/>
            <w:webHidden/>
          </w:rPr>
          <w:fldChar w:fldCharType="begin"/>
        </w:r>
        <w:r w:rsidR="00E83049">
          <w:rPr>
            <w:noProof/>
            <w:webHidden/>
          </w:rPr>
          <w:instrText xml:space="preserve"> PAGEREF _Toc159329828 \h </w:instrText>
        </w:r>
        <w:r w:rsidR="00E83049">
          <w:rPr>
            <w:noProof/>
            <w:webHidden/>
          </w:rPr>
        </w:r>
        <w:r w:rsidR="00E83049">
          <w:rPr>
            <w:noProof/>
            <w:webHidden/>
          </w:rPr>
          <w:fldChar w:fldCharType="separate"/>
        </w:r>
        <w:r w:rsidR="00F6047B">
          <w:rPr>
            <w:noProof/>
            <w:webHidden/>
          </w:rPr>
          <w:t>17</w:t>
        </w:r>
        <w:r w:rsidR="00E83049">
          <w:rPr>
            <w:noProof/>
            <w:webHidden/>
          </w:rPr>
          <w:fldChar w:fldCharType="end"/>
        </w:r>
      </w:hyperlink>
    </w:p>
    <w:p w14:paraId="11D7EF72" w14:textId="32B0B9D7" w:rsidR="00E83049" w:rsidRDefault="001105EA">
      <w:pPr>
        <w:pStyle w:val="TOC1"/>
        <w:rPr>
          <w:rFonts w:asciiTheme="minorHAnsi" w:eastAsiaTheme="minorEastAsia" w:hAnsiTheme="minorHAnsi" w:cstheme="minorBidi"/>
          <w:caps w:val="0"/>
          <w:noProof/>
          <w:szCs w:val="22"/>
          <w:lang w:eastAsia="en-GB"/>
        </w:rPr>
      </w:pPr>
      <w:hyperlink w:anchor="_Toc159329829" w:history="1">
        <w:r w:rsidR="00E83049" w:rsidRPr="00DF3F91">
          <w:rPr>
            <w:rStyle w:val="Hyperlink"/>
            <w:noProof/>
          </w:rPr>
          <w:t>Annex B: Hotspot Response Fund Guidance 24/25</w:t>
        </w:r>
        <w:r w:rsidR="00E83049">
          <w:rPr>
            <w:noProof/>
            <w:webHidden/>
          </w:rPr>
          <w:tab/>
        </w:r>
        <w:r w:rsidR="00E83049">
          <w:rPr>
            <w:noProof/>
            <w:webHidden/>
          </w:rPr>
          <w:fldChar w:fldCharType="begin"/>
        </w:r>
        <w:r w:rsidR="00E83049">
          <w:rPr>
            <w:noProof/>
            <w:webHidden/>
          </w:rPr>
          <w:instrText xml:space="preserve"> PAGEREF _Toc159329829 \h </w:instrText>
        </w:r>
        <w:r w:rsidR="00E83049">
          <w:rPr>
            <w:noProof/>
            <w:webHidden/>
          </w:rPr>
        </w:r>
        <w:r w:rsidR="00E83049">
          <w:rPr>
            <w:noProof/>
            <w:webHidden/>
          </w:rPr>
          <w:fldChar w:fldCharType="separate"/>
        </w:r>
        <w:r w:rsidR="00F6047B">
          <w:rPr>
            <w:noProof/>
            <w:webHidden/>
          </w:rPr>
          <w:t>19</w:t>
        </w:r>
        <w:r w:rsidR="00E83049">
          <w:rPr>
            <w:noProof/>
            <w:webHidden/>
          </w:rPr>
          <w:fldChar w:fldCharType="end"/>
        </w:r>
      </w:hyperlink>
    </w:p>
    <w:p w14:paraId="374B790A" w14:textId="2409A0C3" w:rsidR="00FE18AC" w:rsidRDefault="00E10E97" w:rsidP="00FE18AC">
      <w:pPr>
        <w:spacing w:after="120"/>
        <w:jc w:val="center"/>
        <w:rPr>
          <w:rFonts w:cs="Arial"/>
          <w:caps/>
        </w:rPr>
      </w:pPr>
      <w:r w:rsidRPr="00FA5229">
        <w:rPr>
          <w:rFonts w:cs="Arial"/>
          <w:caps/>
        </w:rPr>
        <w:fldChar w:fldCharType="end"/>
      </w:r>
    </w:p>
    <w:p w14:paraId="33B6FC9C" w14:textId="0E05B116" w:rsidR="00002580" w:rsidRDefault="00002580" w:rsidP="00FE18AC">
      <w:pPr>
        <w:spacing w:after="120"/>
        <w:jc w:val="center"/>
        <w:rPr>
          <w:rFonts w:cs="Arial"/>
          <w:caps/>
        </w:rPr>
      </w:pPr>
    </w:p>
    <w:p w14:paraId="0B674641" w14:textId="5819791D" w:rsidR="00002580" w:rsidRDefault="00002580" w:rsidP="00FE18AC">
      <w:pPr>
        <w:spacing w:after="120"/>
        <w:jc w:val="center"/>
        <w:rPr>
          <w:rFonts w:cs="Arial"/>
          <w:caps/>
        </w:rPr>
      </w:pPr>
    </w:p>
    <w:p w14:paraId="6448310A" w14:textId="47ED6AA2" w:rsidR="00002580" w:rsidRDefault="00002580" w:rsidP="00FE18AC">
      <w:pPr>
        <w:spacing w:after="120"/>
        <w:jc w:val="center"/>
        <w:rPr>
          <w:rFonts w:cs="Arial"/>
          <w:caps/>
        </w:rPr>
      </w:pPr>
    </w:p>
    <w:p w14:paraId="7A209AAC" w14:textId="3AEB0B3C" w:rsidR="00002580" w:rsidRDefault="00002580" w:rsidP="00FE18AC">
      <w:pPr>
        <w:spacing w:after="120"/>
        <w:jc w:val="center"/>
        <w:rPr>
          <w:rFonts w:cs="Arial"/>
          <w:caps/>
        </w:rPr>
      </w:pPr>
    </w:p>
    <w:p w14:paraId="661ABD9C" w14:textId="0B2B2110" w:rsidR="00002580" w:rsidRDefault="00002580" w:rsidP="00FE18AC">
      <w:pPr>
        <w:spacing w:after="120"/>
        <w:jc w:val="center"/>
        <w:rPr>
          <w:rFonts w:cs="Arial"/>
          <w:caps/>
        </w:rPr>
      </w:pPr>
    </w:p>
    <w:p w14:paraId="27538D0B" w14:textId="3F2069D2" w:rsidR="00002580" w:rsidRDefault="00002580" w:rsidP="00FE18AC">
      <w:pPr>
        <w:spacing w:after="120"/>
        <w:jc w:val="center"/>
        <w:rPr>
          <w:rFonts w:cs="Arial"/>
          <w:caps/>
        </w:rPr>
      </w:pPr>
    </w:p>
    <w:p w14:paraId="656F4A80" w14:textId="6951726D" w:rsidR="00FE18AC" w:rsidRPr="001530F5" w:rsidRDefault="00FE18AC" w:rsidP="00002580">
      <w:pPr>
        <w:pStyle w:val="Heading1"/>
        <w:numPr>
          <w:ilvl w:val="0"/>
          <w:numId w:val="0"/>
        </w:numPr>
        <w:overflowPunct w:val="0"/>
        <w:autoSpaceDE w:val="0"/>
        <w:autoSpaceDN w:val="0"/>
        <w:spacing w:after="120"/>
        <w:textAlignment w:val="baseline"/>
        <w:rPr>
          <w:szCs w:val="22"/>
        </w:rPr>
      </w:pPr>
      <w:bookmarkStart w:id="0" w:name="_Toc297554772"/>
    </w:p>
    <w:p w14:paraId="7989F07B" w14:textId="77777777" w:rsidR="00593334" w:rsidRPr="00593334" w:rsidRDefault="00FE18AC" w:rsidP="00593334">
      <w:pPr>
        <w:pStyle w:val="Heading1"/>
        <w:numPr>
          <w:ilvl w:val="0"/>
          <w:numId w:val="22"/>
        </w:numPr>
        <w:tabs>
          <w:tab w:val="clear" w:pos="720"/>
        </w:tabs>
        <w:overflowPunct w:val="0"/>
        <w:autoSpaceDE w:val="0"/>
        <w:autoSpaceDN w:val="0"/>
        <w:spacing w:after="120"/>
        <w:textAlignment w:val="baseline"/>
        <w:rPr>
          <w:sz w:val="32"/>
          <w:szCs w:val="32"/>
        </w:rPr>
      </w:pPr>
      <w:bookmarkStart w:id="1" w:name="_Toc368573027"/>
      <w:bookmarkStart w:id="2" w:name="_Toc159329809"/>
      <w:r w:rsidRPr="001A45DF">
        <w:rPr>
          <w:caps w:val="0"/>
          <w:sz w:val="32"/>
          <w:szCs w:val="32"/>
        </w:rPr>
        <w:t>PURPOSE</w:t>
      </w:r>
      <w:bookmarkEnd w:id="0"/>
      <w:bookmarkEnd w:id="1"/>
      <w:bookmarkEnd w:id="2"/>
    </w:p>
    <w:p w14:paraId="6096B8E0" w14:textId="6C3F96C8" w:rsidR="008278FA" w:rsidRDefault="00002580" w:rsidP="008208FB">
      <w:pPr>
        <w:pStyle w:val="Normal1"/>
      </w:pPr>
      <w:bookmarkStart w:id="3" w:name="_Toc296415791"/>
      <w:r w:rsidRPr="00AF5152">
        <w:t xml:space="preserve">The Home Office (HO) is seeking to appoint a Supplier to </w:t>
      </w:r>
      <w:r w:rsidR="008278FA" w:rsidRPr="00AF5152">
        <w:t xml:space="preserve">support the evaluation of the Hotspot Response Fund 24-25. </w:t>
      </w:r>
      <w:r w:rsidRPr="00AF5152">
        <w:t xml:space="preserve"> </w:t>
      </w:r>
    </w:p>
    <w:p w14:paraId="035BB256" w14:textId="77777777" w:rsidR="00824B74" w:rsidRPr="00AF5152" w:rsidRDefault="00824B74" w:rsidP="008208FB">
      <w:pPr>
        <w:pStyle w:val="Normal1"/>
      </w:pPr>
    </w:p>
    <w:p w14:paraId="65E4AD0C" w14:textId="5C41D4B1" w:rsidR="00BD0283" w:rsidRPr="00BD0283" w:rsidRDefault="00FE18AC" w:rsidP="00BD0283">
      <w:pPr>
        <w:pStyle w:val="Heading1"/>
        <w:tabs>
          <w:tab w:val="clear" w:pos="720"/>
        </w:tabs>
        <w:overflowPunct w:val="0"/>
        <w:autoSpaceDE w:val="0"/>
        <w:autoSpaceDN w:val="0"/>
        <w:spacing w:after="120"/>
        <w:textAlignment w:val="baseline"/>
        <w:rPr>
          <w:sz w:val="32"/>
          <w:szCs w:val="32"/>
        </w:rPr>
      </w:pPr>
      <w:bookmarkStart w:id="4" w:name="_Toc368573028"/>
      <w:bookmarkStart w:id="5" w:name="_Toc159329810"/>
      <w:bookmarkStart w:id="6" w:name="_Toc297554773"/>
      <w:bookmarkStart w:id="7" w:name="_Toc296415805"/>
      <w:bookmarkStart w:id="8" w:name="_Toc296415793"/>
      <w:bookmarkEnd w:id="3"/>
      <w:r w:rsidRPr="001A45DF">
        <w:rPr>
          <w:sz w:val="32"/>
          <w:szCs w:val="32"/>
        </w:rPr>
        <w:t>BACKGROUND TO THE CONTRACTING aUTHORITY</w:t>
      </w:r>
      <w:bookmarkStart w:id="9" w:name="_Toc368573029"/>
      <w:bookmarkEnd w:id="4"/>
      <w:bookmarkEnd w:id="5"/>
    </w:p>
    <w:p w14:paraId="145C8076" w14:textId="7D1D2BCD" w:rsidR="00AF5152" w:rsidRDefault="00A604ED" w:rsidP="00CF1E1D">
      <w:pPr>
        <w:rPr>
          <w:rFonts w:cs="Arial"/>
        </w:rPr>
      </w:pPr>
      <w:r w:rsidRPr="00AF5152">
        <w:rPr>
          <w:rFonts w:eastAsia="Arial" w:cs="Arial"/>
          <w:bCs/>
          <w:color w:val="0B0B0B"/>
        </w:rPr>
        <w:t>In March 2023, t</w:t>
      </w:r>
      <w:r w:rsidRPr="00AF5152">
        <w:rPr>
          <w:rFonts w:cs="Arial"/>
        </w:rPr>
        <w:t xml:space="preserve">he Government published a new </w:t>
      </w:r>
      <w:hyperlink r:id="rId13" w:history="1">
        <w:r w:rsidRPr="00AF5152">
          <w:rPr>
            <w:rStyle w:val="Hyperlink"/>
            <w:rFonts w:cs="Arial"/>
          </w:rPr>
          <w:t>Anti-social Behaviour (ASB) action plan</w:t>
        </w:r>
      </w:hyperlink>
      <w:r w:rsidRPr="00AF5152">
        <w:rPr>
          <w:rFonts w:cs="Arial"/>
        </w:rPr>
        <w:t>. This included funding for ASB Hotspot Response pilots in ten P</w:t>
      </w:r>
      <w:r w:rsidR="006C0291">
        <w:rPr>
          <w:rFonts w:cs="Arial"/>
        </w:rPr>
        <w:t xml:space="preserve">olice </w:t>
      </w:r>
      <w:r w:rsidRPr="00AF5152">
        <w:rPr>
          <w:rFonts w:cs="Arial"/>
        </w:rPr>
        <w:t>C</w:t>
      </w:r>
      <w:r w:rsidR="006C0291">
        <w:rPr>
          <w:rFonts w:cs="Arial"/>
        </w:rPr>
        <w:t>rime Commissioner (PCC)</w:t>
      </w:r>
      <w:r w:rsidRPr="00AF5152">
        <w:rPr>
          <w:rFonts w:cs="Arial"/>
        </w:rPr>
        <w:t xml:space="preserve"> areas in 2023/24, ahead of an anticipated wider roll out across England and Wales in 2024/25. The aim of the ASB Hotspot Response was to ensure an enhanced uniformed presence in ASB hotspot areas.</w:t>
      </w:r>
    </w:p>
    <w:p w14:paraId="33378A61" w14:textId="77777777" w:rsidR="00332C70" w:rsidRDefault="00332C70" w:rsidP="00CF1E1D">
      <w:pPr>
        <w:rPr>
          <w:rFonts w:cs="Arial"/>
        </w:rPr>
      </w:pPr>
    </w:p>
    <w:p w14:paraId="3E75710D" w14:textId="77777777" w:rsidR="00E45D14" w:rsidRDefault="00A604ED" w:rsidP="00CF1E1D">
      <w:pPr>
        <w:rPr>
          <w:rFonts w:cs="Arial"/>
        </w:rPr>
      </w:pPr>
      <w:r w:rsidRPr="00FB6844">
        <w:rPr>
          <w:rFonts w:cs="Arial"/>
        </w:rPr>
        <w:t>Since 2021/22, the Government has also provided Grip funding to the 20 police force areas experiencing the highest levels of serious violence (SV) to support the police’s operational response to tackling SV. The aim of the Grip serious violence funding was to immediately suppress and reduce serious violence by increasing delivery of visible patrol activity in hotspots whilst also supporting adoption of strategic problem-oriented policing to address the root causes of violence within hotspot locations.</w:t>
      </w:r>
    </w:p>
    <w:p w14:paraId="2DE6D75C" w14:textId="77777777" w:rsidR="00CF1E1D" w:rsidRDefault="00CF1E1D" w:rsidP="00CF1E1D">
      <w:pPr>
        <w:rPr>
          <w:rFonts w:cs="Arial"/>
        </w:rPr>
      </w:pPr>
    </w:p>
    <w:p w14:paraId="0464AA42" w14:textId="2695D160" w:rsidR="00FB6844" w:rsidRDefault="00A604ED" w:rsidP="00CF1E1D">
      <w:pPr>
        <w:rPr>
          <w:rFonts w:cs="Arial"/>
        </w:rPr>
      </w:pPr>
      <w:r w:rsidRPr="00E45D14">
        <w:rPr>
          <w:rFonts w:cs="Arial"/>
        </w:rPr>
        <w:t xml:space="preserve">Recognising the overlap between ASB Hotspot Response patrolling and Grip serious violence hotspot policing, the Home Office has decided to combine these funding schemes and rollout the programme to all 43 PCCs in 24/25. </w:t>
      </w:r>
    </w:p>
    <w:p w14:paraId="7ACC87D1" w14:textId="77777777" w:rsidR="00CF1E1D" w:rsidRPr="00E45D14" w:rsidRDefault="00CF1E1D" w:rsidP="00CF1E1D">
      <w:pPr>
        <w:rPr>
          <w:rFonts w:cs="Arial"/>
        </w:rPr>
      </w:pPr>
    </w:p>
    <w:p w14:paraId="1FFBCF9F" w14:textId="77777777" w:rsidR="00BA02EE" w:rsidRDefault="00AF5152" w:rsidP="00CF1E1D">
      <w:r>
        <w:t>This merged approach will allow for force areas to use the full range of uniformed visible presence available in their area to conduct patrols in hotspots, for example, police officers, Police Community Support Officers (PCSOs), local authority community safety wardens, Business Improvement District (BID) patrol staff, etc.</w:t>
      </w:r>
      <w:r w:rsidR="00BA02EE">
        <w:t xml:space="preserve"> </w:t>
      </w:r>
    </w:p>
    <w:p w14:paraId="5B042FC7" w14:textId="77777777" w:rsidR="00BA02EE" w:rsidRDefault="00BA02EE" w:rsidP="00CF1E1D"/>
    <w:p w14:paraId="2966C2FC" w14:textId="1A58C82D" w:rsidR="00AF5152" w:rsidRDefault="00AF5152" w:rsidP="00CF1E1D">
      <w:r>
        <w:t>The decision to merge Grip and ASB hotspot response funding streams looks to build on the good practice already established. Accordingly, to avoid duplication and to reduce the number of separate funding streams, we will be giving relevant PCCs a single grant covering Grip activity and ASB hotspot response. Each force area will receive at least £1 million, as promised in the ASB Action Plan. Additionally, for force areas already in receipt of Grip funding, the Grip funding and the ASB funding will be combined given the overlap between the two schemes. The total funding available will be over £66 million.</w:t>
      </w:r>
    </w:p>
    <w:p w14:paraId="1B768E05" w14:textId="77777777" w:rsidR="00CF1E1D" w:rsidRPr="00FB6844" w:rsidRDefault="00CF1E1D" w:rsidP="00CF1E1D">
      <w:pPr>
        <w:rPr>
          <w:szCs w:val="20"/>
        </w:rPr>
      </w:pPr>
    </w:p>
    <w:p w14:paraId="14EFB67F" w14:textId="41932B27" w:rsidR="00814C1F" w:rsidRDefault="00814C1F" w:rsidP="00CF1E1D">
      <w:r>
        <w:t xml:space="preserve">The Hotspot Response programme will run from </w:t>
      </w:r>
      <w:r w:rsidRPr="00814C1F">
        <w:rPr>
          <w:b/>
          <w:bCs/>
        </w:rPr>
        <w:t>1 April 2024 to 31 March 2025</w:t>
      </w:r>
      <w:r>
        <w:t>.</w:t>
      </w:r>
    </w:p>
    <w:p w14:paraId="0E961106" w14:textId="77777777" w:rsidR="00E45D14" w:rsidRDefault="00E45D14" w:rsidP="00BD0283">
      <w:pPr>
        <w:pStyle w:val="Mainbodytext-tight"/>
      </w:pPr>
    </w:p>
    <w:p w14:paraId="768F501A" w14:textId="77777777" w:rsidR="00BD0283" w:rsidRPr="00814C1F" w:rsidRDefault="00814C1F" w:rsidP="00AF5152">
      <w:pPr>
        <w:pStyle w:val="Heading1"/>
        <w:tabs>
          <w:tab w:val="clear" w:pos="720"/>
        </w:tabs>
        <w:overflowPunct w:val="0"/>
        <w:autoSpaceDE w:val="0"/>
        <w:autoSpaceDN w:val="0"/>
        <w:spacing w:after="120"/>
        <w:textAlignment w:val="baseline"/>
        <w:rPr>
          <w:sz w:val="32"/>
          <w:szCs w:val="32"/>
        </w:rPr>
      </w:pPr>
      <w:bookmarkStart w:id="10" w:name="_Toc159329811"/>
      <w:r w:rsidRPr="001A45DF">
        <w:rPr>
          <w:sz w:val="32"/>
          <w:szCs w:val="32"/>
        </w:rPr>
        <w:t>Background to requirement/OVERVIEW of requirement</w:t>
      </w:r>
      <w:bookmarkEnd w:id="10"/>
    </w:p>
    <w:p w14:paraId="04924D70" w14:textId="77777777" w:rsidR="00814C1F" w:rsidRDefault="00814C1F" w:rsidP="00814C1F">
      <w:pPr>
        <w:pStyle w:val="Mainbodytext-tight"/>
        <w:rPr>
          <w:rFonts w:cs="Arial"/>
          <w:sz w:val="24"/>
          <w:szCs w:val="24"/>
        </w:rPr>
      </w:pPr>
    </w:p>
    <w:p w14:paraId="35978AF8" w14:textId="7300E65C" w:rsidR="00814C1F" w:rsidRDefault="00814C1F" w:rsidP="00814C1F">
      <w:pPr>
        <w:pStyle w:val="Mainbodytext-tight"/>
        <w:rPr>
          <w:rFonts w:eastAsia="Arial" w:cs="Arial"/>
          <w:bCs/>
          <w:color w:val="0B0B0B"/>
        </w:rPr>
      </w:pPr>
      <w:r w:rsidRPr="00AF5152">
        <w:rPr>
          <w:rFonts w:eastAsia="Arial" w:cs="Arial"/>
          <w:bCs/>
          <w:color w:val="0B0B0B"/>
        </w:rPr>
        <w:lastRenderedPageBreak/>
        <w:t>The purpose of this work will be to support the Home Office in evaluating national rollout of the programme. This will build on previous monitoring and evaluation activity that has been conducted related to previous iterations of the Grip and ASB Hotspot Response programmes</w:t>
      </w:r>
      <w:r>
        <w:rPr>
          <w:rFonts w:eastAsia="Arial" w:cs="Arial"/>
          <w:bCs/>
          <w:color w:val="0B0B0B"/>
        </w:rPr>
        <w:t xml:space="preserve"> and align with internal monitoring and evaluation activity that will be delivered as part of national rollout. </w:t>
      </w:r>
    </w:p>
    <w:p w14:paraId="26AA15DC" w14:textId="77777777" w:rsidR="00C537A3" w:rsidRDefault="00C537A3" w:rsidP="00814C1F">
      <w:pPr>
        <w:pStyle w:val="Mainbodytext-tight"/>
        <w:rPr>
          <w:rFonts w:eastAsia="Arial" w:cs="Arial"/>
          <w:bCs/>
          <w:color w:val="0B0B0B"/>
        </w:rPr>
      </w:pPr>
    </w:p>
    <w:p w14:paraId="2456DDAA" w14:textId="66156187" w:rsidR="00814C1F" w:rsidRPr="00C537A3" w:rsidRDefault="00814C1F" w:rsidP="00AF5152">
      <w:pPr>
        <w:pStyle w:val="Mainbodytext-tight"/>
        <w:rPr>
          <w:rFonts w:eastAsia="Arial" w:cs="Arial"/>
          <w:bCs/>
          <w:color w:val="0B0B0B"/>
        </w:rPr>
      </w:pPr>
      <w:r>
        <w:rPr>
          <w:rFonts w:eastAsia="Arial" w:cs="Arial"/>
          <w:bCs/>
          <w:color w:val="0B0B0B"/>
        </w:rPr>
        <w:t xml:space="preserve">The Home Office have existing plans in place to collect monitoring and crime/incident data from PCCs to measure impact of national rollout but require a supplier to support our internal activity, conducting qualitative activity with PCC and stakeholders to capture perceptions of impact of the programme and process related elements, as well as conducting a quantitative public perceptions survey to understand the impact on communities in </w:t>
      </w:r>
      <w:r w:rsidRPr="00C537A3">
        <w:rPr>
          <w:rFonts w:eastAsia="Arial" w:cs="Arial"/>
          <w:bCs/>
          <w:color w:val="0B0B0B"/>
        </w:rPr>
        <w:t>identified hotspot areas.</w:t>
      </w:r>
      <w:r>
        <w:rPr>
          <w:rFonts w:eastAsia="Arial" w:cs="Arial"/>
          <w:bCs/>
          <w:color w:val="0B0B0B"/>
        </w:rPr>
        <w:t xml:space="preserve"> </w:t>
      </w:r>
    </w:p>
    <w:p w14:paraId="33D2B5DC" w14:textId="77777777" w:rsidR="00814C1F" w:rsidRDefault="00814C1F" w:rsidP="00AF5152">
      <w:pPr>
        <w:pStyle w:val="Mainbodytext-tight"/>
        <w:rPr>
          <w:rFonts w:cs="Arial"/>
          <w:sz w:val="24"/>
          <w:szCs w:val="24"/>
        </w:rPr>
      </w:pPr>
    </w:p>
    <w:p w14:paraId="2B7E316B" w14:textId="5327D19D" w:rsidR="00593334" w:rsidRDefault="00BD0283" w:rsidP="00593334">
      <w:pPr>
        <w:pStyle w:val="Heading2"/>
        <w:rPr>
          <w:b/>
          <w:bCs/>
        </w:rPr>
      </w:pPr>
      <w:r w:rsidRPr="00AC61EA">
        <w:rPr>
          <w:b/>
          <w:bCs/>
        </w:rPr>
        <w:t xml:space="preserve">Objectives </w:t>
      </w:r>
    </w:p>
    <w:p w14:paraId="4F8C5420" w14:textId="77777777" w:rsidR="00593334" w:rsidRDefault="00593334" w:rsidP="008208FB">
      <w:pPr>
        <w:pStyle w:val="Normal1"/>
      </w:pPr>
      <w:r>
        <w:t xml:space="preserve">The key objectives of the programme are listed below, along with details on how we expect these objectives to be evaluated or monitored indirectly. The monitoring and evaluation of these objectives will adopt a combined approach between the HO and selected Supplier. </w:t>
      </w:r>
    </w:p>
    <w:p w14:paraId="558426C4" w14:textId="77777777" w:rsidR="00593334" w:rsidRDefault="00593334" w:rsidP="008208FB">
      <w:pPr>
        <w:pStyle w:val="Normal1"/>
        <w:numPr>
          <w:ilvl w:val="0"/>
          <w:numId w:val="58"/>
        </w:numPr>
      </w:pPr>
      <w:r>
        <w:t xml:space="preserve">Reduction in Hospital admissions for assaults with a knife or sharp object (for all ages, and especially those under 25-year-olds): monitored indirectly. </w:t>
      </w:r>
    </w:p>
    <w:p w14:paraId="49D0108F" w14:textId="77777777" w:rsidR="00593334" w:rsidRDefault="00593334" w:rsidP="008208FB">
      <w:pPr>
        <w:pStyle w:val="Normal1"/>
        <w:numPr>
          <w:ilvl w:val="0"/>
          <w:numId w:val="58"/>
        </w:numPr>
      </w:pPr>
      <w:r>
        <w:t xml:space="preserve">Reduction in Knife and sharp instrument flagged offences recorded by police for all ages, based on police recorded crime data: monitored indirectly initially although may be directly evaluated at some stage. </w:t>
      </w:r>
    </w:p>
    <w:p w14:paraId="4E18123E" w14:textId="77777777" w:rsidR="00593334" w:rsidRDefault="00593334" w:rsidP="008208FB">
      <w:pPr>
        <w:pStyle w:val="Normal1"/>
        <w:numPr>
          <w:ilvl w:val="0"/>
          <w:numId w:val="58"/>
        </w:numPr>
      </w:pPr>
      <w:r>
        <w:t xml:space="preserve">Reduction in homicides recorded by the police but especially among those victims aged under 25 and in non-domestic settings (where the data allows): monitored </w:t>
      </w:r>
      <w:proofErr w:type="gramStart"/>
      <w:r>
        <w:t>indirectly</w:t>
      </w:r>
      <w:proofErr w:type="gramEnd"/>
      <w:r>
        <w:t xml:space="preserve"> </w:t>
      </w:r>
    </w:p>
    <w:p w14:paraId="0C80BBA1" w14:textId="77777777" w:rsidR="00593334" w:rsidRDefault="00593334" w:rsidP="008208FB">
      <w:pPr>
        <w:pStyle w:val="Normal1"/>
        <w:numPr>
          <w:ilvl w:val="0"/>
          <w:numId w:val="58"/>
        </w:numPr>
      </w:pPr>
      <w:r>
        <w:t xml:space="preserve">Reduction in firearms offences (under 25s) recorded by the police: monitored </w:t>
      </w:r>
      <w:proofErr w:type="gramStart"/>
      <w:r>
        <w:t>indirectly</w:t>
      </w:r>
      <w:proofErr w:type="gramEnd"/>
      <w:r>
        <w:t xml:space="preserve"> </w:t>
      </w:r>
    </w:p>
    <w:p w14:paraId="41AAC091" w14:textId="77777777" w:rsidR="00593334" w:rsidRDefault="00593334" w:rsidP="008208FB">
      <w:pPr>
        <w:pStyle w:val="Normal1"/>
        <w:numPr>
          <w:ilvl w:val="0"/>
          <w:numId w:val="58"/>
        </w:numPr>
      </w:pPr>
      <w:r>
        <w:t xml:space="preserve">Reduction in attempted murder and assault with intent to cause serious harm recorded by the police: directly evaluated by Home Office </w:t>
      </w:r>
    </w:p>
    <w:p w14:paraId="4EAA538A" w14:textId="77777777" w:rsidR="00593334" w:rsidRDefault="00593334" w:rsidP="008208FB">
      <w:pPr>
        <w:pStyle w:val="Normal1"/>
        <w:numPr>
          <w:ilvl w:val="0"/>
          <w:numId w:val="58"/>
        </w:numPr>
      </w:pPr>
      <w:r>
        <w:t xml:space="preserve">Reduction in robberies of businesses and people recorded by the police: directly evaluated by Home Office </w:t>
      </w:r>
    </w:p>
    <w:p w14:paraId="4471A8BC" w14:textId="77777777" w:rsidR="008208FB" w:rsidRDefault="00593334" w:rsidP="008208FB">
      <w:pPr>
        <w:pStyle w:val="Normal1"/>
        <w:numPr>
          <w:ilvl w:val="0"/>
          <w:numId w:val="58"/>
        </w:numPr>
      </w:pPr>
      <w:r>
        <w:t xml:space="preserve">Reduction in incidents of ASB, directly evaluated by Home Office </w:t>
      </w:r>
    </w:p>
    <w:p w14:paraId="7753BF4E" w14:textId="3377C5CC" w:rsidR="00593334" w:rsidRDefault="00593334" w:rsidP="008208FB">
      <w:pPr>
        <w:pStyle w:val="Normal1"/>
        <w:numPr>
          <w:ilvl w:val="0"/>
          <w:numId w:val="58"/>
        </w:numPr>
      </w:pPr>
      <w:r>
        <w:t xml:space="preserve">Reduction in proportion of people in hotspots concerned about ASB: directly evaluated by evaluation partner using </w:t>
      </w:r>
      <w:proofErr w:type="gramStart"/>
      <w:r>
        <w:t>surveys</w:t>
      </w:r>
      <w:proofErr w:type="gramEnd"/>
    </w:p>
    <w:p w14:paraId="62DEFBEF" w14:textId="77777777" w:rsidR="00593334" w:rsidRDefault="00593334" w:rsidP="008208FB">
      <w:pPr>
        <w:pStyle w:val="Normal1"/>
        <w:numPr>
          <w:ilvl w:val="0"/>
          <w:numId w:val="58"/>
        </w:numPr>
      </w:pPr>
      <w:r>
        <w:t xml:space="preserve">Reduction in proportion of people in hotspots reporting, experiencing, or witnessing ASB; directly evaluated by evaluation partner using </w:t>
      </w:r>
      <w:proofErr w:type="gramStart"/>
      <w:r>
        <w:t>surveys</w:t>
      </w:r>
      <w:proofErr w:type="gramEnd"/>
    </w:p>
    <w:p w14:paraId="1F73EF8B" w14:textId="77777777" w:rsidR="00593334" w:rsidRDefault="00593334" w:rsidP="008208FB">
      <w:pPr>
        <w:pStyle w:val="Normal1"/>
        <w:numPr>
          <w:ilvl w:val="0"/>
          <w:numId w:val="58"/>
        </w:numPr>
      </w:pPr>
      <w:r>
        <w:t>Reduction in ASB-linked offences recorded by the police (</w:t>
      </w:r>
      <w:proofErr w:type="gramStart"/>
      <w:r>
        <w:t>e.g.</w:t>
      </w:r>
      <w:proofErr w:type="gramEnd"/>
      <w:r>
        <w:t xml:space="preserve"> public order, drug misuse and criminal damage): directly evaluated by Home Office </w:t>
      </w:r>
    </w:p>
    <w:p w14:paraId="3DB97AAB" w14:textId="77777777" w:rsidR="00593334" w:rsidRDefault="00593334" w:rsidP="008208FB">
      <w:pPr>
        <w:pStyle w:val="Normal1"/>
      </w:pPr>
      <w:r>
        <w:t xml:space="preserve">Secondary objectives of the Hotspot Response are: </w:t>
      </w:r>
    </w:p>
    <w:p w14:paraId="0FA3BD6D" w14:textId="77777777" w:rsidR="00593334" w:rsidRDefault="00593334" w:rsidP="008208FB">
      <w:pPr>
        <w:pStyle w:val="Normal1"/>
        <w:numPr>
          <w:ilvl w:val="0"/>
          <w:numId w:val="59"/>
        </w:numPr>
      </w:pPr>
      <w:r>
        <w:t xml:space="preserve">Increased likelihood of public confidence in hotspot areas reporting on ASB; directly evaluated by evaluation partner using </w:t>
      </w:r>
      <w:proofErr w:type="gramStart"/>
      <w:r>
        <w:t>surveys</w:t>
      </w:r>
      <w:proofErr w:type="gramEnd"/>
    </w:p>
    <w:p w14:paraId="17A6C722" w14:textId="77777777" w:rsidR="00593334" w:rsidRDefault="00593334" w:rsidP="008208FB">
      <w:pPr>
        <w:pStyle w:val="Normal1"/>
        <w:numPr>
          <w:ilvl w:val="0"/>
          <w:numId w:val="59"/>
        </w:numPr>
      </w:pPr>
      <w:r>
        <w:lastRenderedPageBreak/>
        <w:t xml:space="preserve">Increased understanding of resident needs; directly evaluated by evaluation partner using </w:t>
      </w:r>
      <w:proofErr w:type="gramStart"/>
      <w:r>
        <w:t>surveys</w:t>
      </w:r>
      <w:proofErr w:type="gramEnd"/>
    </w:p>
    <w:p w14:paraId="7432103B" w14:textId="77777777" w:rsidR="00593334" w:rsidRDefault="00593334" w:rsidP="008208FB">
      <w:pPr>
        <w:pStyle w:val="Normal1"/>
        <w:numPr>
          <w:ilvl w:val="0"/>
          <w:numId w:val="59"/>
        </w:numPr>
      </w:pPr>
      <w:r>
        <w:t xml:space="preserve">Increased trust in police/authorities in tackling ASB and SV; directly evaluated by evaluation partner using </w:t>
      </w:r>
      <w:proofErr w:type="gramStart"/>
      <w:r>
        <w:t>surveys</w:t>
      </w:r>
      <w:proofErr w:type="gramEnd"/>
    </w:p>
    <w:p w14:paraId="3FA5A012" w14:textId="77777777" w:rsidR="00593334" w:rsidRDefault="00593334" w:rsidP="008208FB">
      <w:pPr>
        <w:pStyle w:val="Normal1"/>
        <w:numPr>
          <w:ilvl w:val="0"/>
          <w:numId w:val="59"/>
        </w:numPr>
      </w:pPr>
      <w:r>
        <w:t xml:space="preserve">Increased comfort for residents in using hotspot public spaces: directly evaluated by evaluation partner using </w:t>
      </w:r>
      <w:proofErr w:type="gramStart"/>
      <w:r>
        <w:t>surveys</w:t>
      </w:r>
      <w:proofErr w:type="gramEnd"/>
    </w:p>
    <w:p w14:paraId="4FFA9719" w14:textId="77777777" w:rsidR="00593334" w:rsidRDefault="00593334" w:rsidP="008208FB">
      <w:pPr>
        <w:pStyle w:val="Normal1"/>
        <w:numPr>
          <w:ilvl w:val="0"/>
          <w:numId w:val="59"/>
        </w:numPr>
      </w:pPr>
      <w:r>
        <w:t>Reduction of total violence recorded by the police; directly evaluated by Home Office</w:t>
      </w:r>
    </w:p>
    <w:p w14:paraId="5B837BA3" w14:textId="77777777" w:rsidR="00593334" w:rsidRDefault="00593334" w:rsidP="008208FB">
      <w:pPr>
        <w:pStyle w:val="Normal1"/>
        <w:numPr>
          <w:ilvl w:val="0"/>
          <w:numId w:val="59"/>
        </w:numPr>
      </w:pPr>
      <w:r>
        <w:t xml:space="preserve">Reduction in all crime recorded by the police; directly evaluated by Home Office </w:t>
      </w:r>
    </w:p>
    <w:p w14:paraId="14104E8F" w14:textId="0B7DD313" w:rsidR="00593334" w:rsidRDefault="00593334" w:rsidP="008208FB">
      <w:pPr>
        <w:pStyle w:val="Normal1"/>
      </w:pPr>
      <w:r>
        <w:t>For police recorded crime categories and ASB incidents we want to see long-term reductions, but we accept that there may be small short-term impacts from changes to reporting and recording driven by the additional patrols/visibility.</w:t>
      </w:r>
    </w:p>
    <w:p w14:paraId="19793B1D" w14:textId="77777777" w:rsidR="008208FB" w:rsidRPr="008208FB" w:rsidRDefault="008208FB" w:rsidP="008208FB">
      <w:pPr>
        <w:pStyle w:val="Normal1"/>
      </w:pPr>
    </w:p>
    <w:p w14:paraId="340867E9" w14:textId="32A24B80" w:rsidR="003536BF" w:rsidRPr="00E83049" w:rsidRDefault="003536BF" w:rsidP="003536BF">
      <w:pPr>
        <w:pStyle w:val="Mainbodytext-tight"/>
      </w:pPr>
      <w:r>
        <w:t xml:space="preserve">To maximise the </w:t>
      </w:r>
      <w:r w:rsidRPr="00E83049">
        <w:t xml:space="preserve">opportunity to achieve the above objectives, the HO </w:t>
      </w:r>
      <w:proofErr w:type="gramStart"/>
      <w:r w:rsidRPr="00E83049">
        <w:t>have</w:t>
      </w:r>
      <w:proofErr w:type="gramEnd"/>
      <w:r w:rsidRPr="00E83049">
        <w:t xml:space="preserve"> set out a list of requirements for force areas to meet. The requirements set out </w:t>
      </w:r>
      <w:r w:rsidR="00EF644A" w:rsidRPr="00E83049">
        <w:t xml:space="preserve">in Annex </w:t>
      </w:r>
      <w:r w:rsidR="00E83049" w:rsidRPr="00E83049">
        <w:t>B</w:t>
      </w:r>
      <w:r w:rsidR="00EF644A" w:rsidRPr="00E83049">
        <w:t xml:space="preserve"> </w:t>
      </w:r>
      <w:r w:rsidRPr="00E83049">
        <w:t xml:space="preserve">are based upon best practice from the delivery of the ASB Hotspot Response pilots, the delivery of the Grip programme, guidance from the College of Policing and academic best practice. This is to support force areas in delivering Hotspot Response as effectively as possible to ensure it maximises the impact by reducing SV and ASB and increases public confidence. </w:t>
      </w:r>
    </w:p>
    <w:p w14:paraId="41872418" w14:textId="77777777" w:rsidR="003536BF" w:rsidRPr="00E83049" w:rsidRDefault="003536BF" w:rsidP="003536BF">
      <w:pPr>
        <w:pStyle w:val="Mainbodytext-tight"/>
      </w:pPr>
    </w:p>
    <w:p w14:paraId="487A80F2" w14:textId="3BB08932" w:rsidR="00A447A9" w:rsidRPr="003D7778" w:rsidRDefault="003536BF" w:rsidP="00A447A9">
      <w:pPr>
        <w:pStyle w:val="Mainbodytext-tight"/>
      </w:pPr>
      <w:r w:rsidRPr="00E83049">
        <w:t xml:space="preserve">The Supplier should </w:t>
      </w:r>
      <w:r w:rsidR="003D7778" w:rsidRPr="00E83049">
        <w:t xml:space="preserve">read Annex </w:t>
      </w:r>
      <w:r w:rsidR="00E83049" w:rsidRPr="00E83049">
        <w:t>B</w:t>
      </w:r>
      <w:r w:rsidR="003D7778" w:rsidRPr="00E83049">
        <w:t xml:space="preserve"> and </w:t>
      </w:r>
      <w:r w:rsidRPr="00E83049">
        <w:t>consider these requirements when designing and submitting a proposal.</w:t>
      </w:r>
      <w:r>
        <w:t xml:space="preserve"> </w:t>
      </w:r>
      <w:bookmarkStart w:id="11" w:name="_Toc297554774"/>
      <w:bookmarkEnd w:id="6"/>
      <w:bookmarkEnd w:id="7"/>
      <w:bookmarkEnd w:id="9"/>
    </w:p>
    <w:p w14:paraId="4CE0ECA4" w14:textId="77777777" w:rsidR="00AF5152" w:rsidRPr="00AF5152" w:rsidRDefault="00AF5152" w:rsidP="00AF5152">
      <w:pPr>
        <w:pStyle w:val="Mainbodytext-tight"/>
      </w:pPr>
    </w:p>
    <w:p w14:paraId="3C13AC04" w14:textId="504EE09D" w:rsidR="00A447A9" w:rsidRDefault="00FE18AC" w:rsidP="00A447A9">
      <w:pPr>
        <w:pStyle w:val="Heading1"/>
        <w:tabs>
          <w:tab w:val="clear" w:pos="720"/>
        </w:tabs>
        <w:overflowPunct w:val="0"/>
        <w:autoSpaceDE w:val="0"/>
        <w:autoSpaceDN w:val="0"/>
        <w:spacing w:before="240" w:after="120"/>
        <w:textAlignment w:val="baseline"/>
        <w:rPr>
          <w:sz w:val="32"/>
          <w:szCs w:val="32"/>
        </w:rPr>
      </w:pPr>
      <w:bookmarkStart w:id="12" w:name="_Toc368573030"/>
      <w:bookmarkStart w:id="13" w:name="_Toc159329812"/>
      <w:r w:rsidRPr="001A45DF">
        <w:rPr>
          <w:sz w:val="32"/>
          <w:szCs w:val="32"/>
        </w:rPr>
        <w:t>scope of requirement</w:t>
      </w:r>
      <w:bookmarkEnd w:id="11"/>
      <w:bookmarkEnd w:id="12"/>
      <w:bookmarkEnd w:id="13"/>
      <w:r w:rsidRPr="001A45DF">
        <w:rPr>
          <w:sz w:val="32"/>
          <w:szCs w:val="32"/>
        </w:rPr>
        <w:t xml:space="preserve"> </w:t>
      </w:r>
    </w:p>
    <w:p w14:paraId="01E60AD6" w14:textId="77777777" w:rsidR="00A447A9" w:rsidRDefault="00A447A9" w:rsidP="00A447A9">
      <w:pPr>
        <w:pStyle w:val="Mainbodytext-tight"/>
      </w:pPr>
    </w:p>
    <w:p w14:paraId="088B26C4" w14:textId="7C31F3FB" w:rsidR="00A447A9" w:rsidRDefault="00A447A9" w:rsidP="00A447A9">
      <w:pPr>
        <w:pStyle w:val="Mainbodytext-tight"/>
      </w:pPr>
      <w:r>
        <w:t xml:space="preserve">The </w:t>
      </w:r>
      <w:r w:rsidR="006C0A96">
        <w:t xml:space="preserve">Authority requires an evaluation partner to work with the HO to deliver a monitoring and evaluation </w:t>
      </w:r>
      <w:r>
        <w:t xml:space="preserve">programme </w:t>
      </w:r>
      <w:r w:rsidR="006C0A96">
        <w:t xml:space="preserve">that will cover </w:t>
      </w:r>
      <w:proofErr w:type="gramStart"/>
      <w:r w:rsidR="006C0A96">
        <w:t>a number of</w:t>
      </w:r>
      <w:proofErr w:type="gramEnd"/>
      <w:r w:rsidR="006C0A96">
        <w:t xml:space="preserve"> strands</w:t>
      </w:r>
      <w:r w:rsidR="00ED33BA">
        <w:t>.</w:t>
      </w:r>
    </w:p>
    <w:p w14:paraId="2369DE05" w14:textId="2F7726C8" w:rsidR="00ED33BA" w:rsidRDefault="00ED33BA" w:rsidP="00A447A9">
      <w:pPr>
        <w:pStyle w:val="Mainbodytext-tight"/>
      </w:pPr>
    </w:p>
    <w:p w14:paraId="09178CA5" w14:textId="3EF6EE5A" w:rsidR="00ED33BA" w:rsidRDefault="00ED33BA" w:rsidP="00A447A9">
      <w:pPr>
        <w:pStyle w:val="Mainbodytext-tight"/>
      </w:pPr>
      <w:r>
        <w:t>The following strands will be delivered by the HO:</w:t>
      </w:r>
    </w:p>
    <w:p w14:paraId="0C87DC16" w14:textId="5312FECC" w:rsidR="00A447A9" w:rsidRDefault="00A447A9" w:rsidP="00A447A9">
      <w:pPr>
        <w:pStyle w:val="Mainbodytext-tight"/>
      </w:pPr>
    </w:p>
    <w:p w14:paraId="0B6D468E" w14:textId="3CBB443C" w:rsidR="00A447A9" w:rsidRDefault="00A447A9" w:rsidP="003A4CF8">
      <w:pPr>
        <w:pStyle w:val="Mainbodytext-tight"/>
        <w:numPr>
          <w:ilvl w:val="0"/>
          <w:numId w:val="37"/>
        </w:numPr>
      </w:pPr>
      <w:r w:rsidRPr="00A447A9">
        <w:rPr>
          <w:b/>
          <w:bCs/>
        </w:rPr>
        <w:t>Monitoring data</w:t>
      </w:r>
      <w:r>
        <w:t xml:space="preserve">: as detailed above, </w:t>
      </w:r>
      <w:r w:rsidR="00C61DC5">
        <w:t xml:space="preserve">all 43 </w:t>
      </w:r>
      <w:r>
        <w:t xml:space="preserve">force areas will be expected </w:t>
      </w:r>
      <w:r w:rsidR="006C0A96">
        <w:t xml:space="preserve">to </w:t>
      </w:r>
      <w:r>
        <w:t xml:space="preserve">provide </w:t>
      </w:r>
      <w:r w:rsidR="006C0A96">
        <w:t xml:space="preserve">routine </w:t>
      </w:r>
      <w:r>
        <w:t xml:space="preserve">monitoring data related to delivery of the programme. All monitoring data will be shared with the Supplier. </w:t>
      </w:r>
    </w:p>
    <w:p w14:paraId="24ED2859" w14:textId="77777777" w:rsidR="00A447A9" w:rsidRDefault="00A447A9" w:rsidP="00A447A9">
      <w:pPr>
        <w:pStyle w:val="Mainbodytext-tight"/>
        <w:ind w:left="720"/>
      </w:pPr>
    </w:p>
    <w:p w14:paraId="1AC5CAE7" w14:textId="7292F927" w:rsidR="00A447A9" w:rsidRPr="00A447A9" w:rsidRDefault="00A447A9" w:rsidP="003A4CF8">
      <w:pPr>
        <w:pStyle w:val="Mainbodytext-tight"/>
        <w:numPr>
          <w:ilvl w:val="0"/>
          <w:numId w:val="37"/>
        </w:numPr>
        <w:rPr>
          <w:b/>
          <w:bCs/>
        </w:rPr>
      </w:pPr>
      <w:r w:rsidRPr="00A447A9">
        <w:rPr>
          <w:b/>
          <w:bCs/>
        </w:rPr>
        <w:t xml:space="preserve">Impact: </w:t>
      </w:r>
    </w:p>
    <w:p w14:paraId="7F1EA1B5" w14:textId="2B5E8CC8" w:rsidR="00A447A9" w:rsidRDefault="00A447A9" w:rsidP="003A4CF8">
      <w:pPr>
        <w:pStyle w:val="Mainbodytext-tight"/>
        <w:numPr>
          <w:ilvl w:val="0"/>
          <w:numId w:val="38"/>
        </w:numPr>
      </w:pPr>
      <w:r>
        <w:t xml:space="preserve">Measuring impact on Crime/Incidents: this will be carried out by the Home Office using patrol crime and incident data provided by force areas on a quarterly basis. It will assess the programmes direct impacts on various categories of police recorded crime and ASB incidents. Where possible, we will also look to assess value for money. </w:t>
      </w:r>
    </w:p>
    <w:p w14:paraId="654B95FE" w14:textId="26D620DB" w:rsidR="00FC1558" w:rsidRDefault="00FC1558" w:rsidP="003A4CF8">
      <w:pPr>
        <w:pStyle w:val="Mainbodytext-tight"/>
        <w:numPr>
          <w:ilvl w:val="0"/>
          <w:numId w:val="38"/>
        </w:numPr>
      </w:pPr>
      <w:r>
        <w:lastRenderedPageBreak/>
        <w:t>HO produced Theory of Change to demonstrate how delivery is expected to achieve the primary and secondary objectives that have been outlined in this document.</w:t>
      </w:r>
    </w:p>
    <w:p w14:paraId="2E0D1E6C" w14:textId="4854E9FA" w:rsidR="00ED33BA" w:rsidRDefault="00ED33BA" w:rsidP="00ED33BA">
      <w:pPr>
        <w:pStyle w:val="Mainbodytext-tight"/>
      </w:pPr>
    </w:p>
    <w:p w14:paraId="7CA1065D" w14:textId="20C8788B" w:rsidR="00ED33BA" w:rsidRDefault="00ED33BA" w:rsidP="00ED33BA">
      <w:pPr>
        <w:pStyle w:val="Mainbodytext-tight"/>
      </w:pPr>
      <w:r>
        <w:t xml:space="preserve">The following strands will be delivered by the Supplier as part of this requirement: </w:t>
      </w:r>
    </w:p>
    <w:p w14:paraId="45C52AB0" w14:textId="77777777" w:rsidR="00ED33BA" w:rsidRDefault="00ED33BA" w:rsidP="00ED33BA">
      <w:pPr>
        <w:pStyle w:val="Mainbodytext-tight"/>
      </w:pPr>
    </w:p>
    <w:p w14:paraId="5EAC024B" w14:textId="60DA7EF1" w:rsidR="006D5F97" w:rsidRPr="006D5F97" w:rsidRDefault="006D5F97" w:rsidP="003A4CF8">
      <w:pPr>
        <w:pStyle w:val="Mainbodytext-tight"/>
        <w:numPr>
          <w:ilvl w:val="0"/>
          <w:numId w:val="43"/>
        </w:numPr>
        <w:rPr>
          <w:b/>
          <w:bCs/>
        </w:rPr>
      </w:pPr>
      <w:r w:rsidRPr="006D5F97">
        <w:rPr>
          <w:b/>
          <w:bCs/>
        </w:rPr>
        <w:t>Impact:</w:t>
      </w:r>
    </w:p>
    <w:p w14:paraId="790922DB" w14:textId="4DAE1751" w:rsidR="00A447A9" w:rsidRDefault="00A447A9" w:rsidP="003A4CF8">
      <w:pPr>
        <w:pStyle w:val="Mainbodytext-tight"/>
        <w:numPr>
          <w:ilvl w:val="0"/>
          <w:numId w:val="38"/>
        </w:numPr>
      </w:pPr>
      <w:r>
        <w:t xml:space="preserve">Measuring impact on community perceptions (feelings of safety, witnessing ASB/SV etc): will be measured by the Supplier. It is a funding requirement that all </w:t>
      </w:r>
      <w:r w:rsidR="00344B00">
        <w:t xml:space="preserve">PCCs/force areas </w:t>
      </w:r>
      <w:r>
        <w:t xml:space="preserve">should be prepared to work with the Supplier throughout the life cycle of delivery and post implementation.  </w:t>
      </w:r>
    </w:p>
    <w:p w14:paraId="123B3529" w14:textId="5910839B" w:rsidR="00A447A9" w:rsidRDefault="00A447A9" w:rsidP="003A4CF8">
      <w:pPr>
        <w:pStyle w:val="Mainbodytext-tight"/>
        <w:numPr>
          <w:ilvl w:val="0"/>
          <w:numId w:val="38"/>
        </w:numPr>
      </w:pPr>
      <w:r>
        <w:t xml:space="preserve">Understanding police and stakeholder </w:t>
      </w:r>
      <w:r w:rsidR="00FC1558">
        <w:t xml:space="preserve">(including local businesses) </w:t>
      </w:r>
      <w:r>
        <w:t xml:space="preserve">perception of impact: this will be measured by the Supplier. </w:t>
      </w:r>
      <w:r w:rsidR="003536BF">
        <w:t xml:space="preserve">As with the above, </w:t>
      </w:r>
      <w:r w:rsidR="00344B00">
        <w:t xml:space="preserve">PCCs/force areas </w:t>
      </w:r>
      <w:r w:rsidR="003536BF">
        <w:t xml:space="preserve">should be prepared to work with the supplier throughout the life cycle of delivery and post-implementation. </w:t>
      </w:r>
    </w:p>
    <w:p w14:paraId="0C27226E" w14:textId="54609640" w:rsidR="003536BF" w:rsidRDefault="003536BF" w:rsidP="003536BF">
      <w:pPr>
        <w:pStyle w:val="Mainbodytext-tight"/>
      </w:pPr>
    </w:p>
    <w:p w14:paraId="1870E93F" w14:textId="1D08BFD3" w:rsidR="003536BF" w:rsidRPr="006C0A96" w:rsidRDefault="003536BF" w:rsidP="003A4CF8">
      <w:pPr>
        <w:pStyle w:val="Mainbodytext-tight"/>
        <w:numPr>
          <w:ilvl w:val="0"/>
          <w:numId w:val="39"/>
        </w:numPr>
        <w:rPr>
          <w:b/>
          <w:bCs/>
        </w:rPr>
      </w:pPr>
      <w:r w:rsidRPr="003536BF">
        <w:rPr>
          <w:b/>
          <w:bCs/>
        </w:rPr>
        <w:t>Process</w:t>
      </w:r>
      <w:r>
        <w:rPr>
          <w:b/>
          <w:bCs/>
        </w:rPr>
        <w:t xml:space="preserve">: </w:t>
      </w:r>
      <w:r w:rsidR="002943ED">
        <w:t xml:space="preserve">A light-touch process evaluation looking to </w:t>
      </w:r>
      <w:r w:rsidR="00ED33BA" w:rsidRPr="00ED33BA">
        <w:t xml:space="preserve">understand how the programme has been delivered and how outcomes/impact have/have not been achieved. </w:t>
      </w:r>
      <w:r w:rsidR="00ED33BA">
        <w:t>T</w:t>
      </w:r>
      <w:r w:rsidR="00ED33BA" w:rsidRPr="00ED33BA">
        <w:t xml:space="preserve">his will be expected to build and be tailored around existing learning that has been gained by the </w:t>
      </w:r>
      <w:r w:rsidR="00ED33BA">
        <w:t>HO</w:t>
      </w:r>
      <w:r w:rsidR="00ED33BA" w:rsidRPr="00ED33BA">
        <w:t xml:space="preserve"> as part of the </w:t>
      </w:r>
      <w:r w:rsidR="00ED33BA">
        <w:t>ASB Hotspot</w:t>
      </w:r>
      <w:r w:rsidR="00ED33BA" w:rsidRPr="00ED33BA">
        <w:t xml:space="preserve"> pilot phase and previous </w:t>
      </w:r>
      <w:r w:rsidR="00ED33BA">
        <w:t>G</w:t>
      </w:r>
      <w:r w:rsidR="00ED33BA" w:rsidRPr="00ED33BA">
        <w:t xml:space="preserve">rip rounds. </w:t>
      </w:r>
      <w:r w:rsidR="00ED33BA">
        <w:t>T</w:t>
      </w:r>
      <w:r w:rsidR="00ED33BA" w:rsidRPr="00ED33BA">
        <w:t xml:space="preserve">his learning will be shared with the </w:t>
      </w:r>
      <w:r w:rsidR="00ED33BA">
        <w:t>S</w:t>
      </w:r>
      <w:r w:rsidR="00ED33BA" w:rsidRPr="00ED33BA">
        <w:t>upplier. F</w:t>
      </w:r>
      <w:r w:rsidRPr="00ED33BA">
        <w:t>orce areas will be expected to engage in any process-related fieldwork which will be delivered by the Supplier.</w:t>
      </w:r>
      <w:r>
        <w:t xml:space="preserve"> </w:t>
      </w:r>
    </w:p>
    <w:p w14:paraId="6D0E98D0" w14:textId="5CA6D357" w:rsidR="006C0A96" w:rsidRDefault="006C0A96" w:rsidP="006C0A96">
      <w:pPr>
        <w:pStyle w:val="Mainbodytext-tight"/>
        <w:rPr>
          <w:b/>
          <w:bCs/>
        </w:rPr>
      </w:pPr>
    </w:p>
    <w:p w14:paraId="6BD5D5B3" w14:textId="4E0C4F85" w:rsidR="00ED33BA" w:rsidRDefault="002943ED" w:rsidP="006C0A96">
      <w:pPr>
        <w:pStyle w:val="Mainbodytext-tight"/>
      </w:pPr>
      <w:r>
        <w:t>Th</w:t>
      </w:r>
      <w:r w:rsidR="00FC1558">
        <w:t xml:space="preserve">e HO hopes to gain an understanding of the following questions through the commissioned components. These questions are intended to be a guide and will be refined once the partner is in place. </w:t>
      </w:r>
    </w:p>
    <w:p w14:paraId="73977F7C" w14:textId="1602BC13" w:rsidR="00FC1558" w:rsidRDefault="00FC1558" w:rsidP="006C0A96">
      <w:pPr>
        <w:pStyle w:val="Mainbodytext-tight"/>
      </w:pPr>
    </w:p>
    <w:p w14:paraId="71405418" w14:textId="79CD6372" w:rsidR="00FC1558" w:rsidRDefault="00FC1558" w:rsidP="006C0A96">
      <w:pPr>
        <w:pStyle w:val="Mainbodytext-tight"/>
        <w:rPr>
          <w:b/>
          <w:bCs/>
        </w:rPr>
      </w:pPr>
      <w:r w:rsidRPr="00FC1558">
        <w:rPr>
          <w:b/>
          <w:bCs/>
        </w:rPr>
        <w:t>Impact</w:t>
      </w:r>
      <w:r>
        <w:rPr>
          <w:b/>
          <w:bCs/>
        </w:rPr>
        <w:t>:</w:t>
      </w:r>
    </w:p>
    <w:p w14:paraId="2D3259E6" w14:textId="77777777" w:rsidR="00FC1558" w:rsidRDefault="00FC1558" w:rsidP="006C0A96">
      <w:pPr>
        <w:pStyle w:val="Mainbodytext-tight"/>
        <w:rPr>
          <w:b/>
          <w:bCs/>
        </w:rPr>
      </w:pPr>
    </w:p>
    <w:p w14:paraId="0521E3CC" w14:textId="299B792B" w:rsidR="00FC1558" w:rsidRPr="00FC1558" w:rsidRDefault="00FC1558" w:rsidP="003A4CF8">
      <w:pPr>
        <w:pStyle w:val="Mainbodytext-tight"/>
        <w:numPr>
          <w:ilvl w:val="0"/>
          <w:numId w:val="39"/>
        </w:numPr>
        <w:rPr>
          <w:b/>
          <w:bCs/>
        </w:rPr>
      </w:pPr>
      <w:r>
        <w:t>Has there been a r</w:t>
      </w:r>
      <w:r w:rsidR="00ED33BA">
        <w:t>eduction in proportion of people in hotspots concerned about ASB</w:t>
      </w:r>
      <w:r>
        <w:t xml:space="preserve"> and SV?</w:t>
      </w:r>
    </w:p>
    <w:p w14:paraId="2B9C4CEA" w14:textId="45370695" w:rsidR="00FC1558" w:rsidRPr="00FC1558" w:rsidRDefault="00FC1558" w:rsidP="003A4CF8">
      <w:pPr>
        <w:pStyle w:val="Mainbodytext-tight"/>
        <w:numPr>
          <w:ilvl w:val="0"/>
          <w:numId w:val="39"/>
        </w:numPr>
        <w:rPr>
          <w:b/>
          <w:bCs/>
        </w:rPr>
      </w:pPr>
      <w:r>
        <w:t xml:space="preserve">Has there been a reduction in proportion of people in hotspots, reporting, </w:t>
      </w:r>
      <w:proofErr w:type="gramStart"/>
      <w:r>
        <w:t>experiencing</w:t>
      </w:r>
      <w:proofErr w:type="gramEnd"/>
      <w:r>
        <w:t xml:space="preserve"> or witnessing ASB</w:t>
      </w:r>
      <w:r w:rsidR="006D5F97">
        <w:t>/SV</w:t>
      </w:r>
      <w:r>
        <w:t>?</w:t>
      </w:r>
    </w:p>
    <w:p w14:paraId="47C781B7" w14:textId="7289D738" w:rsidR="00FC1558" w:rsidRPr="00AF7A09" w:rsidRDefault="00FC1558" w:rsidP="003A4CF8">
      <w:pPr>
        <w:pStyle w:val="Mainbodytext-tight"/>
        <w:numPr>
          <w:ilvl w:val="0"/>
          <w:numId w:val="39"/>
        </w:numPr>
        <w:rPr>
          <w:b/>
          <w:bCs/>
        </w:rPr>
      </w:pPr>
      <w:r>
        <w:t>Has there been an i</w:t>
      </w:r>
      <w:r w:rsidR="00ED33BA">
        <w:t>ncreased likelihood of public confidence in hotspot areas reporting on ASB</w:t>
      </w:r>
      <w:r w:rsidR="006D5F97">
        <w:t>/SV</w:t>
      </w:r>
      <w:r>
        <w:t>?</w:t>
      </w:r>
    </w:p>
    <w:p w14:paraId="3BF2CE70" w14:textId="5A807879" w:rsidR="00AF7A09" w:rsidRPr="00FC1558" w:rsidRDefault="00AF7A09" w:rsidP="003A4CF8">
      <w:pPr>
        <w:pStyle w:val="Mainbodytext-tight"/>
        <w:numPr>
          <w:ilvl w:val="0"/>
          <w:numId w:val="39"/>
        </w:numPr>
        <w:rPr>
          <w:b/>
          <w:bCs/>
        </w:rPr>
      </w:pPr>
      <w:r>
        <w:t>Has there been an increased awareness of patrols?</w:t>
      </w:r>
    </w:p>
    <w:p w14:paraId="554023F8" w14:textId="77777777" w:rsidR="00FC1558" w:rsidRPr="00FC1558" w:rsidRDefault="00FC1558" w:rsidP="003A4CF8">
      <w:pPr>
        <w:pStyle w:val="Mainbodytext-tight"/>
        <w:numPr>
          <w:ilvl w:val="0"/>
          <w:numId w:val="39"/>
        </w:numPr>
        <w:rPr>
          <w:b/>
          <w:bCs/>
        </w:rPr>
      </w:pPr>
      <w:r>
        <w:t>Has there been an i</w:t>
      </w:r>
      <w:r w:rsidR="00ED33BA">
        <w:t>ncreased understanding of resident needs</w:t>
      </w:r>
      <w:r>
        <w:t>?</w:t>
      </w:r>
    </w:p>
    <w:p w14:paraId="6598524E" w14:textId="276FCBD0" w:rsidR="00FC1558" w:rsidRPr="00FC1558" w:rsidRDefault="00FC1558" w:rsidP="003A4CF8">
      <w:pPr>
        <w:pStyle w:val="Mainbodytext-tight"/>
        <w:numPr>
          <w:ilvl w:val="0"/>
          <w:numId w:val="39"/>
        </w:numPr>
        <w:rPr>
          <w:b/>
          <w:bCs/>
        </w:rPr>
      </w:pPr>
      <w:r>
        <w:t>Has there been an i</w:t>
      </w:r>
      <w:r w:rsidR="00ED33BA">
        <w:t>ncreased trust in police/authorities in tackling ASB</w:t>
      </w:r>
      <w:r w:rsidR="006D5F97">
        <w:t>/</w:t>
      </w:r>
      <w:r w:rsidR="00ED33BA">
        <w:t>SV</w:t>
      </w:r>
      <w:r>
        <w:t>?</w:t>
      </w:r>
    </w:p>
    <w:p w14:paraId="70E2F098" w14:textId="001D9E73" w:rsidR="00ED33BA" w:rsidRPr="006D5F97" w:rsidRDefault="00FC1558" w:rsidP="003A4CF8">
      <w:pPr>
        <w:pStyle w:val="Mainbodytext-tight"/>
        <w:numPr>
          <w:ilvl w:val="0"/>
          <w:numId w:val="39"/>
        </w:numPr>
        <w:rPr>
          <w:b/>
          <w:bCs/>
        </w:rPr>
      </w:pPr>
      <w:r>
        <w:t>Has there been an i</w:t>
      </w:r>
      <w:r w:rsidR="00ED33BA">
        <w:t>ncreased comfort for residents in using hotspot public spaces</w:t>
      </w:r>
      <w:r>
        <w:t>?</w:t>
      </w:r>
    </w:p>
    <w:p w14:paraId="06EABB7D" w14:textId="40BEC95E" w:rsidR="006D5F97" w:rsidRPr="0018147B" w:rsidRDefault="006D5F97" w:rsidP="003A4CF8">
      <w:pPr>
        <w:pStyle w:val="ListParagraph"/>
        <w:numPr>
          <w:ilvl w:val="0"/>
          <w:numId w:val="40"/>
        </w:numPr>
        <w:contextualSpacing/>
        <w:rPr>
          <w:rFonts w:cs="Arial"/>
          <w:szCs w:val="22"/>
        </w:rPr>
      </w:pPr>
      <w:r w:rsidRPr="00F132AF">
        <w:rPr>
          <w:rFonts w:cs="Arial"/>
          <w:szCs w:val="22"/>
        </w:rPr>
        <w:t xml:space="preserve">To what extent did residents or local communities report an increased likelihood to report </w:t>
      </w:r>
      <w:r>
        <w:rPr>
          <w:rFonts w:cs="Arial"/>
          <w:szCs w:val="22"/>
        </w:rPr>
        <w:t>crime/</w:t>
      </w:r>
      <w:r w:rsidRPr="00F132AF">
        <w:rPr>
          <w:rFonts w:cs="Arial"/>
          <w:szCs w:val="22"/>
        </w:rPr>
        <w:t>ASB in the future?</w:t>
      </w:r>
    </w:p>
    <w:p w14:paraId="7627647A" w14:textId="7C3C9F0B" w:rsidR="006D5F97" w:rsidRPr="00F132AF" w:rsidRDefault="006D5F97" w:rsidP="003A4CF8">
      <w:pPr>
        <w:pStyle w:val="ListParagraph"/>
        <w:numPr>
          <w:ilvl w:val="0"/>
          <w:numId w:val="41"/>
        </w:numPr>
        <w:contextualSpacing/>
        <w:rPr>
          <w:rFonts w:cs="Arial"/>
          <w:szCs w:val="18"/>
        </w:rPr>
      </w:pPr>
      <w:r w:rsidRPr="00F132AF">
        <w:rPr>
          <w:rFonts w:cs="Arial"/>
          <w:szCs w:val="18"/>
        </w:rPr>
        <w:t xml:space="preserve">To what extent did the hotspot funding lead to an increase in </w:t>
      </w:r>
      <w:r>
        <w:rPr>
          <w:rFonts w:cs="Arial"/>
          <w:szCs w:val="18"/>
        </w:rPr>
        <w:t>the</w:t>
      </w:r>
      <w:r w:rsidRPr="00F132AF">
        <w:rPr>
          <w:rFonts w:cs="Arial"/>
          <w:szCs w:val="18"/>
        </w:rPr>
        <w:t xml:space="preserve"> </w:t>
      </w:r>
      <w:r>
        <w:rPr>
          <w:rFonts w:cs="Arial"/>
          <w:szCs w:val="18"/>
        </w:rPr>
        <w:t>number</w:t>
      </w:r>
      <w:r w:rsidRPr="00F132AF">
        <w:rPr>
          <w:rFonts w:cs="Arial"/>
          <w:szCs w:val="18"/>
        </w:rPr>
        <w:t xml:space="preserve"> of hours spent </w:t>
      </w:r>
      <w:r>
        <w:rPr>
          <w:rFonts w:cs="Arial"/>
          <w:szCs w:val="18"/>
        </w:rPr>
        <w:t xml:space="preserve">in </w:t>
      </w:r>
      <w:r w:rsidRPr="00F132AF">
        <w:rPr>
          <w:rFonts w:cs="Arial"/>
          <w:szCs w:val="18"/>
        </w:rPr>
        <w:t>hotspots?</w:t>
      </w:r>
    </w:p>
    <w:p w14:paraId="604693C1" w14:textId="77777777" w:rsidR="006D5F97" w:rsidRPr="00F132AF" w:rsidRDefault="006D5F97" w:rsidP="003A4CF8">
      <w:pPr>
        <w:pStyle w:val="ListParagraph"/>
        <w:numPr>
          <w:ilvl w:val="0"/>
          <w:numId w:val="41"/>
        </w:numPr>
        <w:contextualSpacing/>
        <w:rPr>
          <w:rFonts w:cs="Arial"/>
          <w:szCs w:val="18"/>
        </w:rPr>
      </w:pPr>
      <w:r w:rsidRPr="00F132AF">
        <w:rPr>
          <w:rFonts w:cs="Arial"/>
          <w:szCs w:val="18"/>
        </w:rPr>
        <w:lastRenderedPageBreak/>
        <w:t xml:space="preserve">What impact did hotspot patrols and associated activities have on secondary crime types? </w:t>
      </w:r>
    </w:p>
    <w:p w14:paraId="263D08E3" w14:textId="5F4F1B7F" w:rsidR="00AC61EA" w:rsidRPr="008208FB" w:rsidRDefault="006D5F97" w:rsidP="00FC1558">
      <w:pPr>
        <w:pStyle w:val="ListParagraph"/>
        <w:numPr>
          <w:ilvl w:val="0"/>
          <w:numId w:val="41"/>
        </w:numPr>
        <w:spacing w:after="200" w:line="276" w:lineRule="auto"/>
        <w:contextualSpacing/>
        <w:rPr>
          <w:rFonts w:cs="Arial"/>
          <w:szCs w:val="18"/>
        </w:rPr>
      </w:pPr>
      <w:r w:rsidRPr="00F132AF">
        <w:rPr>
          <w:rFonts w:cs="Arial"/>
          <w:szCs w:val="18"/>
        </w:rPr>
        <w:t xml:space="preserve">Is there any </w:t>
      </w:r>
      <w:r>
        <w:rPr>
          <w:rFonts w:cs="Arial"/>
          <w:szCs w:val="18"/>
        </w:rPr>
        <w:t>crime/</w:t>
      </w:r>
      <w:r w:rsidRPr="00F132AF">
        <w:rPr>
          <w:rFonts w:cs="Arial"/>
          <w:szCs w:val="18"/>
        </w:rPr>
        <w:t>ASB incident displacement effect? For example, does a reduction in incident</w:t>
      </w:r>
      <w:r>
        <w:rPr>
          <w:rFonts w:cs="Arial"/>
          <w:szCs w:val="18"/>
        </w:rPr>
        <w:t>s</w:t>
      </w:r>
      <w:r w:rsidRPr="00F132AF">
        <w:rPr>
          <w:rFonts w:cs="Arial"/>
          <w:szCs w:val="18"/>
        </w:rPr>
        <w:t xml:space="preserve"> in one area increase the level of </w:t>
      </w:r>
      <w:r>
        <w:rPr>
          <w:rFonts w:cs="Arial"/>
          <w:szCs w:val="18"/>
        </w:rPr>
        <w:t xml:space="preserve">ASB or secondary </w:t>
      </w:r>
      <w:r w:rsidRPr="00F132AF">
        <w:rPr>
          <w:rFonts w:cs="Arial"/>
          <w:szCs w:val="18"/>
        </w:rPr>
        <w:t xml:space="preserve">crime </w:t>
      </w:r>
      <w:r>
        <w:rPr>
          <w:rFonts w:cs="Arial"/>
          <w:szCs w:val="18"/>
        </w:rPr>
        <w:t>types</w:t>
      </w:r>
      <w:r w:rsidRPr="00F132AF">
        <w:rPr>
          <w:rFonts w:cs="Arial"/>
          <w:szCs w:val="18"/>
        </w:rPr>
        <w:t xml:space="preserve"> in neighbouring areas?</w:t>
      </w:r>
    </w:p>
    <w:p w14:paraId="1D816ACC" w14:textId="77777777" w:rsidR="00AC61EA" w:rsidRDefault="00AC61EA" w:rsidP="00FC1558">
      <w:pPr>
        <w:pStyle w:val="Mainbodytext-tight"/>
        <w:rPr>
          <w:b/>
          <w:bCs/>
        </w:rPr>
      </w:pPr>
    </w:p>
    <w:p w14:paraId="0FE584AE" w14:textId="0C4AE528" w:rsidR="00FC1558" w:rsidRPr="00FC1558" w:rsidRDefault="00FC1558" w:rsidP="00FC1558">
      <w:pPr>
        <w:pStyle w:val="Mainbodytext-tight"/>
        <w:rPr>
          <w:b/>
          <w:bCs/>
        </w:rPr>
      </w:pPr>
      <w:r w:rsidRPr="00FC1558">
        <w:rPr>
          <w:b/>
          <w:bCs/>
        </w:rPr>
        <w:t xml:space="preserve">Process: </w:t>
      </w:r>
    </w:p>
    <w:p w14:paraId="6CCBB18F" w14:textId="02E663A1" w:rsidR="00ED33BA" w:rsidRDefault="00ED33BA" w:rsidP="006C0A96">
      <w:pPr>
        <w:pStyle w:val="Mainbodytext-tight"/>
      </w:pPr>
    </w:p>
    <w:p w14:paraId="16EEAB6B" w14:textId="04A56320" w:rsidR="00341D13" w:rsidRDefault="00341D13" w:rsidP="003A4CF8">
      <w:pPr>
        <w:pStyle w:val="Mainbodytext-tight"/>
        <w:numPr>
          <w:ilvl w:val="0"/>
          <w:numId w:val="42"/>
        </w:numPr>
      </w:pPr>
      <w:r>
        <w:t xml:space="preserve">How have outcomes been achieved, or not? </w:t>
      </w:r>
    </w:p>
    <w:p w14:paraId="5D32E89C" w14:textId="77777777" w:rsidR="00341D13" w:rsidRDefault="00341D13" w:rsidP="003A4CF8">
      <w:pPr>
        <w:pStyle w:val="Mainbodytext-tight"/>
        <w:numPr>
          <w:ilvl w:val="0"/>
          <w:numId w:val="42"/>
        </w:numPr>
      </w:pPr>
      <w:r>
        <w:t>What additional factors were in place which enabled outcomes to be achieved?</w:t>
      </w:r>
    </w:p>
    <w:p w14:paraId="2517A3AB" w14:textId="44BC3E0D" w:rsidR="00341D13" w:rsidRDefault="00341D13" w:rsidP="003A4CF8">
      <w:pPr>
        <w:pStyle w:val="Mainbodytext-tight"/>
        <w:numPr>
          <w:ilvl w:val="0"/>
          <w:numId w:val="42"/>
        </w:numPr>
      </w:pPr>
      <w:r>
        <w:t xml:space="preserve">What factors presented barriers or challenges to achieving outcomes? </w:t>
      </w:r>
    </w:p>
    <w:p w14:paraId="5B88C378" w14:textId="5A9F1C90" w:rsidR="006D5F97" w:rsidRDefault="006D5F97" w:rsidP="003A4CF8">
      <w:pPr>
        <w:pStyle w:val="Mainbodytext-tight"/>
        <w:numPr>
          <w:ilvl w:val="0"/>
          <w:numId w:val="42"/>
        </w:numPr>
      </w:pPr>
      <w:r>
        <w:t xml:space="preserve">What impact has the merge between ASB/Grip programmes had on PCCs ability to deliver hotspot policing? </w:t>
      </w:r>
    </w:p>
    <w:p w14:paraId="50FCD07B" w14:textId="5FFB4212" w:rsidR="006D5F97" w:rsidRDefault="006D5F97" w:rsidP="003A4CF8">
      <w:pPr>
        <w:pStyle w:val="Mainbodytext-tight"/>
        <w:numPr>
          <w:ilvl w:val="0"/>
          <w:numId w:val="42"/>
        </w:numPr>
      </w:pPr>
      <w:r>
        <w:t xml:space="preserve">What impact has national rollout of the programme had on PCCs ability to deliver hotspot policing? </w:t>
      </w:r>
    </w:p>
    <w:p w14:paraId="588CE8C8" w14:textId="77777777" w:rsidR="00341D13" w:rsidRDefault="00341D13" w:rsidP="003A4CF8">
      <w:pPr>
        <w:pStyle w:val="Mainbodytext-tight"/>
        <w:numPr>
          <w:ilvl w:val="0"/>
          <w:numId w:val="42"/>
        </w:numPr>
      </w:pPr>
      <w:r>
        <w:t>What could be improved and why?</w:t>
      </w:r>
    </w:p>
    <w:p w14:paraId="45228674" w14:textId="77777777" w:rsidR="00341D13" w:rsidRDefault="00341D13" w:rsidP="00341D13">
      <w:pPr>
        <w:pStyle w:val="Mainbodytext-tight"/>
        <w:ind w:left="720"/>
      </w:pPr>
    </w:p>
    <w:p w14:paraId="42229C2F" w14:textId="0E8A8DF3" w:rsidR="003536BF" w:rsidRPr="00341D13" w:rsidRDefault="003536BF" w:rsidP="00341D13">
      <w:pPr>
        <w:pStyle w:val="Mainbodytext-tight"/>
      </w:pPr>
    </w:p>
    <w:bookmarkEnd w:id="8"/>
    <w:p w14:paraId="25A1E1F5" w14:textId="653A9B34" w:rsidR="00140AED" w:rsidRDefault="00341D13" w:rsidP="00140AED">
      <w:pPr>
        <w:pStyle w:val="Heading2"/>
        <w:tabs>
          <w:tab w:val="clear" w:pos="720"/>
          <w:tab w:val="num" w:pos="862"/>
        </w:tabs>
        <w:overflowPunct w:val="0"/>
        <w:autoSpaceDE w:val="0"/>
        <w:autoSpaceDN w:val="0"/>
        <w:spacing w:after="120"/>
        <w:ind w:left="709" w:hanging="709"/>
        <w:textAlignment w:val="baseline"/>
        <w:rPr>
          <w:b/>
          <w:bCs/>
          <w:sz w:val="24"/>
          <w:szCs w:val="24"/>
        </w:rPr>
      </w:pPr>
      <w:r w:rsidRPr="00F24825">
        <w:rPr>
          <w:b/>
          <w:bCs/>
          <w:sz w:val="24"/>
          <w:szCs w:val="24"/>
        </w:rPr>
        <w:t xml:space="preserve">Proposed Methodology </w:t>
      </w:r>
    </w:p>
    <w:p w14:paraId="7EE2EE5E" w14:textId="77777777" w:rsidR="00E36021" w:rsidRDefault="00E36021" w:rsidP="00E36021">
      <w:pPr>
        <w:pStyle w:val="Mainbodytext-tight"/>
      </w:pPr>
      <w:r>
        <w:t xml:space="preserve">The following section proposes methodology that should from the basis of Bidder’s proposals. However, the HO will consider alternative approaches to evaluating the impact of the programme relating to the objectives outlined. Any methodology proposed by the bidder should apply the most robust methods as possible in evaluating the programme and meeting the requirements objectives. </w:t>
      </w:r>
    </w:p>
    <w:p w14:paraId="62DF7BDD" w14:textId="77777777" w:rsidR="00E36021" w:rsidRDefault="00E36021" w:rsidP="00E36021">
      <w:pPr>
        <w:pStyle w:val="Mainbodytext-tight"/>
      </w:pPr>
    </w:p>
    <w:p w14:paraId="329FC6E5" w14:textId="77777777" w:rsidR="00E36021" w:rsidRDefault="00E36021" w:rsidP="00E36021">
      <w:pPr>
        <w:pStyle w:val="Mainbodytext-tight"/>
      </w:pPr>
      <w:r>
        <w:t xml:space="preserve">It is also expected that the Bidder outlines any associated risks and limitations with the proposed approach. </w:t>
      </w:r>
    </w:p>
    <w:p w14:paraId="6910C6A3" w14:textId="77777777" w:rsidR="00E36021" w:rsidRDefault="00E36021" w:rsidP="003A4CF8">
      <w:pPr>
        <w:pStyle w:val="Heading3"/>
        <w:numPr>
          <w:ilvl w:val="2"/>
          <w:numId w:val="47"/>
        </w:numPr>
        <w:overflowPunct w:val="0"/>
        <w:autoSpaceDE w:val="0"/>
        <w:autoSpaceDN w:val="0"/>
        <w:spacing w:after="120"/>
        <w:textAlignment w:val="baseline"/>
        <w:rPr>
          <w:b/>
          <w:bCs/>
          <w:sz w:val="24"/>
          <w:szCs w:val="24"/>
        </w:rPr>
      </w:pPr>
      <w:r w:rsidRPr="00E36021">
        <w:rPr>
          <w:b/>
          <w:bCs/>
          <w:sz w:val="24"/>
          <w:szCs w:val="24"/>
        </w:rPr>
        <w:t>Impact</w:t>
      </w:r>
    </w:p>
    <w:p w14:paraId="1F4E5448" w14:textId="77777777" w:rsidR="00E36021" w:rsidRDefault="00E36021" w:rsidP="00E36021">
      <w:pPr>
        <w:pStyle w:val="Mainbodytext-tight"/>
      </w:pPr>
      <w:r>
        <w:t xml:space="preserve">The following section will outline what the HO requires as part of the impact evaluation. This includes: </w:t>
      </w:r>
    </w:p>
    <w:p w14:paraId="1B03FDF7" w14:textId="77777777" w:rsidR="00E36021" w:rsidRDefault="00E36021" w:rsidP="003A4CF8">
      <w:pPr>
        <w:pStyle w:val="Mainbodytext-tight"/>
        <w:numPr>
          <w:ilvl w:val="0"/>
          <w:numId w:val="44"/>
        </w:numPr>
      </w:pPr>
      <w:r>
        <w:t>Measuring impact on community perceptions (feelings of safety, witnessing ASB/SV etc),</w:t>
      </w:r>
    </w:p>
    <w:p w14:paraId="03329BDD" w14:textId="77777777" w:rsidR="00E36021" w:rsidRDefault="00E36021" w:rsidP="003A4CF8">
      <w:pPr>
        <w:pStyle w:val="Mainbodytext-tight"/>
        <w:numPr>
          <w:ilvl w:val="0"/>
          <w:numId w:val="44"/>
        </w:numPr>
      </w:pPr>
      <w:r>
        <w:t xml:space="preserve">Understanding police and stakeholder (including local businesses) perception of impact: </w:t>
      </w:r>
    </w:p>
    <w:p w14:paraId="47922A6D" w14:textId="77777777" w:rsidR="00E36021" w:rsidRDefault="00E36021" w:rsidP="00E36021">
      <w:pPr>
        <w:pStyle w:val="Mainbodytext-tight"/>
      </w:pPr>
    </w:p>
    <w:p w14:paraId="4D7279D5" w14:textId="77777777" w:rsidR="00E36021" w:rsidRPr="00341D13" w:rsidRDefault="00E36021" w:rsidP="00E36021">
      <w:pPr>
        <w:pStyle w:val="Mainbodytext-tight"/>
        <w:rPr>
          <w:b/>
          <w:bCs/>
        </w:rPr>
      </w:pPr>
      <w:r w:rsidRPr="00341D13">
        <w:rPr>
          <w:b/>
          <w:bCs/>
        </w:rPr>
        <w:t>Measuring impact on community perceptions</w:t>
      </w:r>
    </w:p>
    <w:p w14:paraId="3BB8AFE1" w14:textId="18B0133C" w:rsidR="00E36021" w:rsidRDefault="00E36021" w:rsidP="007712BF">
      <w:pPr>
        <w:pStyle w:val="Mainbodytext-tight"/>
        <w:spacing w:after="240"/>
      </w:pPr>
      <w:r>
        <w:t xml:space="preserve">The Bidder </w:t>
      </w:r>
      <w:r w:rsidR="00B31D68">
        <w:t xml:space="preserve">should </w:t>
      </w:r>
      <w:r>
        <w:t>adopt a mixed-methods qualitative and quantitative approach to measuring impact on community perceptions:</w:t>
      </w:r>
    </w:p>
    <w:p w14:paraId="312D05EF" w14:textId="06BA893B" w:rsidR="007712BF" w:rsidRDefault="00E36021" w:rsidP="007712BF">
      <w:pPr>
        <w:pStyle w:val="Mainbodytext-tight"/>
        <w:spacing w:after="240"/>
      </w:pPr>
      <w:r w:rsidRPr="00502D0E">
        <w:rPr>
          <w:u w:val="single"/>
        </w:rPr>
        <w:t>Quantitative approach</w:t>
      </w:r>
      <w:r>
        <w:t xml:space="preserve">: the Bidder will be expected to deliver two rounds of surveys in hotspot locations across </w:t>
      </w:r>
      <w:r w:rsidRPr="00502D0E">
        <w:rPr>
          <w:b/>
          <w:bCs/>
        </w:rPr>
        <w:t>all 43 police forces</w:t>
      </w:r>
      <w:r>
        <w:t xml:space="preserve">. It is expected this will cover a minimum of two </w:t>
      </w:r>
      <w:r>
        <w:lastRenderedPageBreak/>
        <w:t xml:space="preserve">hotspots in each force area, ensuring the selected hotspots are representative in terms of type across the programme. An approach will be finalised once the Supplier is in place. </w:t>
      </w:r>
    </w:p>
    <w:p w14:paraId="455CC57F" w14:textId="7B877239" w:rsidR="00E36021" w:rsidRDefault="00E36021" w:rsidP="007712BF">
      <w:pPr>
        <w:pStyle w:val="Mainbodytext-tight"/>
        <w:spacing w:after="240"/>
      </w:pPr>
      <w:r>
        <w:t xml:space="preserve">The fieldwork for the first round of surveys should be conducted as close as possible </w:t>
      </w:r>
      <w:r w:rsidR="00AD7BB0">
        <w:t xml:space="preserve">to </w:t>
      </w:r>
      <w:r>
        <w:t>the beginning of the Hotspot Response delivery period (April 2024), covering the period where force areas will be ramping up delivery. The second wave should then be delivered towards the end of the deliver</w:t>
      </w:r>
      <w:r w:rsidR="0076508A">
        <w:t>y</w:t>
      </w:r>
      <w:r>
        <w:t xml:space="preserve"> period to provide a comparison and measures of impact related to the programme.  It will be important that any Supplier is able to work quickly with the HO and force areas to select hotspots for the first survey wave. </w:t>
      </w:r>
    </w:p>
    <w:p w14:paraId="1E132267" w14:textId="77777777" w:rsidR="00E36021" w:rsidRDefault="00E36021" w:rsidP="007712BF">
      <w:pPr>
        <w:pStyle w:val="Mainbodytext-tight"/>
        <w:spacing w:after="240"/>
      </w:pPr>
      <w:r>
        <w:t xml:space="preserve">HO will ensure the Supplier has the necessary information, including hotspot shapefiles to scope and deliver fieldwork in hotspot </w:t>
      </w:r>
      <w:proofErr w:type="gramStart"/>
      <w:r>
        <w:t>locations</w:t>
      </w:r>
      <w:proofErr w:type="gramEnd"/>
      <w:r>
        <w:t xml:space="preserve"> </w:t>
      </w:r>
    </w:p>
    <w:p w14:paraId="3DBB418B" w14:textId="74F8E9D1" w:rsidR="00E36021" w:rsidRDefault="00E36021" w:rsidP="007712BF">
      <w:pPr>
        <w:pStyle w:val="Mainbodytext-tight"/>
        <w:spacing w:after="240"/>
      </w:pPr>
      <w:r>
        <w:t xml:space="preserve">We envisage a mix of two data collection methods to </w:t>
      </w:r>
      <w:r w:rsidR="0020036A">
        <w:t xml:space="preserve">account for the </w:t>
      </w:r>
      <w:r w:rsidR="00A2442D">
        <w:t>different types of hotspot</w:t>
      </w:r>
      <w:r w:rsidR="00F1374E">
        <w:t>s that are likely to</w:t>
      </w:r>
      <w:r w:rsidR="003011A1">
        <w:t xml:space="preserve"> be selected</w:t>
      </w:r>
      <w:r>
        <w:t xml:space="preserve">: </w:t>
      </w:r>
    </w:p>
    <w:p w14:paraId="53CE4869" w14:textId="2D699A95" w:rsidR="00E36021" w:rsidRPr="00AD04B5" w:rsidRDefault="00E36021" w:rsidP="007712BF">
      <w:pPr>
        <w:pStyle w:val="Normal1"/>
        <w:numPr>
          <w:ilvl w:val="0"/>
          <w:numId w:val="46"/>
        </w:numPr>
        <w:spacing w:after="240"/>
      </w:pPr>
      <w:r w:rsidRPr="00502D0E">
        <w:rPr>
          <w:b/>
          <w:bCs/>
        </w:rPr>
        <w:t>Address Based Online Surveys / Push to web</w:t>
      </w:r>
      <w:r>
        <w:t xml:space="preserve">: </w:t>
      </w:r>
      <w:r>
        <w:rPr>
          <w:rFonts w:cs="Arial"/>
          <w:szCs w:val="20"/>
        </w:rPr>
        <w:t>an established method for conducting high quality surveys with residents in bespoke areas. This method can define which areas are in scope for the survey, draw a sample of addresses from the Postcode Address File, and send letters to those addresses asking the residents to complete an online survey. Those who do not complete the survey could be sent a paper version of the questionnaire; this greatly improves the representat</w:t>
      </w:r>
      <w:r w:rsidR="00A2442D">
        <w:rPr>
          <w:rFonts w:cs="Arial"/>
          <w:szCs w:val="20"/>
        </w:rPr>
        <w:t>iveness</w:t>
      </w:r>
      <w:r>
        <w:rPr>
          <w:rFonts w:cs="Arial"/>
          <w:szCs w:val="20"/>
        </w:rPr>
        <w:t xml:space="preserve"> of the sample and ensures that people with limited internet use are able to take part.</w:t>
      </w:r>
    </w:p>
    <w:p w14:paraId="2BBCD8F6" w14:textId="77777777" w:rsidR="00E36021" w:rsidRPr="00502D0E" w:rsidRDefault="00E36021" w:rsidP="007712BF">
      <w:pPr>
        <w:pStyle w:val="Mainbodytext-tight"/>
        <w:numPr>
          <w:ilvl w:val="0"/>
          <w:numId w:val="45"/>
        </w:numPr>
        <w:spacing w:after="240"/>
        <w:rPr>
          <w:b/>
          <w:bCs/>
        </w:rPr>
      </w:pPr>
      <w:r w:rsidRPr="00502D0E">
        <w:rPr>
          <w:b/>
          <w:bCs/>
        </w:rPr>
        <w:t xml:space="preserve">Face to Face surveys: </w:t>
      </w:r>
      <w:proofErr w:type="gramStart"/>
      <w:r>
        <w:t>location based</w:t>
      </w:r>
      <w:proofErr w:type="gramEnd"/>
      <w:r>
        <w:t xml:space="preserve"> surveys involving in-person interviews conducted with members of the public in hotspots. This includes residents but also transient populations travelling through the area </w:t>
      </w:r>
      <w:r>
        <w:rPr>
          <w:rFonts w:cs="Arial"/>
          <w:szCs w:val="20"/>
        </w:rPr>
        <w:t>(</w:t>
      </w:r>
      <w:proofErr w:type="spellStart"/>
      <w:r>
        <w:rPr>
          <w:rFonts w:cs="Arial"/>
          <w:szCs w:val="20"/>
        </w:rPr>
        <w:t>i.e</w:t>
      </w:r>
      <w:proofErr w:type="spellEnd"/>
      <w:r>
        <w:rPr>
          <w:rFonts w:cs="Arial"/>
          <w:szCs w:val="20"/>
        </w:rPr>
        <w:t xml:space="preserve"> shoppers, commuters people attending parks etc).</w:t>
      </w:r>
    </w:p>
    <w:p w14:paraId="4351AC5F" w14:textId="77777777" w:rsidR="00E36021" w:rsidRDefault="00E36021" w:rsidP="007712BF">
      <w:pPr>
        <w:pStyle w:val="Mainbodytext-tight"/>
        <w:spacing w:after="240"/>
      </w:pPr>
      <w:r>
        <w:t xml:space="preserve">The sample should allow for robust impact analysis at the hotspot level, covering total and sub-group levels. </w:t>
      </w:r>
    </w:p>
    <w:p w14:paraId="62CC86EB" w14:textId="44F68EAC" w:rsidR="002949E1" w:rsidRDefault="002949E1" w:rsidP="007712BF">
      <w:pPr>
        <w:pStyle w:val="Mainbodytext-tight"/>
        <w:spacing w:after="240"/>
      </w:pPr>
      <w:r>
        <w:t xml:space="preserve">As part of the ASB Hotspot Response pilot </w:t>
      </w:r>
      <w:r w:rsidR="00D67B47">
        <w:t xml:space="preserve">a </w:t>
      </w:r>
      <w:r w:rsidR="00692295">
        <w:t>face-to-face</w:t>
      </w:r>
      <w:r w:rsidR="00D67B47">
        <w:t xml:space="preserve"> approach was adopted, </w:t>
      </w:r>
      <w:r w:rsidR="00787E24">
        <w:t xml:space="preserve">delivering </w:t>
      </w:r>
      <w:r w:rsidR="00C93BDA">
        <w:t>15-minute</w:t>
      </w:r>
      <w:r w:rsidR="00787E24">
        <w:t xml:space="preserve"> surveys </w:t>
      </w:r>
      <w:r w:rsidR="0031268A">
        <w:t xml:space="preserve">in public areas and door to door in hotspots. </w:t>
      </w:r>
      <w:r w:rsidR="000025B2">
        <w:t xml:space="preserve">The survey included questions on: </w:t>
      </w:r>
    </w:p>
    <w:p w14:paraId="541E8ADF" w14:textId="1DBD445E" w:rsidR="000025B2" w:rsidRDefault="00FB04DB" w:rsidP="00FB04DB">
      <w:pPr>
        <w:pStyle w:val="Mainbodytext-tight"/>
        <w:numPr>
          <w:ilvl w:val="0"/>
          <w:numId w:val="45"/>
        </w:numPr>
        <w:spacing w:after="240"/>
      </w:pPr>
      <w:r>
        <w:t>Views of the area and l</w:t>
      </w:r>
      <w:r w:rsidR="00454ABC">
        <w:t xml:space="preserve">evels of safety </w:t>
      </w:r>
    </w:p>
    <w:p w14:paraId="41E84DBE" w14:textId="4E7C7AFB" w:rsidR="00FB04DB" w:rsidRDefault="00FB04DB" w:rsidP="00FB04DB">
      <w:pPr>
        <w:pStyle w:val="Mainbodytext-tight"/>
        <w:numPr>
          <w:ilvl w:val="0"/>
          <w:numId w:val="45"/>
        </w:numPr>
        <w:spacing w:after="240"/>
      </w:pPr>
      <w:r>
        <w:t xml:space="preserve">Levels of concern about different types of ASB </w:t>
      </w:r>
    </w:p>
    <w:p w14:paraId="0802A406" w14:textId="4CF948EF" w:rsidR="00FB04DB" w:rsidRDefault="00FB04DB" w:rsidP="00FB04DB">
      <w:pPr>
        <w:pStyle w:val="Mainbodytext-tight"/>
        <w:numPr>
          <w:ilvl w:val="0"/>
          <w:numId w:val="45"/>
        </w:numPr>
        <w:spacing w:after="240"/>
      </w:pPr>
      <w:r>
        <w:t>Experience of ASB</w:t>
      </w:r>
    </w:p>
    <w:p w14:paraId="672832F8" w14:textId="01CAC896" w:rsidR="00FB04DB" w:rsidRDefault="00FB04DB" w:rsidP="00FB04DB">
      <w:pPr>
        <w:pStyle w:val="Mainbodytext-tight"/>
        <w:numPr>
          <w:ilvl w:val="0"/>
          <w:numId w:val="45"/>
        </w:numPr>
        <w:spacing w:after="240"/>
      </w:pPr>
      <w:r>
        <w:t xml:space="preserve">Awareness of police patrols </w:t>
      </w:r>
    </w:p>
    <w:p w14:paraId="053020A7" w14:textId="5A6055A2" w:rsidR="00FB04DB" w:rsidRDefault="00FB04DB" w:rsidP="00FB04DB">
      <w:pPr>
        <w:pStyle w:val="Mainbodytext-tight"/>
        <w:numPr>
          <w:ilvl w:val="0"/>
          <w:numId w:val="45"/>
        </w:numPr>
        <w:spacing w:after="240"/>
      </w:pPr>
      <w:r>
        <w:t xml:space="preserve">Level of effectiveness of patrols </w:t>
      </w:r>
    </w:p>
    <w:p w14:paraId="2F4E9A85" w14:textId="7917207A" w:rsidR="00E36021" w:rsidRDefault="00FB04DB" w:rsidP="007712BF">
      <w:pPr>
        <w:pStyle w:val="Mainbodytext-tight"/>
        <w:spacing w:after="240"/>
      </w:pPr>
      <w:r>
        <w:t xml:space="preserve">Any survey design will need to factor in the inclusion of serious violence </w:t>
      </w:r>
      <w:r w:rsidR="00AE6F6D">
        <w:t xml:space="preserve">given the merge with the Grip programme. </w:t>
      </w:r>
    </w:p>
    <w:p w14:paraId="758AAA45" w14:textId="6E234B48" w:rsidR="00E36021" w:rsidRPr="00F24825" w:rsidRDefault="00E36021" w:rsidP="007712BF">
      <w:pPr>
        <w:pStyle w:val="Mainbodytext-tight"/>
        <w:spacing w:after="240"/>
        <w:rPr>
          <w:u w:val="single"/>
        </w:rPr>
      </w:pPr>
      <w:r w:rsidRPr="00F24825">
        <w:rPr>
          <w:u w:val="single"/>
        </w:rPr>
        <w:t xml:space="preserve">Qualitative approach: </w:t>
      </w:r>
      <w:r>
        <w:t xml:space="preserve"> In addition to the surveys mentioned above, we require the Bidder to deliver qualitative fieldwork with members of the public and local stakeholders (</w:t>
      </w:r>
      <w:proofErr w:type="gramStart"/>
      <w:r>
        <w:t>e.g.</w:t>
      </w:r>
      <w:proofErr w:type="gramEnd"/>
      <w:r>
        <w:t xml:space="preserve"> business </w:t>
      </w:r>
      <w:r>
        <w:lastRenderedPageBreak/>
        <w:t>owners). This will provide vital conte</w:t>
      </w:r>
      <w:r w:rsidR="007712BF">
        <w:t>x</w:t>
      </w:r>
      <w:r>
        <w:t xml:space="preserve">t to the survey results. We envisage qualitative activity will be conducted via interviews or focus groups.  We require the Supplier to propose </w:t>
      </w:r>
      <w:proofErr w:type="gramStart"/>
      <w:r>
        <w:t>a sufficient number of</w:t>
      </w:r>
      <w:proofErr w:type="gramEnd"/>
      <w:r>
        <w:t xml:space="preserve"> interviews/focus groups across a subset of force areas to ensure qualitative data is representative of the programme. </w:t>
      </w:r>
    </w:p>
    <w:p w14:paraId="64B88D9C" w14:textId="77777777" w:rsidR="00E36021" w:rsidRDefault="00E36021" w:rsidP="007712BF">
      <w:pPr>
        <w:pStyle w:val="Mainbodytext-tight"/>
        <w:spacing w:after="240"/>
        <w:rPr>
          <w:b/>
          <w:bCs/>
        </w:rPr>
      </w:pPr>
      <w:r w:rsidRPr="00F24825">
        <w:rPr>
          <w:b/>
          <w:bCs/>
        </w:rPr>
        <w:t xml:space="preserve">Understanding police and stakeholder (including local businesses) perception of impact </w:t>
      </w:r>
    </w:p>
    <w:p w14:paraId="5FD6DAE8" w14:textId="77777777" w:rsidR="00E36021" w:rsidRDefault="00E36021" w:rsidP="007712BF">
      <w:pPr>
        <w:pStyle w:val="Mainbodytext-tight"/>
        <w:spacing w:after="240"/>
      </w:pPr>
      <w:r w:rsidRPr="00F24825">
        <w:rPr>
          <w:u w:val="single"/>
        </w:rPr>
        <w:t>Qualitative approach</w:t>
      </w:r>
      <w:r>
        <w:rPr>
          <w:u w:val="single"/>
        </w:rPr>
        <w:t>:</w:t>
      </w:r>
      <w:r>
        <w:t xml:space="preserve"> We also require the Supplier to conduct fieldwork with police and wider stakeholders. This could include PCCS, frontline police, local authorities, </w:t>
      </w:r>
      <w:proofErr w:type="gramStart"/>
      <w:r>
        <w:t>charities</w:t>
      </w:r>
      <w:proofErr w:type="gramEnd"/>
      <w:r>
        <w:t xml:space="preserve"> and other agencies/delivery partners.  </w:t>
      </w:r>
    </w:p>
    <w:p w14:paraId="09F9480E" w14:textId="3E1B2F7D" w:rsidR="00EE1061" w:rsidRDefault="00E36021" w:rsidP="007712BF">
      <w:pPr>
        <w:pStyle w:val="Mainbodytext-tight"/>
        <w:spacing w:after="240"/>
      </w:pPr>
      <w:r>
        <w:t xml:space="preserve">It would be preferable that fieldwork is conducted at two different stages across the programme. Once in the implementation stage and a second round of fieldwork towards the end of the funding period. We require the Supplier to propose </w:t>
      </w:r>
      <w:proofErr w:type="gramStart"/>
      <w:r>
        <w:t>a sufficient number of</w:t>
      </w:r>
      <w:proofErr w:type="gramEnd"/>
      <w:r>
        <w:t xml:space="preserve"> interviews/focus groups across a subset of force areas to ensure qualitative data is representative of the programme.</w:t>
      </w:r>
    </w:p>
    <w:p w14:paraId="0080D787" w14:textId="30D156B3" w:rsidR="00EE1061" w:rsidRDefault="00EE1061" w:rsidP="007712BF">
      <w:pPr>
        <w:pStyle w:val="Mainbodytext-tight"/>
        <w:spacing w:after="240"/>
      </w:pPr>
      <w:r w:rsidRPr="00EE1061">
        <w:t xml:space="preserve">HO will ensure the Supplier </w:t>
      </w:r>
      <w:r>
        <w:t xml:space="preserve">regularly receives monitoring and impact data that is collected by the HO related to the programme to allow this to inform fieldwork with PCCs and appropriate stakeholders. </w:t>
      </w:r>
    </w:p>
    <w:p w14:paraId="69F7D728" w14:textId="77777777" w:rsidR="00EE1061" w:rsidRPr="00EE1061" w:rsidRDefault="00EE1061" w:rsidP="00EE1061">
      <w:pPr>
        <w:pStyle w:val="Mainbodytext-tight"/>
      </w:pPr>
    </w:p>
    <w:p w14:paraId="407ECAC0" w14:textId="77777777" w:rsidR="00E36021" w:rsidRPr="00E36021" w:rsidRDefault="00E36021" w:rsidP="003A4CF8">
      <w:pPr>
        <w:pStyle w:val="Heading3"/>
        <w:numPr>
          <w:ilvl w:val="2"/>
          <w:numId w:val="47"/>
        </w:numPr>
        <w:overflowPunct w:val="0"/>
        <w:autoSpaceDE w:val="0"/>
        <w:autoSpaceDN w:val="0"/>
        <w:spacing w:after="120"/>
        <w:textAlignment w:val="baseline"/>
        <w:rPr>
          <w:b/>
          <w:bCs/>
          <w:sz w:val="24"/>
          <w:szCs w:val="24"/>
        </w:rPr>
      </w:pPr>
      <w:r w:rsidRPr="00E36021">
        <w:rPr>
          <w:b/>
          <w:bCs/>
          <w:sz w:val="24"/>
          <w:szCs w:val="24"/>
        </w:rPr>
        <w:t xml:space="preserve">Process </w:t>
      </w:r>
    </w:p>
    <w:p w14:paraId="5B34FF44" w14:textId="77777777" w:rsidR="00E36021" w:rsidRDefault="00E36021" w:rsidP="00E36021">
      <w:pPr>
        <w:pStyle w:val="Mainbodytext-tight"/>
      </w:pPr>
    </w:p>
    <w:p w14:paraId="1B31B38A" w14:textId="77777777" w:rsidR="00E36021" w:rsidRDefault="00E36021" w:rsidP="007712BF">
      <w:pPr>
        <w:pStyle w:val="Mainbodytext-tight"/>
        <w:spacing w:after="240"/>
      </w:pPr>
      <w:r>
        <w:t xml:space="preserve">The following section will outline what the HO requires as part of the process evaluation. </w:t>
      </w:r>
    </w:p>
    <w:p w14:paraId="04AB8544" w14:textId="77777777" w:rsidR="00E36021" w:rsidRDefault="00E36021" w:rsidP="007712BF">
      <w:pPr>
        <w:pStyle w:val="Mainbodytext-tight"/>
        <w:spacing w:after="240"/>
      </w:pPr>
      <w:r>
        <w:t xml:space="preserve">Previous evaluation activity related to ASB hotspot response pilots and the Grip programme has delivered extensive learning on how hotspot policing should be delivered. We require the Bidder to conduct a process evaluation which focuses on the novel components of this programme. This includes understanding how national rollout and the merge between the two programmes has impacted force area’s ability to deliver hotspot policing and achieve the objectives outlined in this document (section 3.1). </w:t>
      </w:r>
    </w:p>
    <w:p w14:paraId="7D1D8ED0" w14:textId="626032FB" w:rsidR="00EE1061" w:rsidRDefault="00E36021" w:rsidP="007712BF">
      <w:pPr>
        <w:pStyle w:val="Mainbodytext-tight"/>
        <w:spacing w:after="240"/>
      </w:pPr>
      <w:r w:rsidRPr="00F24825">
        <w:rPr>
          <w:u w:val="single"/>
        </w:rPr>
        <w:t>Qualitative approach</w:t>
      </w:r>
      <w:r>
        <w:rPr>
          <w:u w:val="single"/>
        </w:rPr>
        <w:t>:</w:t>
      </w:r>
      <w:r>
        <w:t xml:space="preserve"> It is expected that a qualitative approach will be conducted, delivering a mix of interviews and focus groups with </w:t>
      </w:r>
      <w:proofErr w:type="gramStart"/>
      <w:r>
        <w:t>a sufficient number of</w:t>
      </w:r>
      <w:proofErr w:type="gramEnd"/>
      <w:r>
        <w:t xml:space="preserve"> PCCs and related stakeholders to answer the process research questions that will be defined as part of this evaluation. </w:t>
      </w:r>
      <w:r w:rsidR="00EE1061">
        <w:t xml:space="preserve">Fieldwork with PCCs/police and delivery partners should be informed by HO collected monitoring data. </w:t>
      </w:r>
    </w:p>
    <w:p w14:paraId="201821B7" w14:textId="6F0687B0" w:rsidR="00EE1061" w:rsidRDefault="00E36021" w:rsidP="00EE1061">
      <w:pPr>
        <w:pStyle w:val="Heading2"/>
        <w:tabs>
          <w:tab w:val="clear" w:pos="720"/>
          <w:tab w:val="num" w:pos="862"/>
        </w:tabs>
        <w:overflowPunct w:val="0"/>
        <w:autoSpaceDE w:val="0"/>
        <w:autoSpaceDN w:val="0"/>
        <w:spacing w:after="120"/>
        <w:ind w:left="709" w:hanging="709"/>
        <w:textAlignment w:val="baseline"/>
        <w:rPr>
          <w:b/>
          <w:bCs/>
          <w:sz w:val="24"/>
          <w:szCs w:val="24"/>
        </w:rPr>
      </w:pPr>
      <w:r>
        <w:rPr>
          <w:b/>
          <w:bCs/>
          <w:sz w:val="24"/>
          <w:szCs w:val="24"/>
        </w:rPr>
        <w:t>Reporting</w:t>
      </w:r>
    </w:p>
    <w:p w14:paraId="6A0E78FB" w14:textId="7EA17440" w:rsidR="00EE1061" w:rsidRDefault="00EE1061" w:rsidP="00F24825">
      <w:pPr>
        <w:pStyle w:val="Mainbodytext-tight"/>
      </w:pPr>
      <w:r>
        <w:t xml:space="preserve">The Supplier will be required to directly report to Home Office analytical leads. The Supplier will be required to attend regular meetings with HO analytical staff and policy teams to discuss progress on deliverables. </w:t>
      </w:r>
    </w:p>
    <w:p w14:paraId="4792E866" w14:textId="77777777" w:rsidR="00EE1061" w:rsidRDefault="00EE1061" w:rsidP="00F24825">
      <w:pPr>
        <w:pStyle w:val="Mainbodytext-tight"/>
      </w:pPr>
    </w:p>
    <w:p w14:paraId="60982528" w14:textId="2A27BE1E" w:rsidR="00EE1061" w:rsidRDefault="00EE1061" w:rsidP="00F24825">
      <w:pPr>
        <w:pStyle w:val="Mainbodytext-tight"/>
      </w:pPr>
      <w:r>
        <w:t xml:space="preserve">The reporting deliverables of the project will be confirmed with the Supplier, but it is expected these will include: </w:t>
      </w:r>
    </w:p>
    <w:p w14:paraId="0733405D" w14:textId="5438DA7E" w:rsidR="00EE1061" w:rsidRDefault="00EE1061" w:rsidP="00F24825">
      <w:pPr>
        <w:pStyle w:val="Mainbodytext-tight"/>
      </w:pPr>
    </w:p>
    <w:p w14:paraId="430C4B8C" w14:textId="1D255C81" w:rsidR="0047251D" w:rsidRDefault="00EE1061" w:rsidP="003A4CF8">
      <w:pPr>
        <w:pStyle w:val="Mainbodytext-tight"/>
        <w:numPr>
          <w:ilvl w:val="0"/>
          <w:numId w:val="45"/>
        </w:numPr>
      </w:pPr>
      <w:r>
        <w:lastRenderedPageBreak/>
        <w:t xml:space="preserve">Interim findings report / slide deck </w:t>
      </w:r>
      <w:r w:rsidR="0047251D">
        <w:t xml:space="preserve">and associated </w:t>
      </w:r>
      <w:proofErr w:type="gramStart"/>
      <w:r w:rsidR="0047251D">
        <w:t>debrief</w:t>
      </w:r>
      <w:proofErr w:type="gramEnd"/>
      <w:r w:rsidR="0047251D">
        <w:t xml:space="preserve"> </w:t>
      </w:r>
    </w:p>
    <w:p w14:paraId="392FA431" w14:textId="568D1375" w:rsidR="0047251D" w:rsidRDefault="00EE1061" w:rsidP="003A4CF8">
      <w:pPr>
        <w:pStyle w:val="Mainbodytext-tight"/>
        <w:numPr>
          <w:ilvl w:val="0"/>
          <w:numId w:val="45"/>
        </w:numPr>
      </w:pPr>
      <w:r>
        <w:t xml:space="preserve">Data tables from survey analysis (wave 1 and 2) </w:t>
      </w:r>
    </w:p>
    <w:p w14:paraId="2DB5A401" w14:textId="60454AAD" w:rsidR="00EE1061" w:rsidRDefault="00EE1061" w:rsidP="003A4CF8">
      <w:pPr>
        <w:pStyle w:val="Mainbodytext-tight"/>
        <w:numPr>
          <w:ilvl w:val="0"/>
          <w:numId w:val="45"/>
        </w:numPr>
      </w:pPr>
      <w:r>
        <w:t xml:space="preserve">Final report / Final slide deck </w:t>
      </w:r>
      <w:r w:rsidR="0047251D">
        <w:t xml:space="preserve">and associated </w:t>
      </w:r>
      <w:proofErr w:type="gramStart"/>
      <w:r w:rsidR="0047251D">
        <w:t>debrief</w:t>
      </w:r>
      <w:proofErr w:type="gramEnd"/>
      <w:r w:rsidR="0047251D">
        <w:t xml:space="preserve"> </w:t>
      </w:r>
    </w:p>
    <w:p w14:paraId="03F46799" w14:textId="77777777" w:rsidR="00EE1061" w:rsidRDefault="00EE1061" w:rsidP="00EE1061">
      <w:pPr>
        <w:pStyle w:val="Mainbodytext-tight"/>
        <w:ind w:left="720"/>
      </w:pPr>
    </w:p>
    <w:p w14:paraId="080563C5" w14:textId="55B7CC37" w:rsidR="00F24825" w:rsidRPr="00F24825" w:rsidRDefault="00EE1061" w:rsidP="00F24825">
      <w:pPr>
        <w:pStyle w:val="Mainbodytext-tight"/>
        <w:rPr>
          <w:b/>
          <w:bCs/>
        </w:rPr>
      </w:pPr>
      <w:r>
        <w:t xml:space="preserve">It is expected that produced outputs will </w:t>
      </w:r>
      <w:r w:rsidR="0047251D">
        <w:t xml:space="preserve">be informed by HO collected monitoring and impact data. </w:t>
      </w:r>
    </w:p>
    <w:p w14:paraId="477802DC" w14:textId="77777777" w:rsidR="00341D13" w:rsidRDefault="00341D13" w:rsidP="00341D13">
      <w:pPr>
        <w:pStyle w:val="Mainbodytext-tight"/>
      </w:pPr>
    </w:p>
    <w:p w14:paraId="52E91A61" w14:textId="77777777" w:rsidR="00341D13" w:rsidRDefault="00341D13" w:rsidP="00341D13">
      <w:pPr>
        <w:pStyle w:val="Mainbodytext-tight"/>
      </w:pPr>
    </w:p>
    <w:p w14:paraId="1D9180F3" w14:textId="4F54029C" w:rsidR="005209A0" w:rsidRPr="005209A0" w:rsidRDefault="00E63306" w:rsidP="005209A0">
      <w:pPr>
        <w:pStyle w:val="Heading1"/>
        <w:spacing w:after="120"/>
        <w:rPr>
          <w:sz w:val="32"/>
          <w:szCs w:val="32"/>
        </w:rPr>
      </w:pPr>
      <w:bookmarkStart w:id="14" w:name="_Toc368573031"/>
      <w:bookmarkStart w:id="15" w:name="_Toc159329813"/>
      <w:r>
        <w:rPr>
          <w:sz w:val="32"/>
          <w:szCs w:val="32"/>
        </w:rPr>
        <w:t>T</w:t>
      </w:r>
      <w:r w:rsidR="00FE18AC" w:rsidRPr="001A45DF">
        <w:rPr>
          <w:sz w:val="32"/>
          <w:szCs w:val="32"/>
        </w:rPr>
        <w:t xml:space="preserve">he </w:t>
      </w:r>
      <w:r>
        <w:rPr>
          <w:sz w:val="32"/>
          <w:szCs w:val="32"/>
        </w:rPr>
        <w:t>R</w:t>
      </w:r>
      <w:r w:rsidR="00FE18AC" w:rsidRPr="001A45DF">
        <w:rPr>
          <w:sz w:val="32"/>
          <w:szCs w:val="32"/>
        </w:rPr>
        <w:t>equirement</w:t>
      </w:r>
      <w:bookmarkEnd w:id="14"/>
      <w:bookmarkEnd w:id="15"/>
    </w:p>
    <w:p w14:paraId="1EEDDEDF" w14:textId="5922C02E" w:rsidR="005209A0" w:rsidRPr="005209A0" w:rsidRDefault="005209A0" w:rsidP="005209A0">
      <w:pPr>
        <w:pStyle w:val="Normal1"/>
        <w:spacing w:after="240"/>
        <w:rPr>
          <w:sz w:val="24"/>
          <w:szCs w:val="24"/>
        </w:rPr>
      </w:pPr>
      <w:r w:rsidRPr="001A6831">
        <w:t>The Contract is expected to commence in</w:t>
      </w:r>
      <w:r>
        <w:t xml:space="preserve"> April 2024 and will run until May 2025.</w:t>
      </w:r>
    </w:p>
    <w:p w14:paraId="70661249" w14:textId="4DD45B27" w:rsidR="0047251D" w:rsidRDefault="0047251D" w:rsidP="0047251D">
      <w:pPr>
        <w:pStyle w:val="Mainbodytext-tight"/>
      </w:pPr>
      <w:r>
        <w:t xml:space="preserve">The successful Supplier will be required to attend an initiation/set-up meeting which will either be held at the Home Office, 2 Marsham Street, London, SW1P 4DF or virtually. </w:t>
      </w:r>
    </w:p>
    <w:p w14:paraId="0AA9745E" w14:textId="77777777" w:rsidR="0047251D" w:rsidRPr="0047251D" w:rsidRDefault="0047251D" w:rsidP="0047251D">
      <w:pPr>
        <w:pStyle w:val="Mainbodytext-tight"/>
      </w:pPr>
    </w:p>
    <w:p w14:paraId="21E1F38C" w14:textId="6CCAE105" w:rsidR="0047251D" w:rsidRDefault="0047251D" w:rsidP="0047251D">
      <w:pPr>
        <w:pStyle w:val="Bodycopy"/>
        <w:rPr>
          <w:sz w:val="22"/>
          <w:szCs w:val="22"/>
        </w:rPr>
      </w:pPr>
      <w:r w:rsidRPr="0047251D">
        <w:rPr>
          <w:sz w:val="22"/>
          <w:szCs w:val="22"/>
        </w:rPr>
        <w:t xml:space="preserve">The Successful Supplier will be required to participate in regular meetings </w:t>
      </w:r>
      <w:r w:rsidR="002C3E25">
        <w:rPr>
          <w:sz w:val="22"/>
          <w:szCs w:val="22"/>
        </w:rPr>
        <w:t>(weekly</w:t>
      </w:r>
      <w:r w:rsidR="0034799C">
        <w:rPr>
          <w:sz w:val="22"/>
          <w:szCs w:val="22"/>
        </w:rPr>
        <w:t xml:space="preserve"> or biweekly</w:t>
      </w:r>
      <w:r w:rsidR="002C3E25">
        <w:rPr>
          <w:sz w:val="22"/>
          <w:szCs w:val="22"/>
        </w:rPr>
        <w:t xml:space="preserve">) </w:t>
      </w:r>
      <w:r w:rsidRPr="0047251D">
        <w:rPr>
          <w:sz w:val="22"/>
          <w:szCs w:val="22"/>
        </w:rPr>
        <w:t xml:space="preserve">with policy </w:t>
      </w:r>
      <w:r>
        <w:rPr>
          <w:sz w:val="22"/>
          <w:szCs w:val="22"/>
        </w:rPr>
        <w:t xml:space="preserve">and </w:t>
      </w:r>
      <w:r w:rsidRPr="0047251D">
        <w:rPr>
          <w:sz w:val="22"/>
          <w:szCs w:val="22"/>
        </w:rPr>
        <w:t>analytical colleagues to discuss progress</w:t>
      </w:r>
      <w:r>
        <w:rPr>
          <w:sz w:val="22"/>
          <w:szCs w:val="22"/>
        </w:rPr>
        <w:t xml:space="preserve"> of the evaluation.</w:t>
      </w:r>
    </w:p>
    <w:p w14:paraId="4F24E1BE" w14:textId="54F50B5E" w:rsidR="0047251D" w:rsidRDefault="0047251D" w:rsidP="0047251D">
      <w:pPr>
        <w:pStyle w:val="Bodycopy"/>
        <w:rPr>
          <w:sz w:val="22"/>
          <w:szCs w:val="22"/>
        </w:rPr>
      </w:pPr>
    </w:p>
    <w:p w14:paraId="57C1EAB7" w14:textId="7EA645C1" w:rsidR="0047251D" w:rsidRDefault="0047251D" w:rsidP="0047251D">
      <w:pPr>
        <w:pStyle w:val="Bodycopy"/>
        <w:rPr>
          <w:sz w:val="22"/>
          <w:szCs w:val="22"/>
        </w:rPr>
      </w:pPr>
      <w:r>
        <w:rPr>
          <w:sz w:val="22"/>
          <w:szCs w:val="22"/>
        </w:rPr>
        <w:t>The Supplier will be expected to deliver the following, in partnership with the HO, within the agreed timescales and standards</w:t>
      </w:r>
      <w:r w:rsidR="0086572F">
        <w:rPr>
          <w:sz w:val="22"/>
          <w:szCs w:val="22"/>
        </w:rPr>
        <w:t>. All timescales at this stage should be treated as a guide.</w:t>
      </w:r>
    </w:p>
    <w:p w14:paraId="5225CC3F" w14:textId="0F197FFB" w:rsidR="0047251D" w:rsidRDefault="0047251D" w:rsidP="0047251D">
      <w:pPr>
        <w:pStyle w:val="Bodycopy"/>
        <w:rPr>
          <w:sz w:val="22"/>
          <w:szCs w:val="22"/>
        </w:rPr>
      </w:pPr>
    </w:p>
    <w:p w14:paraId="604F73A8" w14:textId="228D7BAC" w:rsidR="0047251D" w:rsidRPr="0047251D" w:rsidRDefault="0047251D" w:rsidP="003A4CF8">
      <w:pPr>
        <w:pStyle w:val="Bodycopy"/>
        <w:numPr>
          <w:ilvl w:val="0"/>
          <w:numId w:val="48"/>
        </w:numPr>
        <w:rPr>
          <w:b/>
          <w:bCs/>
          <w:sz w:val="22"/>
          <w:szCs w:val="22"/>
        </w:rPr>
      </w:pPr>
      <w:r w:rsidRPr="0047251D">
        <w:rPr>
          <w:b/>
          <w:bCs/>
          <w:sz w:val="22"/>
          <w:szCs w:val="22"/>
        </w:rPr>
        <w:t>Project Initiation Meeting to discuss and agree the requirement with the Home Office, following appointment (April 202</w:t>
      </w:r>
      <w:r>
        <w:rPr>
          <w:b/>
          <w:bCs/>
          <w:sz w:val="22"/>
          <w:szCs w:val="22"/>
        </w:rPr>
        <w:t>4</w:t>
      </w:r>
      <w:r w:rsidRPr="0047251D">
        <w:rPr>
          <w:b/>
          <w:bCs/>
          <w:sz w:val="22"/>
          <w:szCs w:val="22"/>
        </w:rPr>
        <w:t xml:space="preserve">) </w:t>
      </w:r>
    </w:p>
    <w:p w14:paraId="0EDCB1E8" w14:textId="634E6C8B" w:rsidR="0047251D" w:rsidRDefault="0047251D" w:rsidP="003A4CF8">
      <w:pPr>
        <w:pStyle w:val="Bodycopy"/>
        <w:numPr>
          <w:ilvl w:val="0"/>
          <w:numId w:val="49"/>
        </w:numPr>
        <w:rPr>
          <w:sz w:val="22"/>
          <w:szCs w:val="22"/>
        </w:rPr>
      </w:pPr>
      <w:r>
        <w:rPr>
          <w:sz w:val="22"/>
          <w:szCs w:val="22"/>
        </w:rPr>
        <w:t xml:space="preserve">Project plan of timings, </w:t>
      </w:r>
      <w:proofErr w:type="gramStart"/>
      <w:r>
        <w:rPr>
          <w:sz w:val="22"/>
          <w:szCs w:val="22"/>
        </w:rPr>
        <w:t>resources</w:t>
      </w:r>
      <w:proofErr w:type="gramEnd"/>
      <w:r>
        <w:rPr>
          <w:sz w:val="22"/>
          <w:szCs w:val="22"/>
        </w:rPr>
        <w:t xml:space="preserve"> and risk register to be produced by Supplier for agreement with the HO.</w:t>
      </w:r>
    </w:p>
    <w:p w14:paraId="7EBF9FF9" w14:textId="77777777" w:rsidR="0047251D" w:rsidRPr="0047251D" w:rsidRDefault="0047251D" w:rsidP="0086572F">
      <w:pPr>
        <w:pStyle w:val="Bodycopy"/>
        <w:rPr>
          <w:b/>
          <w:bCs/>
          <w:sz w:val="22"/>
          <w:szCs w:val="22"/>
        </w:rPr>
      </w:pPr>
    </w:p>
    <w:p w14:paraId="66BFE02B" w14:textId="64A3CEFB" w:rsidR="0086572F" w:rsidRDefault="0086572F" w:rsidP="003A4CF8">
      <w:pPr>
        <w:pStyle w:val="Bodycopy"/>
        <w:numPr>
          <w:ilvl w:val="0"/>
          <w:numId w:val="48"/>
        </w:numPr>
        <w:rPr>
          <w:b/>
          <w:bCs/>
          <w:sz w:val="22"/>
          <w:szCs w:val="22"/>
        </w:rPr>
      </w:pPr>
      <w:r>
        <w:rPr>
          <w:b/>
          <w:bCs/>
          <w:sz w:val="22"/>
          <w:szCs w:val="22"/>
        </w:rPr>
        <w:t xml:space="preserve">Regular meetings with the HO (starting April 2024) </w:t>
      </w:r>
    </w:p>
    <w:p w14:paraId="7B485C61" w14:textId="7C2062AE" w:rsidR="0086572F" w:rsidRPr="0086572F" w:rsidRDefault="0086572F" w:rsidP="003A4CF8">
      <w:pPr>
        <w:pStyle w:val="Bodycopy"/>
        <w:numPr>
          <w:ilvl w:val="0"/>
          <w:numId w:val="49"/>
        </w:numPr>
        <w:rPr>
          <w:b/>
          <w:bCs/>
          <w:sz w:val="22"/>
          <w:szCs w:val="22"/>
        </w:rPr>
      </w:pPr>
      <w:r>
        <w:rPr>
          <w:sz w:val="22"/>
          <w:szCs w:val="22"/>
        </w:rPr>
        <w:t xml:space="preserve">Weekly virtual meetings with the HO </w:t>
      </w:r>
      <w:r w:rsidR="005F7CB3">
        <w:rPr>
          <w:sz w:val="22"/>
          <w:szCs w:val="22"/>
        </w:rPr>
        <w:t xml:space="preserve">during set-up period. Bi-weekly throughout the mainstage of the evaluation. </w:t>
      </w:r>
    </w:p>
    <w:p w14:paraId="684AB77A" w14:textId="77777777" w:rsidR="0086572F" w:rsidRDefault="0086572F" w:rsidP="0086572F">
      <w:pPr>
        <w:pStyle w:val="Bodycopy"/>
        <w:ind w:left="1440"/>
        <w:rPr>
          <w:b/>
          <w:bCs/>
          <w:sz w:val="22"/>
          <w:szCs w:val="22"/>
        </w:rPr>
      </w:pPr>
    </w:p>
    <w:p w14:paraId="3454AA1E" w14:textId="166196CC" w:rsidR="0047251D" w:rsidRDefault="0047251D" w:rsidP="003A4CF8">
      <w:pPr>
        <w:pStyle w:val="Bodycopy"/>
        <w:numPr>
          <w:ilvl w:val="0"/>
          <w:numId w:val="48"/>
        </w:numPr>
        <w:rPr>
          <w:b/>
          <w:bCs/>
          <w:sz w:val="22"/>
          <w:szCs w:val="22"/>
        </w:rPr>
      </w:pPr>
      <w:r w:rsidRPr="0047251D">
        <w:rPr>
          <w:b/>
          <w:bCs/>
          <w:sz w:val="22"/>
          <w:szCs w:val="22"/>
        </w:rPr>
        <w:t>Hotspots for survey fieldwork selected (April 2024)</w:t>
      </w:r>
    </w:p>
    <w:p w14:paraId="2287BF18" w14:textId="2B66EC88" w:rsidR="00765BC5" w:rsidRDefault="00765BC5" w:rsidP="003A4CF8">
      <w:pPr>
        <w:pStyle w:val="Bodycopy"/>
        <w:numPr>
          <w:ilvl w:val="0"/>
          <w:numId w:val="49"/>
        </w:numPr>
        <w:rPr>
          <w:b/>
          <w:bCs/>
          <w:sz w:val="22"/>
          <w:szCs w:val="22"/>
        </w:rPr>
      </w:pPr>
      <w:r>
        <w:rPr>
          <w:sz w:val="22"/>
          <w:szCs w:val="22"/>
        </w:rPr>
        <w:t xml:space="preserve">To be agreed with the HO. </w:t>
      </w:r>
    </w:p>
    <w:p w14:paraId="6C22E871" w14:textId="77777777" w:rsidR="0047251D" w:rsidRPr="0047251D" w:rsidRDefault="0047251D" w:rsidP="0047251D">
      <w:pPr>
        <w:pStyle w:val="Bodycopy"/>
        <w:ind w:left="720"/>
        <w:rPr>
          <w:b/>
          <w:bCs/>
          <w:sz w:val="22"/>
          <w:szCs w:val="22"/>
        </w:rPr>
      </w:pPr>
    </w:p>
    <w:p w14:paraId="53A8C0C9" w14:textId="15F27A4F" w:rsidR="0047251D" w:rsidRDefault="0047251D" w:rsidP="003A4CF8">
      <w:pPr>
        <w:pStyle w:val="Bodycopy"/>
        <w:numPr>
          <w:ilvl w:val="0"/>
          <w:numId w:val="48"/>
        </w:numPr>
        <w:rPr>
          <w:b/>
          <w:bCs/>
          <w:sz w:val="22"/>
          <w:szCs w:val="22"/>
        </w:rPr>
      </w:pPr>
      <w:r w:rsidRPr="0047251D">
        <w:rPr>
          <w:b/>
          <w:bCs/>
          <w:sz w:val="22"/>
          <w:szCs w:val="22"/>
        </w:rPr>
        <w:t>Wave 1 public/community survey fieldwork begins (</w:t>
      </w:r>
      <w:r w:rsidR="006C0291">
        <w:rPr>
          <w:b/>
          <w:bCs/>
          <w:sz w:val="22"/>
          <w:szCs w:val="22"/>
        </w:rPr>
        <w:t>April/</w:t>
      </w:r>
      <w:r w:rsidRPr="0047251D">
        <w:rPr>
          <w:b/>
          <w:bCs/>
          <w:sz w:val="22"/>
          <w:szCs w:val="22"/>
        </w:rPr>
        <w:t xml:space="preserve">May 2024) </w:t>
      </w:r>
    </w:p>
    <w:p w14:paraId="6309F2A6" w14:textId="55E28582" w:rsidR="00765BC5" w:rsidRPr="00765BC5" w:rsidRDefault="00765BC5" w:rsidP="003A4CF8">
      <w:pPr>
        <w:pStyle w:val="Bodycopy"/>
        <w:numPr>
          <w:ilvl w:val="0"/>
          <w:numId w:val="49"/>
        </w:numPr>
        <w:rPr>
          <w:b/>
          <w:bCs/>
          <w:sz w:val="22"/>
          <w:szCs w:val="22"/>
        </w:rPr>
      </w:pPr>
      <w:r>
        <w:rPr>
          <w:sz w:val="22"/>
          <w:szCs w:val="22"/>
        </w:rPr>
        <w:t xml:space="preserve">Question design to be agreed between the successful Supplier and the HO </w:t>
      </w:r>
    </w:p>
    <w:p w14:paraId="20CEBBCD" w14:textId="5D76D084" w:rsidR="0086572F" w:rsidRDefault="0086572F" w:rsidP="003A4CF8">
      <w:pPr>
        <w:pStyle w:val="Bodycopy"/>
        <w:numPr>
          <w:ilvl w:val="0"/>
          <w:numId w:val="49"/>
        </w:numPr>
        <w:rPr>
          <w:b/>
          <w:bCs/>
          <w:sz w:val="22"/>
          <w:szCs w:val="22"/>
        </w:rPr>
      </w:pPr>
      <w:r>
        <w:rPr>
          <w:sz w:val="22"/>
          <w:szCs w:val="22"/>
        </w:rPr>
        <w:t>Fieldwork period to be agreed between the successful Supplier and the HO</w:t>
      </w:r>
      <w:r w:rsidR="0001614A">
        <w:rPr>
          <w:sz w:val="22"/>
          <w:szCs w:val="22"/>
        </w:rPr>
        <w:t>. I</w:t>
      </w:r>
      <w:r w:rsidR="00DF6E28">
        <w:rPr>
          <w:sz w:val="22"/>
          <w:szCs w:val="22"/>
        </w:rPr>
        <w:t>t is</w:t>
      </w:r>
      <w:r w:rsidR="0001614A">
        <w:rPr>
          <w:sz w:val="22"/>
          <w:szCs w:val="22"/>
        </w:rPr>
        <w:t xml:space="preserve"> expected fieldwork will be conducted in all force areas, noting a staggered approach to fieldwork may be required.</w:t>
      </w:r>
    </w:p>
    <w:p w14:paraId="0D188F56" w14:textId="77777777" w:rsidR="0047251D" w:rsidRDefault="0047251D" w:rsidP="0047251D">
      <w:pPr>
        <w:pStyle w:val="ListParagraph"/>
        <w:rPr>
          <w:b/>
          <w:bCs/>
          <w:szCs w:val="22"/>
        </w:rPr>
      </w:pPr>
    </w:p>
    <w:p w14:paraId="284C2AF4" w14:textId="4040E62C" w:rsidR="0047251D" w:rsidRDefault="0086572F" w:rsidP="003A4CF8">
      <w:pPr>
        <w:pStyle w:val="Bodycopy"/>
        <w:numPr>
          <w:ilvl w:val="0"/>
          <w:numId w:val="48"/>
        </w:numPr>
        <w:rPr>
          <w:b/>
          <w:bCs/>
          <w:sz w:val="22"/>
          <w:szCs w:val="22"/>
        </w:rPr>
      </w:pPr>
      <w:r>
        <w:rPr>
          <w:b/>
          <w:bCs/>
          <w:sz w:val="22"/>
          <w:szCs w:val="22"/>
        </w:rPr>
        <w:t>Wave 1 Impact and process related qualitative fieldwork (TBC)</w:t>
      </w:r>
    </w:p>
    <w:p w14:paraId="2E74E94C" w14:textId="571EADBC" w:rsidR="00765BC5" w:rsidRDefault="00765BC5" w:rsidP="003A4CF8">
      <w:pPr>
        <w:pStyle w:val="Bodycopy"/>
        <w:numPr>
          <w:ilvl w:val="0"/>
          <w:numId w:val="51"/>
        </w:numPr>
        <w:rPr>
          <w:b/>
          <w:bCs/>
          <w:sz w:val="22"/>
          <w:szCs w:val="22"/>
        </w:rPr>
      </w:pPr>
      <w:r>
        <w:rPr>
          <w:sz w:val="22"/>
          <w:szCs w:val="22"/>
        </w:rPr>
        <w:t xml:space="preserve">Topic guides and materials to be agreed between the successful Supplier and the HO  </w:t>
      </w:r>
    </w:p>
    <w:p w14:paraId="02D3FB05" w14:textId="77777777" w:rsidR="0086572F" w:rsidRPr="00765BC5" w:rsidRDefault="0086572F" w:rsidP="00765BC5">
      <w:pPr>
        <w:rPr>
          <w:b/>
          <w:bCs/>
          <w:szCs w:val="22"/>
        </w:rPr>
      </w:pPr>
    </w:p>
    <w:p w14:paraId="0F2E6B38" w14:textId="491328DC" w:rsidR="0086572F" w:rsidRDefault="0086572F" w:rsidP="003A4CF8">
      <w:pPr>
        <w:pStyle w:val="Bodycopy"/>
        <w:numPr>
          <w:ilvl w:val="0"/>
          <w:numId w:val="48"/>
        </w:numPr>
        <w:rPr>
          <w:b/>
          <w:bCs/>
          <w:sz w:val="22"/>
          <w:szCs w:val="22"/>
        </w:rPr>
      </w:pPr>
      <w:r>
        <w:rPr>
          <w:b/>
          <w:bCs/>
          <w:sz w:val="22"/>
          <w:szCs w:val="22"/>
        </w:rPr>
        <w:t>Interim findings report / slide deck and associated debrief (</w:t>
      </w:r>
      <w:r w:rsidR="006C0291">
        <w:rPr>
          <w:b/>
          <w:bCs/>
          <w:sz w:val="22"/>
          <w:szCs w:val="22"/>
        </w:rPr>
        <w:t>October</w:t>
      </w:r>
      <w:r>
        <w:rPr>
          <w:b/>
          <w:bCs/>
          <w:sz w:val="22"/>
          <w:szCs w:val="22"/>
        </w:rPr>
        <w:t xml:space="preserve"> 2024) </w:t>
      </w:r>
    </w:p>
    <w:p w14:paraId="2D82CDE8" w14:textId="5EDF4B7A" w:rsidR="0086572F" w:rsidRDefault="0086572F" w:rsidP="003A4CF8">
      <w:pPr>
        <w:pStyle w:val="Bodycopy"/>
        <w:numPr>
          <w:ilvl w:val="0"/>
          <w:numId w:val="49"/>
        </w:numPr>
        <w:rPr>
          <w:b/>
          <w:bCs/>
          <w:sz w:val="22"/>
          <w:szCs w:val="22"/>
        </w:rPr>
      </w:pPr>
      <w:r>
        <w:rPr>
          <w:sz w:val="22"/>
          <w:szCs w:val="22"/>
        </w:rPr>
        <w:t xml:space="preserve">Scope of the report to defined with the successful </w:t>
      </w:r>
      <w:proofErr w:type="gramStart"/>
      <w:r>
        <w:rPr>
          <w:sz w:val="22"/>
          <w:szCs w:val="22"/>
        </w:rPr>
        <w:t>Supplier</w:t>
      </w:r>
      <w:proofErr w:type="gramEnd"/>
    </w:p>
    <w:p w14:paraId="647EBA79" w14:textId="77777777" w:rsidR="0086572F" w:rsidRDefault="0086572F" w:rsidP="0086572F">
      <w:pPr>
        <w:pStyle w:val="ListParagraph"/>
        <w:rPr>
          <w:b/>
          <w:bCs/>
          <w:szCs w:val="22"/>
        </w:rPr>
      </w:pPr>
    </w:p>
    <w:p w14:paraId="65B17913" w14:textId="4A8721D8" w:rsidR="0086572F" w:rsidRDefault="0086572F" w:rsidP="003A4CF8">
      <w:pPr>
        <w:pStyle w:val="Bodycopy"/>
        <w:numPr>
          <w:ilvl w:val="0"/>
          <w:numId w:val="48"/>
        </w:numPr>
        <w:rPr>
          <w:b/>
          <w:bCs/>
          <w:sz w:val="22"/>
          <w:szCs w:val="22"/>
        </w:rPr>
      </w:pPr>
      <w:r>
        <w:rPr>
          <w:b/>
          <w:bCs/>
          <w:sz w:val="22"/>
          <w:szCs w:val="22"/>
        </w:rPr>
        <w:t>Wave 2 public community survey fieldwork begins (</w:t>
      </w:r>
      <w:r w:rsidR="006C0291">
        <w:rPr>
          <w:b/>
          <w:bCs/>
          <w:sz w:val="22"/>
          <w:szCs w:val="22"/>
        </w:rPr>
        <w:t>TBC</w:t>
      </w:r>
      <w:r>
        <w:rPr>
          <w:b/>
          <w:bCs/>
          <w:sz w:val="22"/>
          <w:szCs w:val="22"/>
        </w:rPr>
        <w:t xml:space="preserve"> 2024)</w:t>
      </w:r>
    </w:p>
    <w:p w14:paraId="0F1BFC72" w14:textId="0FBA3070" w:rsidR="00765BC5" w:rsidRDefault="00765BC5" w:rsidP="003A4CF8">
      <w:pPr>
        <w:pStyle w:val="Bodycopy"/>
        <w:numPr>
          <w:ilvl w:val="0"/>
          <w:numId w:val="50"/>
        </w:numPr>
        <w:rPr>
          <w:b/>
          <w:bCs/>
          <w:sz w:val="22"/>
          <w:szCs w:val="22"/>
        </w:rPr>
      </w:pPr>
      <w:r>
        <w:rPr>
          <w:sz w:val="22"/>
          <w:szCs w:val="22"/>
        </w:rPr>
        <w:lastRenderedPageBreak/>
        <w:t xml:space="preserve">Question design to be agreed between the successful Supplier and the HO </w:t>
      </w:r>
    </w:p>
    <w:p w14:paraId="7294A727" w14:textId="0204C1E3" w:rsidR="0001614A" w:rsidRDefault="0001614A" w:rsidP="003A4CF8">
      <w:pPr>
        <w:pStyle w:val="Bodycopy"/>
        <w:numPr>
          <w:ilvl w:val="0"/>
          <w:numId w:val="50"/>
        </w:numPr>
        <w:rPr>
          <w:b/>
          <w:bCs/>
          <w:sz w:val="22"/>
          <w:szCs w:val="22"/>
        </w:rPr>
      </w:pPr>
      <w:r>
        <w:rPr>
          <w:sz w:val="22"/>
          <w:szCs w:val="22"/>
        </w:rPr>
        <w:t>Fieldwork period to be agreed between the successful Supplier and the HO. I</w:t>
      </w:r>
      <w:r w:rsidR="00DF6E28">
        <w:rPr>
          <w:sz w:val="22"/>
          <w:szCs w:val="22"/>
        </w:rPr>
        <w:t>t is</w:t>
      </w:r>
      <w:r>
        <w:rPr>
          <w:sz w:val="22"/>
          <w:szCs w:val="22"/>
        </w:rPr>
        <w:t xml:space="preserve"> expected fieldwork will be conducted in all force areas, noting a staggered approach to fieldwork may be required.</w:t>
      </w:r>
    </w:p>
    <w:p w14:paraId="74E0E3EB" w14:textId="77777777" w:rsidR="0001614A" w:rsidRPr="0001614A" w:rsidRDefault="0001614A" w:rsidP="003A4CF8">
      <w:pPr>
        <w:pStyle w:val="Bodycopy"/>
        <w:numPr>
          <w:ilvl w:val="0"/>
          <w:numId w:val="50"/>
        </w:numPr>
        <w:rPr>
          <w:b/>
          <w:bCs/>
          <w:sz w:val="22"/>
          <w:szCs w:val="22"/>
        </w:rPr>
      </w:pPr>
    </w:p>
    <w:p w14:paraId="548FB59F" w14:textId="77777777" w:rsidR="0086572F" w:rsidRDefault="0086572F" w:rsidP="0086572F">
      <w:pPr>
        <w:pStyle w:val="ListParagraph"/>
        <w:rPr>
          <w:b/>
          <w:bCs/>
          <w:szCs w:val="22"/>
        </w:rPr>
      </w:pPr>
    </w:p>
    <w:p w14:paraId="175E6574" w14:textId="300AEF1F" w:rsidR="0086572F" w:rsidRDefault="0086572F" w:rsidP="003A4CF8">
      <w:pPr>
        <w:pStyle w:val="Bodycopy"/>
        <w:numPr>
          <w:ilvl w:val="0"/>
          <w:numId w:val="48"/>
        </w:numPr>
        <w:rPr>
          <w:b/>
          <w:bCs/>
          <w:sz w:val="22"/>
          <w:szCs w:val="22"/>
        </w:rPr>
      </w:pPr>
      <w:r>
        <w:rPr>
          <w:b/>
          <w:bCs/>
          <w:sz w:val="22"/>
          <w:szCs w:val="22"/>
        </w:rPr>
        <w:t>Wave 2 Impact and process related qualitative fieldwork (TBC)</w:t>
      </w:r>
    </w:p>
    <w:p w14:paraId="221B45FA" w14:textId="77777777" w:rsidR="00765BC5" w:rsidRDefault="00765BC5" w:rsidP="003A4CF8">
      <w:pPr>
        <w:pStyle w:val="Bodycopy"/>
        <w:numPr>
          <w:ilvl w:val="0"/>
          <w:numId w:val="52"/>
        </w:numPr>
        <w:rPr>
          <w:b/>
          <w:bCs/>
          <w:sz w:val="22"/>
          <w:szCs w:val="22"/>
        </w:rPr>
      </w:pPr>
      <w:r>
        <w:rPr>
          <w:sz w:val="22"/>
          <w:szCs w:val="22"/>
        </w:rPr>
        <w:t xml:space="preserve">Topic guides and materials to be agreed between the successful Supplier and the HO  </w:t>
      </w:r>
    </w:p>
    <w:p w14:paraId="2E843CBF" w14:textId="77777777" w:rsidR="00765BC5" w:rsidRDefault="00765BC5" w:rsidP="00765BC5">
      <w:pPr>
        <w:pStyle w:val="Bodycopy"/>
        <w:ind w:left="720"/>
        <w:rPr>
          <w:b/>
          <w:bCs/>
          <w:sz w:val="22"/>
          <w:szCs w:val="22"/>
        </w:rPr>
      </w:pPr>
    </w:p>
    <w:p w14:paraId="620C4575" w14:textId="77777777" w:rsidR="0086572F" w:rsidRDefault="0086572F" w:rsidP="0086572F">
      <w:pPr>
        <w:pStyle w:val="Bodycopy"/>
        <w:rPr>
          <w:b/>
          <w:bCs/>
          <w:sz w:val="22"/>
          <w:szCs w:val="22"/>
        </w:rPr>
      </w:pPr>
    </w:p>
    <w:p w14:paraId="61E5A3B9" w14:textId="7D3041BC" w:rsidR="0086572F" w:rsidRPr="0086572F" w:rsidRDefault="0086572F" w:rsidP="003A4CF8">
      <w:pPr>
        <w:pStyle w:val="Bodycopy"/>
        <w:numPr>
          <w:ilvl w:val="0"/>
          <w:numId w:val="48"/>
        </w:numPr>
        <w:rPr>
          <w:b/>
          <w:bCs/>
          <w:sz w:val="22"/>
          <w:szCs w:val="22"/>
        </w:rPr>
      </w:pPr>
      <w:r>
        <w:rPr>
          <w:b/>
          <w:bCs/>
          <w:sz w:val="22"/>
          <w:szCs w:val="22"/>
        </w:rPr>
        <w:t>Final report / slide deck and associated debrief (</w:t>
      </w:r>
      <w:r w:rsidR="006C0291">
        <w:rPr>
          <w:b/>
          <w:bCs/>
          <w:sz w:val="22"/>
          <w:szCs w:val="22"/>
        </w:rPr>
        <w:t>March</w:t>
      </w:r>
      <w:r>
        <w:rPr>
          <w:b/>
          <w:bCs/>
          <w:sz w:val="22"/>
          <w:szCs w:val="22"/>
        </w:rPr>
        <w:t xml:space="preserve"> 2025) </w:t>
      </w:r>
    </w:p>
    <w:p w14:paraId="41C6DC8E" w14:textId="77777777" w:rsidR="0086572F" w:rsidRDefault="0086572F" w:rsidP="003A4CF8">
      <w:pPr>
        <w:pStyle w:val="Bodycopy"/>
        <w:numPr>
          <w:ilvl w:val="0"/>
          <w:numId w:val="49"/>
        </w:numPr>
        <w:rPr>
          <w:b/>
          <w:bCs/>
          <w:sz w:val="22"/>
          <w:szCs w:val="22"/>
        </w:rPr>
      </w:pPr>
      <w:r>
        <w:rPr>
          <w:sz w:val="22"/>
          <w:szCs w:val="22"/>
        </w:rPr>
        <w:t xml:space="preserve">Scope of the report to defined with the successful </w:t>
      </w:r>
      <w:proofErr w:type="gramStart"/>
      <w:r>
        <w:rPr>
          <w:sz w:val="22"/>
          <w:szCs w:val="22"/>
        </w:rPr>
        <w:t>Supplier</w:t>
      </w:r>
      <w:proofErr w:type="gramEnd"/>
    </w:p>
    <w:p w14:paraId="0FB65B9F" w14:textId="77777777" w:rsidR="0086572F" w:rsidRPr="0086572F" w:rsidRDefault="0086572F" w:rsidP="0086572F">
      <w:pPr>
        <w:pStyle w:val="Bodycopy"/>
        <w:ind w:left="720"/>
        <w:rPr>
          <w:b/>
          <w:bCs/>
          <w:sz w:val="22"/>
          <w:szCs w:val="22"/>
        </w:rPr>
      </w:pPr>
    </w:p>
    <w:p w14:paraId="35734D9E" w14:textId="674B2C13" w:rsidR="00671798" w:rsidRDefault="008208FB">
      <w:pPr>
        <w:pStyle w:val="Heading1"/>
        <w:spacing w:after="120"/>
        <w:rPr>
          <w:sz w:val="32"/>
          <w:szCs w:val="32"/>
        </w:rPr>
      </w:pPr>
      <w:bookmarkStart w:id="16" w:name="_Toc368573032"/>
      <w:bookmarkStart w:id="17" w:name="_Toc159329814"/>
      <w:r>
        <w:rPr>
          <w:sz w:val="32"/>
          <w:szCs w:val="32"/>
        </w:rPr>
        <w:t>K</w:t>
      </w:r>
      <w:r w:rsidR="00FE18AC" w:rsidRPr="001A45DF">
        <w:rPr>
          <w:sz w:val="32"/>
          <w:szCs w:val="32"/>
        </w:rPr>
        <w:t xml:space="preserve">ey </w:t>
      </w:r>
      <w:r>
        <w:rPr>
          <w:sz w:val="32"/>
          <w:szCs w:val="32"/>
        </w:rPr>
        <w:t>M</w:t>
      </w:r>
      <w:r w:rsidR="00FE18AC" w:rsidRPr="001A45DF">
        <w:rPr>
          <w:sz w:val="32"/>
          <w:szCs w:val="32"/>
        </w:rPr>
        <w:t>ilestones</w:t>
      </w:r>
      <w:bookmarkEnd w:id="16"/>
      <w:r w:rsidR="00F0311A" w:rsidRPr="001A45DF">
        <w:rPr>
          <w:sz w:val="32"/>
          <w:szCs w:val="32"/>
        </w:rPr>
        <w:t xml:space="preserve"> and Deliverables</w:t>
      </w:r>
      <w:bookmarkEnd w:id="17"/>
    </w:p>
    <w:p w14:paraId="4D0E0CBA" w14:textId="18CAC30E" w:rsidR="00FE18AC" w:rsidRPr="001A45DF" w:rsidRDefault="00F937C4" w:rsidP="008208FB">
      <w:pPr>
        <w:pStyle w:val="Normal1"/>
      </w:pPr>
      <w:r w:rsidRPr="001A45DF">
        <w:t>The following Contract</w:t>
      </w:r>
      <w:r w:rsidR="00A57B4E" w:rsidRPr="001A45DF">
        <w:t xml:space="preserve"> milestones</w:t>
      </w:r>
      <w:r w:rsidR="00F0311A" w:rsidRPr="001A45DF">
        <w:t>/deliverables</w:t>
      </w:r>
      <w:r w:rsidRPr="001A45DF">
        <w:t xml:space="preserve"> shall apply</w:t>
      </w:r>
      <w:r w:rsidR="00D17764" w:rsidRPr="001A45DF">
        <w:t>:</w:t>
      </w:r>
    </w:p>
    <w:tbl>
      <w:tblPr>
        <w:tblStyle w:val="TableGrid"/>
        <w:tblW w:w="5000" w:type="pct"/>
        <w:tblLook w:val="04A0" w:firstRow="1" w:lastRow="0" w:firstColumn="1" w:lastColumn="0" w:noHBand="0" w:noVBand="1"/>
      </w:tblPr>
      <w:tblGrid>
        <w:gridCol w:w="2466"/>
        <w:gridCol w:w="4050"/>
        <w:gridCol w:w="2503"/>
      </w:tblGrid>
      <w:tr w:rsidR="00FE18AC" w:rsidRPr="001A45DF" w14:paraId="6BF78E35" w14:textId="77777777" w:rsidTr="00106F24">
        <w:tc>
          <w:tcPr>
            <w:tcW w:w="898" w:type="pct"/>
            <w:shd w:val="clear" w:color="auto" w:fill="C6D9F1" w:themeFill="text2" w:themeFillTint="33"/>
            <w:vAlign w:val="center"/>
          </w:tcPr>
          <w:p w14:paraId="2F0B096C" w14:textId="2748D807" w:rsidR="00671798" w:rsidRPr="00FA283F" w:rsidRDefault="00FE18AC">
            <w:pPr>
              <w:pStyle w:val="Heading3"/>
              <w:numPr>
                <w:ilvl w:val="0"/>
                <w:numId w:val="0"/>
              </w:numPr>
              <w:spacing w:after="120"/>
              <w:jc w:val="center"/>
              <w:rPr>
                <w:b/>
                <w:szCs w:val="22"/>
              </w:rPr>
            </w:pPr>
            <w:r w:rsidRPr="00FA283F">
              <w:rPr>
                <w:b/>
                <w:szCs w:val="22"/>
              </w:rPr>
              <w:t>Milestone</w:t>
            </w:r>
            <w:r w:rsidR="00F0311A" w:rsidRPr="00FA283F">
              <w:rPr>
                <w:b/>
                <w:szCs w:val="22"/>
              </w:rPr>
              <w:t>/Deliverable</w:t>
            </w:r>
          </w:p>
        </w:tc>
        <w:tc>
          <w:tcPr>
            <w:tcW w:w="2480" w:type="pct"/>
            <w:shd w:val="clear" w:color="auto" w:fill="C6D9F1" w:themeFill="text2" w:themeFillTint="33"/>
            <w:vAlign w:val="center"/>
          </w:tcPr>
          <w:p w14:paraId="55754382" w14:textId="77777777" w:rsidR="00671798" w:rsidRPr="00FA283F" w:rsidRDefault="00FE18AC">
            <w:pPr>
              <w:pStyle w:val="Heading3"/>
              <w:numPr>
                <w:ilvl w:val="0"/>
                <w:numId w:val="0"/>
              </w:numPr>
              <w:spacing w:after="120"/>
              <w:jc w:val="center"/>
              <w:rPr>
                <w:b/>
                <w:szCs w:val="22"/>
              </w:rPr>
            </w:pPr>
            <w:r w:rsidRPr="00FA283F">
              <w:rPr>
                <w:b/>
                <w:szCs w:val="22"/>
              </w:rPr>
              <w:t>Description</w:t>
            </w:r>
          </w:p>
        </w:tc>
        <w:tc>
          <w:tcPr>
            <w:tcW w:w="1622" w:type="pct"/>
            <w:shd w:val="clear" w:color="auto" w:fill="C6D9F1" w:themeFill="text2" w:themeFillTint="33"/>
            <w:vAlign w:val="center"/>
          </w:tcPr>
          <w:p w14:paraId="0EABB2D0" w14:textId="4CE65645" w:rsidR="00671798" w:rsidRPr="00FA283F" w:rsidRDefault="00FE18AC">
            <w:pPr>
              <w:pStyle w:val="Heading3"/>
              <w:numPr>
                <w:ilvl w:val="0"/>
                <w:numId w:val="0"/>
              </w:numPr>
              <w:spacing w:after="120"/>
              <w:jc w:val="center"/>
              <w:rPr>
                <w:b/>
                <w:szCs w:val="22"/>
              </w:rPr>
            </w:pPr>
            <w:r w:rsidRPr="00FA283F">
              <w:rPr>
                <w:b/>
                <w:szCs w:val="22"/>
              </w:rPr>
              <w:t>Timeframe</w:t>
            </w:r>
            <w:r w:rsidR="00F0311A" w:rsidRPr="00FA283F">
              <w:rPr>
                <w:b/>
                <w:szCs w:val="22"/>
              </w:rPr>
              <w:t xml:space="preserve"> </w:t>
            </w:r>
            <w:proofErr w:type="gramStart"/>
            <w:r w:rsidR="00F0311A" w:rsidRPr="00FA283F">
              <w:rPr>
                <w:b/>
                <w:szCs w:val="22"/>
              </w:rPr>
              <w:t>or  Delivery</w:t>
            </w:r>
            <w:proofErr w:type="gramEnd"/>
            <w:r w:rsidR="00F0311A" w:rsidRPr="00FA283F">
              <w:rPr>
                <w:b/>
                <w:szCs w:val="22"/>
              </w:rPr>
              <w:t xml:space="preserve"> Date</w:t>
            </w:r>
          </w:p>
        </w:tc>
      </w:tr>
      <w:tr w:rsidR="00FE18AC" w:rsidRPr="001A45DF" w14:paraId="2B6EAC37" w14:textId="77777777" w:rsidTr="00E245A6">
        <w:tc>
          <w:tcPr>
            <w:tcW w:w="898" w:type="pct"/>
            <w:vAlign w:val="center"/>
          </w:tcPr>
          <w:p w14:paraId="13176D62" w14:textId="77777777" w:rsidR="00671798" w:rsidRPr="00FA283F" w:rsidRDefault="00FE18AC">
            <w:pPr>
              <w:pStyle w:val="Heading3"/>
              <w:numPr>
                <w:ilvl w:val="0"/>
                <w:numId w:val="0"/>
              </w:numPr>
              <w:spacing w:after="120"/>
              <w:jc w:val="center"/>
              <w:rPr>
                <w:szCs w:val="22"/>
              </w:rPr>
            </w:pPr>
            <w:r w:rsidRPr="00FA283F">
              <w:rPr>
                <w:szCs w:val="22"/>
              </w:rPr>
              <w:t>1</w:t>
            </w:r>
          </w:p>
        </w:tc>
        <w:tc>
          <w:tcPr>
            <w:tcW w:w="2480" w:type="pct"/>
            <w:vAlign w:val="center"/>
          </w:tcPr>
          <w:p w14:paraId="1D53DFC5" w14:textId="77777777" w:rsidR="00765BC5" w:rsidRPr="00FA283F" w:rsidRDefault="00765BC5" w:rsidP="00765BC5">
            <w:pPr>
              <w:pStyle w:val="Bodycopy"/>
              <w:rPr>
                <w:b/>
                <w:bCs/>
                <w:sz w:val="22"/>
                <w:szCs w:val="22"/>
              </w:rPr>
            </w:pPr>
          </w:p>
          <w:p w14:paraId="49782A44" w14:textId="7BBF1766" w:rsidR="00765BC5" w:rsidRPr="00FA283F" w:rsidRDefault="00765BC5" w:rsidP="00765BC5">
            <w:pPr>
              <w:pStyle w:val="Bodycopy"/>
              <w:rPr>
                <w:b/>
                <w:bCs/>
                <w:sz w:val="22"/>
                <w:szCs w:val="22"/>
              </w:rPr>
            </w:pPr>
            <w:r w:rsidRPr="00FA283F">
              <w:rPr>
                <w:b/>
                <w:bCs/>
                <w:sz w:val="22"/>
                <w:szCs w:val="22"/>
              </w:rPr>
              <w:t xml:space="preserve">Project Initiation Meeting to discuss and agree the requirement with the Home Office, following </w:t>
            </w:r>
            <w:proofErr w:type="gramStart"/>
            <w:r w:rsidRPr="00FA283F">
              <w:rPr>
                <w:b/>
                <w:bCs/>
                <w:sz w:val="22"/>
                <w:szCs w:val="22"/>
              </w:rPr>
              <w:t>appointment</w:t>
            </w:r>
            <w:proofErr w:type="gramEnd"/>
            <w:r w:rsidRPr="00FA283F">
              <w:rPr>
                <w:b/>
                <w:bCs/>
                <w:sz w:val="22"/>
                <w:szCs w:val="22"/>
              </w:rPr>
              <w:t xml:space="preserve"> </w:t>
            </w:r>
          </w:p>
          <w:p w14:paraId="04CC1243" w14:textId="5D792503" w:rsidR="00765BC5" w:rsidRPr="00FA283F" w:rsidRDefault="00765BC5" w:rsidP="00CD38F0">
            <w:pPr>
              <w:pStyle w:val="Heading3"/>
              <w:numPr>
                <w:ilvl w:val="0"/>
                <w:numId w:val="0"/>
              </w:numPr>
              <w:spacing w:after="120"/>
              <w:jc w:val="left"/>
              <w:rPr>
                <w:szCs w:val="22"/>
              </w:rPr>
            </w:pPr>
          </w:p>
        </w:tc>
        <w:tc>
          <w:tcPr>
            <w:tcW w:w="1622" w:type="pct"/>
            <w:vAlign w:val="center"/>
          </w:tcPr>
          <w:p w14:paraId="23E536A9" w14:textId="1846991C" w:rsidR="00671798" w:rsidRPr="00FA283F" w:rsidRDefault="00FE18AC" w:rsidP="00F0311A">
            <w:pPr>
              <w:pStyle w:val="Heading3"/>
              <w:numPr>
                <w:ilvl w:val="0"/>
                <w:numId w:val="0"/>
              </w:numPr>
              <w:spacing w:after="120"/>
              <w:jc w:val="center"/>
              <w:rPr>
                <w:szCs w:val="22"/>
              </w:rPr>
            </w:pPr>
            <w:r w:rsidRPr="00FA283F">
              <w:rPr>
                <w:szCs w:val="22"/>
              </w:rPr>
              <w:t>Within week 1 of Contract Award</w:t>
            </w:r>
            <w:r w:rsidR="00F0311A" w:rsidRPr="00FA283F">
              <w:rPr>
                <w:szCs w:val="22"/>
              </w:rPr>
              <w:t xml:space="preserve"> or no later than </w:t>
            </w:r>
            <w:r w:rsidR="00765BC5" w:rsidRPr="00FA283F">
              <w:rPr>
                <w:szCs w:val="22"/>
              </w:rPr>
              <w:t>April 2024</w:t>
            </w:r>
          </w:p>
        </w:tc>
      </w:tr>
      <w:tr w:rsidR="00FE18AC" w:rsidRPr="001A45DF" w14:paraId="16F113EC" w14:textId="77777777" w:rsidTr="00E245A6">
        <w:tc>
          <w:tcPr>
            <w:tcW w:w="898" w:type="pct"/>
            <w:vAlign w:val="center"/>
          </w:tcPr>
          <w:p w14:paraId="4FD18402" w14:textId="77777777" w:rsidR="00671798" w:rsidRPr="00FA283F" w:rsidRDefault="00FE18AC">
            <w:pPr>
              <w:pStyle w:val="Heading3"/>
              <w:numPr>
                <w:ilvl w:val="0"/>
                <w:numId w:val="0"/>
              </w:numPr>
              <w:spacing w:after="120"/>
              <w:jc w:val="center"/>
              <w:rPr>
                <w:szCs w:val="22"/>
              </w:rPr>
            </w:pPr>
            <w:r w:rsidRPr="00FA283F">
              <w:rPr>
                <w:szCs w:val="22"/>
              </w:rPr>
              <w:t>2</w:t>
            </w:r>
          </w:p>
        </w:tc>
        <w:tc>
          <w:tcPr>
            <w:tcW w:w="2480" w:type="pct"/>
            <w:vAlign w:val="center"/>
          </w:tcPr>
          <w:p w14:paraId="4ED1382A" w14:textId="77777777" w:rsidR="00765BC5" w:rsidRPr="00FA283F" w:rsidRDefault="00765BC5" w:rsidP="00765BC5">
            <w:pPr>
              <w:pStyle w:val="Bodycopy"/>
              <w:rPr>
                <w:b/>
                <w:bCs/>
                <w:sz w:val="22"/>
                <w:szCs w:val="22"/>
              </w:rPr>
            </w:pPr>
          </w:p>
          <w:p w14:paraId="2D71B6C5" w14:textId="77777777" w:rsidR="00765BC5" w:rsidRPr="00FA283F" w:rsidRDefault="00765BC5" w:rsidP="00765BC5">
            <w:pPr>
              <w:pStyle w:val="Bodycopy"/>
              <w:ind w:left="720"/>
              <w:rPr>
                <w:b/>
                <w:bCs/>
                <w:sz w:val="22"/>
                <w:szCs w:val="22"/>
              </w:rPr>
            </w:pPr>
          </w:p>
          <w:p w14:paraId="7E7D6427" w14:textId="77777777" w:rsidR="00765BC5" w:rsidRPr="00FA283F" w:rsidRDefault="00765BC5" w:rsidP="00765BC5">
            <w:pPr>
              <w:pStyle w:val="Bodycopy"/>
              <w:rPr>
                <w:b/>
                <w:bCs/>
                <w:sz w:val="22"/>
                <w:szCs w:val="22"/>
              </w:rPr>
            </w:pPr>
            <w:r w:rsidRPr="00FA283F">
              <w:rPr>
                <w:b/>
                <w:bCs/>
                <w:sz w:val="22"/>
                <w:szCs w:val="22"/>
              </w:rPr>
              <w:t xml:space="preserve">Wave 1 public/community survey fieldwork begins (May 2024) </w:t>
            </w:r>
          </w:p>
          <w:p w14:paraId="6C062F01" w14:textId="77777777" w:rsidR="00765BC5" w:rsidRPr="00FA283F" w:rsidRDefault="00765BC5" w:rsidP="00765BC5">
            <w:pPr>
              <w:pStyle w:val="Bodycopy"/>
              <w:rPr>
                <w:b/>
                <w:bCs/>
                <w:sz w:val="22"/>
                <w:szCs w:val="22"/>
              </w:rPr>
            </w:pPr>
          </w:p>
          <w:p w14:paraId="33C22C40" w14:textId="676C8908" w:rsidR="00671798" w:rsidRPr="00FA283F" w:rsidRDefault="00671798" w:rsidP="00765BC5">
            <w:pPr>
              <w:pStyle w:val="Bodycopy"/>
              <w:rPr>
                <w:sz w:val="22"/>
                <w:szCs w:val="22"/>
              </w:rPr>
            </w:pPr>
          </w:p>
        </w:tc>
        <w:tc>
          <w:tcPr>
            <w:tcW w:w="1622" w:type="pct"/>
            <w:vAlign w:val="center"/>
          </w:tcPr>
          <w:p w14:paraId="3B285FD4" w14:textId="226CA114" w:rsidR="00671798" w:rsidRPr="00FA283F" w:rsidRDefault="00765BC5">
            <w:pPr>
              <w:pStyle w:val="Heading3"/>
              <w:numPr>
                <w:ilvl w:val="0"/>
                <w:numId w:val="0"/>
              </w:numPr>
              <w:spacing w:after="120"/>
              <w:jc w:val="center"/>
              <w:rPr>
                <w:szCs w:val="22"/>
              </w:rPr>
            </w:pPr>
            <w:r w:rsidRPr="00FA283F">
              <w:rPr>
                <w:szCs w:val="22"/>
              </w:rPr>
              <w:t xml:space="preserve">May 2024 </w:t>
            </w:r>
          </w:p>
        </w:tc>
      </w:tr>
      <w:tr w:rsidR="00FE18AC" w:rsidRPr="001A45DF" w14:paraId="3FD394DC" w14:textId="77777777" w:rsidTr="00E245A6">
        <w:tc>
          <w:tcPr>
            <w:tcW w:w="898" w:type="pct"/>
            <w:vAlign w:val="center"/>
          </w:tcPr>
          <w:p w14:paraId="3995F849" w14:textId="00ED1C95" w:rsidR="00671798" w:rsidRPr="00FA283F" w:rsidRDefault="00765BC5">
            <w:pPr>
              <w:pStyle w:val="Heading3"/>
              <w:numPr>
                <w:ilvl w:val="0"/>
                <w:numId w:val="0"/>
              </w:numPr>
              <w:spacing w:after="120"/>
              <w:jc w:val="center"/>
              <w:rPr>
                <w:szCs w:val="22"/>
              </w:rPr>
            </w:pPr>
            <w:r w:rsidRPr="00FA283F">
              <w:rPr>
                <w:szCs w:val="22"/>
              </w:rPr>
              <w:t>3</w:t>
            </w:r>
          </w:p>
        </w:tc>
        <w:tc>
          <w:tcPr>
            <w:tcW w:w="2480" w:type="pct"/>
            <w:vAlign w:val="center"/>
          </w:tcPr>
          <w:p w14:paraId="70BD742F" w14:textId="77777777" w:rsidR="00765BC5" w:rsidRPr="00FA283F" w:rsidRDefault="00765BC5" w:rsidP="00765BC5">
            <w:pPr>
              <w:pStyle w:val="Bodycopy"/>
              <w:rPr>
                <w:b/>
                <w:bCs/>
                <w:sz w:val="22"/>
                <w:szCs w:val="22"/>
              </w:rPr>
            </w:pPr>
          </w:p>
          <w:p w14:paraId="789BD231" w14:textId="2C05ACA8" w:rsidR="00765BC5" w:rsidRPr="00FA283F" w:rsidRDefault="00765BC5" w:rsidP="00765BC5">
            <w:pPr>
              <w:pStyle w:val="Bodycopy"/>
              <w:rPr>
                <w:b/>
                <w:bCs/>
                <w:sz w:val="22"/>
                <w:szCs w:val="22"/>
              </w:rPr>
            </w:pPr>
            <w:r w:rsidRPr="00FA283F">
              <w:rPr>
                <w:b/>
                <w:bCs/>
                <w:sz w:val="22"/>
                <w:szCs w:val="22"/>
              </w:rPr>
              <w:t xml:space="preserve">Wave 1 Impact and process related qualitative fieldwork </w:t>
            </w:r>
            <w:proofErr w:type="gramStart"/>
            <w:r w:rsidRPr="00FA283F">
              <w:rPr>
                <w:b/>
                <w:bCs/>
                <w:sz w:val="22"/>
                <w:szCs w:val="22"/>
              </w:rPr>
              <w:t>begins</w:t>
            </w:r>
            <w:proofErr w:type="gramEnd"/>
            <w:r w:rsidRPr="00FA283F">
              <w:rPr>
                <w:b/>
                <w:bCs/>
                <w:sz w:val="22"/>
                <w:szCs w:val="22"/>
              </w:rPr>
              <w:t xml:space="preserve"> </w:t>
            </w:r>
          </w:p>
          <w:p w14:paraId="4962E129" w14:textId="67D9D8B6" w:rsidR="00671798" w:rsidRPr="00FA283F" w:rsidRDefault="00671798">
            <w:pPr>
              <w:pStyle w:val="Heading3"/>
              <w:numPr>
                <w:ilvl w:val="0"/>
                <w:numId w:val="0"/>
              </w:numPr>
              <w:spacing w:after="120"/>
              <w:jc w:val="left"/>
              <w:rPr>
                <w:szCs w:val="22"/>
              </w:rPr>
            </w:pPr>
          </w:p>
        </w:tc>
        <w:tc>
          <w:tcPr>
            <w:tcW w:w="1622" w:type="pct"/>
            <w:vAlign w:val="center"/>
          </w:tcPr>
          <w:p w14:paraId="7164B729" w14:textId="33059BC8" w:rsidR="00671798" w:rsidRPr="00FA283F" w:rsidRDefault="00765BC5">
            <w:pPr>
              <w:pStyle w:val="Heading3"/>
              <w:numPr>
                <w:ilvl w:val="0"/>
                <w:numId w:val="0"/>
              </w:numPr>
              <w:spacing w:after="120"/>
              <w:jc w:val="center"/>
              <w:rPr>
                <w:szCs w:val="22"/>
              </w:rPr>
            </w:pPr>
            <w:r w:rsidRPr="00FA283F">
              <w:rPr>
                <w:szCs w:val="22"/>
              </w:rPr>
              <w:t>To be agreed with successful Supplier</w:t>
            </w:r>
          </w:p>
        </w:tc>
      </w:tr>
      <w:tr w:rsidR="00765BC5" w:rsidRPr="001A45DF" w14:paraId="2ED359F9" w14:textId="77777777" w:rsidTr="00E245A6">
        <w:tc>
          <w:tcPr>
            <w:tcW w:w="898" w:type="pct"/>
            <w:vAlign w:val="center"/>
          </w:tcPr>
          <w:p w14:paraId="09C811DE" w14:textId="236E20BA" w:rsidR="00765BC5" w:rsidRPr="00FA283F" w:rsidRDefault="00765BC5">
            <w:pPr>
              <w:pStyle w:val="Heading3"/>
              <w:numPr>
                <w:ilvl w:val="0"/>
                <w:numId w:val="0"/>
              </w:numPr>
              <w:spacing w:after="120"/>
              <w:jc w:val="center"/>
              <w:rPr>
                <w:szCs w:val="22"/>
              </w:rPr>
            </w:pPr>
            <w:r w:rsidRPr="00FA283F">
              <w:rPr>
                <w:szCs w:val="22"/>
              </w:rPr>
              <w:t>4</w:t>
            </w:r>
          </w:p>
        </w:tc>
        <w:tc>
          <w:tcPr>
            <w:tcW w:w="2480" w:type="pct"/>
            <w:vAlign w:val="center"/>
          </w:tcPr>
          <w:p w14:paraId="25904DCE" w14:textId="77777777" w:rsidR="00765BC5" w:rsidRPr="00FA283F" w:rsidRDefault="00765BC5" w:rsidP="00765BC5">
            <w:pPr>
              <w:pStyle w:val="Bodycopy"/>
              <w:rPr>
                <w:b/>
                <w:bCs/>
                <w:sz w:val="22"/>
                <w:szCs w:val="22"/>
              </w:rPr>
            </w:pPr>
          </w:p>
          <w:p w14:paraId="029B9459" w14:textId="2596CF02" w:rsidR="00765BC5" w:rsidRPr="00FA283F" w:rsidRDefault="00765BC5" w:rsidP="00765BC5">
            <w:pPr>
              <w:pStyle w:val="Bodycopy"/>
              <w:rPr>
                <w:b/>
                <w:bCs/>
                <w:sz w:val="22"/>
                <w:szCs w:val="22"/>
              </w:rPr>
            </w:pPr>
            <w:r w:rsidRPr="00FA283F">
              <w:rPr>
                <w:b/>
                <w:bCs/>
                <w:sz w:val="22"/>
                <w:szCs w:val="22"/>
              </w:rPr>
              <w:t xml:space="preserve">Interim findings report / slide deck and associated debrief (December 2024) </w:t>
            </w:r>
          </w:p>
          <w:p w14:paraId="5B622892" w14:textId="77777777" w:rsidR="00765BC5" w:rsidRPr="00FA283F" w:rsidRDefault="00765BC5">
            <w:pPr>
              <w:pStyle w:val="Heading3"/>
              <w:numPr>
                <w:ilvl w:val="0"/>
                <w:numId w:val="0"/>
              </w:numPr>
              <w:spacing w:after="120"/>
              <w:jc w:val="left"/>
              <w:rPr>
                <w:szCs w:val="22"/>
              </w:rPr>
            </w:pPr>
          </w:p>
        </w:tc>
        <w:tc>
          <w:tcPr>
            <w:tcW w:w="1622" w:type="pct"/>
            <w:vAlign w:val="center"/>
          </w:tcPr>
          <w:p w14:paraId="5FBB4859" w14:textId="40097AC5" w:rsidR="00765BC5" w:rsidRPr="00FA283F" w:rsidRDefault="00013264">
            <w:pPr>
              <w:pStyle w:val="Heading3"/>
              <w:numPr>
                <w:ilvl w:val="0"/>
                <w:numId w:val="0"/>
              </w:numPr>
              <w:spacing w:after="120"/>
              <w:jc w:val="center"/>
              <w:rPr>
                <w:szCs w:val="22"/>
              </w:rPr>
            </w:pPr>
            <w:r w:rsidRPr="00FA283F">
              <w:rPr>
                <w:szCs w:val="22"/>
              </w:rPr>
              <w:t>October</w:t>
            </w:r>
            <w:r w:rsidR="00765BC5" w:rsidRPr="00FA283F">
              <w:rPr>
                <w:szCs w:val="22"/>
              </w:rPr>
              <w:t xml:space="preserve"> 2024</w:t>
            </w:r>
          </w:p>
        </w:tc>
      </w:tr>
      <w:tr w:rsidR="00765BC5" w:rsidRPr="001A45DF" w14:paraId="1B950A8B" w14:textId="77777777" w:rsidTr="00E245A6">
        <w:tc>
          <w:tcPr>
            <w:tcW w:w="898" w:type="pct"/>
            <w:vAlign w:val="center"/>
          </w:tcPr>
          <w:p w14:paraId="3DF00F59" w14:textId="52EA3392" w:rsidR="00765BC5" w:rsidRPr="00FA283F" w:rsidRDefault="00765BC5">
            <w:pPr>
              <w:pStyle w:val="Heading3"/>
              <w:numPr>
                <w:ilvl w:val="0"/>
                <w:numId w:val="0"/>
              </w:numPr>
              <w:spacing w:after="120"/>
              <w:jc w:val="center"/>
              <w:rPr>
                <w:szCs w:val="22"/>
              </w:rPr>
            </w:pPr>
            <w:r w:rsidRPr="00FA283F">
              <w:rPr>
                <w:szCs w:val="22"/>
              </w:rPr>
              <w:t>5</w:t>
            </w:r>
          </w:p>
        </w:tc>
        <w:tc>
          <w:tcPr>
            <w:tcW w:w="2480" w:type="pct"/>
            <w:vAlign w:val="center"/>
          </w:tcPr>
          <w:p w14:paraId="3AE325C1" w14:textId="77777777" w:rsidR="00765BC5" w:rsidRPr="00FA283F" w:rsidRDefault="00765BC5" w:rsidP="00765BC5">
            <w:pPr>
              <w:pStyle w:val="Bodycopy"/>
              <w:rPr>
                <w:b/>
                <w:bCs/>
                <w:sz w:val="22"/>
                <w:szCs w:val="22"/>
              </w:rPr>
            </w:pPr>
          </w:p>
          <w:p w14:paraId="53129792" w14:textId="0B4D9894" w:rsidR="00765BC5" w:rsidRPr="00FA283F" w:rsidRDefault="00765BC5" w:rsidP="00765BC5">
            <w:pPr>
              <w:pStyle w:val="Bodycopy"/>
              <w:rPr>
                <w:b/>
                <w:bCs/>
                <w:sz w:val="22"/>
                <w:szCs w:val="22"/>
              </w:rPr>
            </w:pPr>
            <w:r w:rsidRPr="00FA283F">
              <w:rPr>
                <w:b/>
                <w:bCs/>
                <w:sz w:val="22"/>
                <w:szCs w:val="22"/>
              </w:rPr>
              <w:t xml:space="preserve">Wave 2 public community survey fieldwork </w:t>
            </w:r>
            <w:proofErr w:type="gramStart"/>
            <w:r w:rsidRPr="00FA283F">
              <w:rPr>
                <w:b/>
                <w:bCs/>
                <w:sz w:val="22"/>
                <w:szCs w:val="22"/>
              </w:rPr>
              <w:t>begins</w:t>
            </w:r>
            <w:proofErr w:type="gramEnd"/>
            <w:r w:rsidRPr="00FA283F">
              <w:rPr>
                <w:b/>
                <w:bCs/>
                <w:sz w:val="22"/>
                <w:szCs w:val="22"/>
              </w:rPr>
              <w:t xml:space="preserve"> </w:t>
            </w:r>
          </w:p>
          <w:p w14:paraId="3D899562" w14:textId="77777777" w:rsidR="00765BC5" w:rsidRPr="00FA283F" w:rsidRDefault="00765BC5">
            <w:pPr>
              <w:pStyle w:val="Heading3"/>
              <w:numPr>
                <w:ilvl w:val="0"/>
                <w:numId w:val="0"/>
              </w:numPr>
              <w:spacing w:after="120"/>
              <w:jc w:val="left"/>
              <w:rPr>
                <w:szCs w:val="22"/>
              </w:rPr>
            </w:pPr>
          </w:p>
        </w:tc>
        <w:tc>
          <w:tcPr>
            <w:tcW w:w="1622" w:type="pct"/>
            <w:vAlign w:val="center"/>
          </w:tcPr>
          <w:p w14:paraId="6234B873" w14:textId="430F3211" w:rsidR="00765BC5" w:rsidRPr="00FA283F" w:rsidRDefault="00FA283F">
            <w:pPr>
              <w:pStyle w:val="Heading3"/>
              <w:numPr>
                <w:ilvl w:val="0"/>
                <w:numId w:val="0"/>
              </w:numPr>
              <w:spacing w:after="120"/>
              <w:jc w:val="center"/>
              <w:rPr>
                <w:szCs w:val="22"/>
              </w:rPr>
            </w:pPr>
            <w:r w:rsidRPr="00FA283F">
              <w:rPr>
                <w:szCs w:val="22"/>
              </w:rPr>
              <w:t>To be agreed with successful supplier</w:t>
            </w:r>
          </w:p>
        </w:tc>
      </w:tr>
      <w:tr w:rsidR="00765BC5" w:rsidRPr="001A45DF" w14:paraId="61C99B1F" w14:textId="77777777" w:rsidTr="00E245A6">
        <w:tc>
          <w:tcPr>
            <w:tcW w:w="898" w:type="pct"/>
            <w:vAlign w:val="center"/>
          </w:tcPr>
          <w:p w14:paraId="3FC22627" w14:textId="7DC94FA0" w:rsidR="00765BC5" w:rsidRPr="00FA283F" w:rsidRDefault="00765BC5">
            <w:pPr>
              <w:pStyle w:val="Heading3"/>
              <w:numPr>
                <w:ilvl w:val="0"/>
                <w:numId w:val="0"/>
              </w:numPr>
              <w:spacing w:after="120"/>
              <w:jc w:val="center"/>
              <w:rPr>
                <w:szCs w:val="22"/>
              </w:rPr>
            </w:pPr>
            <w:r w:rsidRPr="00FA283F">
              <w:rPr>
                <w:szCs w:val="22"/>
              </w:rPr>
              <w:t>6</w:t>
            </w:r>
          </w:p>
        </w:tc>
        <w:tc>
          <w:tcPr>
            <w:tcW w:w="2480" w:type="pct"/>
            <w:vAlign w:val="center"/>
          </w:tcPr>
          <w:p w14:paraId="0DA1FBB6" w14:textId="77777777" w:rsidR="00765BC5" w:rsidRPr="00FA283F" w:rsidRDefault="00765BC5" w:rsidP="00765BC5">
            <w:pPr>
              <w:pStyle w:val="Bodycopy"/>
              <w:rPr>
                <w:b/>
                <w:bCs/>
                <w:sz w:val="22"/>
                <w:szCs w:val="22"/>
              </w:rPr>
            </w:pPr>
          </w:p>
          <w:p w14:paraId="63EC7263" w14:textId="12BA3C24" w:rsidR="00765BC5" w:rsidRPr="00FA283F" w:rsidRDefault="00765BC5" w:rsidP="00765BC5">
            <w:pPr>
              <w:pStyle w:val="Bodycopy"/>
              <w:rPr>
                <w:b/>
                <w:bCs/>
                <w:sz w:val="22"/>
                <w:szCs w:val="22"/>
              </w:rPr>
            </w:pPr>
            <w:r w:rsidRPr="00FA283F">
              <w:rPr>
                <w:b/>
                <w:bCs/>
                <w:sz w:val="22"/>
                <w:szCs w:val="22"/>
              </w:rPr>
              <w:t xml:space="preserve">Wave 2 Impact and process related qualitative fieldwork </w:t>
            </w:r>
            <w:proofErr w:type="gramStart"/>
            <w:r w:rsidRPr="00FA283F">
              <w:rPr>
                <w:b/>
                <w:bCs/>
                <w:sz w:val="22"/>
                <w:szCs w:val="22"/>
              </w:rPr>
              <w:t>begins</w:t>
            </w:r>
            <w:proofErr w:type="gramEnd"/>
            <w:r w:rsidRPr="00FA283F">
              <w:rPr>
                <w:sz w:val="22"/>
                <w:szCs w:val="22"/>
              </w:rPr>
              <w:t xml:space="preserve"> </w:t>
            </w:r>
          </w:p>
          <w:p w14:paraId="163E6DBA" w14:textId="77777777" w:rsidR="00765BC5" w:rsidRPr="00FA283F" w:rsidRDefault="00765BC5">
            <w:pPr>
              <w:pStyle w:val="Heading3"/>
              <w:numPr>
                <w:ilvl w:val="0"/>
                <w:numId w:val="0"/>
              </w:numPr>
              <w:spacing w:after="120"/>
              <w:jc w:val="left"/>
              <w:rPr>
                <w:szCs w:val="22"/>
              </w:rPr>
            </w:pPr>
          </w:p>
        </w:tc>
        <w:tc>
          <w:tcPr>
            <w:tcW w:w="1622" w:type="pct"/>
            <w:vAlign w:val="center"/>
          </w:tcPr>
          <w:p w14:paraId="74043DF3" w14:textId="2A1214F1" w:rsidR="00765BC5" w:rsidRPr="00FA283F" w:rsidRDefault="00765BC5">
            <w:pPr>
              <w:pStyle w:val="Heading3"/>
              <w:numPr>
                <w:ilvl w:val="0"/>
                <w:numId w:val="0"/>
              </w:numPr>
              <w:spacing w:after="120"/>
              <w:jc w:val="center"/>
              <w:rPr>
                <w:szCs w:val="22"/>
              </w:rPr>
            </w:pPr>
            <w:r w:rsidRPr="00FA283F">
              <w:rPr>
                <w:szCs w:val="22"/>
              </w:rPr>
              <w:t>To be agreed with successful Supplier</w:t>
            </w:r>
          </w:p>
        </w:tc>
      </w:tr>
      <w:tr w:rsidR="00FE18AC" w:rsidRPr="001A45DF" w14:paraId="6A3230F6" w14:textId="77777777" w:rsidTr="00E245A6">
        <w:tc>
          <w:tcPr>
            <w:tcW w:w="898" w:type="pct"/>
            <w:vAlign w:val="center"/>
          </w:tcPr>
          <w:p w14:paraId="3302843B" w14:textId="45D5BA68" w:rsidR="00671798" w:rsidRPr="00FA283F" w:rsidRDefault="00765BC5">
            <w:pPr>
              <w:pStyle w:val="Heading3"/>
              <w:numPr>
                <w:ilvl w:val="0"/>
                <w:numId w:val="0"/>
              </w:numPr>
              <w:spacing w:after="120"/>
              <w:jc w:val="center"/>
              <w:rPr>
                <w:szCs w:val="22"/>
              </w:rPr>
            </w:pPr>
            <w:r w:rsidRPr="00FA283F">
              <w:rPr>
                <w:szCs w:val="22"/>
              </w:rPr>
              <w:lastRenderedPageBreak/>
              <w:t>7</w:t>
            </w:r>
          </w:p>
        </w:tc>
        <w:tc>
          <w:tcPr>
            <w:tcW w:w="2480" w:type="pct"/>
            <w:vAlign w:val="center"/>
          </w:tcPr>
          <w:p w14:paraId="797BF726" w14:textId="77777777" w:rsidR="00765BC5" w:rsidRPr="00FA283F" w:rsidRDefault="00765BC5" w:rsidP="00765BC5">
            <w:pPr>
              <w:pStyle w:val="Bodycopy"/>
              <w:rPr>
                <w:sz w:val="22"/>
                <w:szCs w:val="22"/>
              </w:rPr>
            </w:pPr>
          </w:p>
          <w:p w14:paraId="1972B7D5" w14:textId="77777777" w:rsidR="00765BC5" w:rsidRPr="00FA283F" w:rsidRDefault="00765BC5" w:rsidP="00765BC5">
            <w:pPr>
              <w:pStyle w:val="Bodycopy"/>
              <w:rPr>
                <w:b/>
                <w:bCs/>
                <w:sz w:val="22"/>
                <w:szCs w:val="22"/>
              </w:rPr>
            </w:pPr>
          </w:p>
          <w:p w14:paraId="529E6EB7" w14:textId="77777777" w:rsidR="00765BC5" w:rsidRPr="00FA283F" w:rsidRDefault="00765BC5" w:rsidP="00765BC5">
            <w:pPr>
              <w:pStyle w:val="Bodycopy"/>
              <w:rPr>
                <w:b/>
                <w:bCs/>
                <w:sz w:val="22"/>
                <w:szCs w:val="22"/>
              </w:rPr>
            </w:pPr>
          </w:p>
          <w:p w14:paraId="1E602FBD" w14:textId="610331E8" w:rsidR="00765BC5" w:rsidRPr="00FA283F" w:rsidRDefault="00765BC5" w:rsidP="00765BC5">
            <w:pPr>
              <w:pStyle w:val="Bodycopy"/>
              <w:rPr>
                <w:b/>
                <w:bCs/>
                <w:sz w:val="22"/>
                <w:szCs w:val="22"/>
              </w:rPr>
            </w:pPr>
            <w:r w:rsidRPr="00FA283F">
              <w:rPr>
                <w:b/>
                <w:bCs/>
                <w:sz w:val="22"/>
                <w:szCs w:val="22"/>
              </w:rPr>
              <w:t xml:space="preserve">Final report / slide deck and associated </w:t>
            </w:r>
            <w:proofErr w:type="gramStart"/>
            <w:r w:rsidRPr="00FA283F">
              <w:rPr>
                <w:b/>
                <w:bCs/>
                <w:sz w:val="22"/>
                <w:szCs w:val="22"/>
              </w:rPr>
              <w:t>debrief</w:t>
            </w:r>
            <w:proofErr w:type="gramEnd"/>
            <w:r w:rsidRPr="00FA283F">
              <w:rPr>
                <w:b/>
                <w:bCs/>
                <w:sz w:val="22"/>
                <w:szCs w:val="22"/>
              </w:rPr>
              <w:t xml:space="preserve"> </w:t>
            </w:r>
          </w:p>
          <w:p w14:paraId="029789C7" w14:textId="6B142905" w:rsidR="00671798" w:rsidRPr="00FA283F" w:rsidRDefault="00671798">
            <w:pPr>
              <w:pStyle w:val="Heading3"/>
              <w:numPr>
                <w:ilvl w:val="0"/>
                <w:numId w:val="0"/>
              </w:numPr>
              <w:spacing w:after="120"/>
              <w:jc w:val="left"/>
              <w:rPr>
                <w:szCs w:val="22"/>
              </w:rPr>
            </w:pPr>
          </w:p>
        </w:tc>
        <w:tc>
          <w:tcPr>
            <w:tcW w:w="1622" w:type="pct"/>
            <w:vAlign w:val="center"/>
          </w:tcPr>
          <w:p w14:paraId="6484B822" w14:textId="77777777" w:rsidR="00671798" w:rsidRPr="00FA283F" w:rsidRDefault="00671798">
            <w:pPr>
              <w:pStyle w:val="Heading3"/>
              <w:numPr>
                <w:ilvl w:val="0"/>
                <w:numId w:val="0"/>
              </w:numPr>
              <w:spacing w:after="120"/>
              <w:jc w:val="center"/>
              <w:rPr>
                <w:szCs w:val="22"/>
              </w:rPr>
            </w:pPr>
          </w:p>
          <w:p w14:paraId="0A8D4F91" w14:textId="7F3F29E5" w:rsidR="00765BC5" w:rsidRPr="00FA283F" w:rsidRDefault="00FB29B7">
            <w:pPr>
              <w:pStyle w:val="Heading3"/>
              <w:numPr>
                <w:ilvl w:val="0"/>
                <w:numId w:val="0"/>
              </w:numPr>
              <w:spacing w:after="120"/>
              <w:jc w:val="center"/>
              <w:rPr>
                <w:szCs w:val="22"/>
              </w:rPr>
            </w:pPr>
            <w:r w:rsidRPr="00FA283F">
              <w:rPr>
                <w:szCs w:val="22"/>
              </w:rPr>
              <w:t xml:space="preserve">March </w:t>
            </w:r>
            <w:r w:rsidR="00765BC5" w:rsidRPr="00FA283F">
              <w:rPr>
                <w:szCs w:val="22"/>
              </w:rPr>
              <w:t>2025</w:t>
            </w:r>
          </w:p>
        </w:tc>
      </w:tr>
    </w:tbl>
    <w:p w14:paraId="269F0BE7" w14:textId="77777777" w:rsidR="005209A0" w:rsidRDefault="005209A0" w:rsidP="005209A0">
      <w:pPr>
        <w:pStyle w:val="Normal1"/>
      </w:pPr>
      <w:bookmarkStart w:id="18" w:name="_Toc368573033"/>
      <w:bookmarkStart w:id="19" w:name="_Toc302637211"/>
    </w:p>
    <w:p w14:paraId="094E3ACF" w14:textId="45A2183F" w:rsidR="00ED6352" w:rsidRDefault="00ED6352" w:rsidP="00ED6352">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20" w:name="_Toc159329815"/>
      <w:r>
        <w:rPr>
          <w:rFonts w:cs="Arial"/>
          <w:sz w:val="32"/>
          <w:szCs w:val="32"/>
        </w:rPr>
        <w:t>Project Management</w:t>
      </w:r>
      <w:bookmarkEnd w:id="20"/>
    </w:p>
    <w:p w14:paraId="16DD9A2A" w14:textId="4587B7AD" w:rsidR="00ED6352" w:rsidRDefault="00ED6352" w:rsidP="00ED6352">
      <w:pPr>
        <w:pStyle w:val="Mainbodytext-tight"/>
      </w:pPr>
      <w:r>
        <w:t>This evaluation will be complex to deliver, sizeable and high profile given political and ministerial interest. The evaluation will require effective management (including management of risks</w:t>
      </w:r>
      <w:r w:rsidR="002C3E25">
        <w:t>)</w:t>
      </w:r>
      <w:r>
        <w:t xml:space="preserve"> and delivery of quality outputs from the supplier. </w:t>
      </w:r>
    </w:p>
    <w:p w14:paraId="0EFF8F72" w14:textId="77777777" w:rsidR="00E63306" w:rsidRDefault="00E63306" w:rsidP="00ED6352">
      <w:pPr>
        <w:pStyle w:val="Mainbodytext-tight"/>
      </w:pPr>
    </w:p>
    <w:p w14:paraId="57625C20" w14:textId="77777777" w:rsidR="00ED6352" w:rsidRDefault="00ED6352" w:rsidP="00ED6352">
      <w:pPr>
        <w:pStyle w:val="Mainbodytext-tight"/>
      </w:pPr>
      <w:r>
        <w:t xml:space="preserve">The Supplier will be required to allocate resources appropriately to ensure cost-effective delivery on schedule. This should include allocating resources across </w:t>
      </w:r>
      <w:proofErr w:type="gramStart"/>
      <w:r>
        <w:t>a number of</w:t>
      </w:r>
      <w:proofErr w:type="gramEnd"/>
      <w:r>
        <w:t xml:space="preserve"> individuals from different pay scales in order that sufficient resources are available to cover staff changes/holiday/sickness.  </w:t>
      </w:r>
    </w:p>
    <w:p w14:paraId="0FABD343" w14:textId="77777777" w:rsidR="00E63306" w:rsidRDefault="00E63306" w:rsidP="00ED6352">
      <w:pPr>
        <w:pStyle w:val="Mainbodytext-tight"/>
      </w:pPr>
    </w:p>
    <w:p w14:paraId="203EC2B6" w14:textId="74260471" w:rsidR="00671798" w:rsidRDefault="009E3739">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21" w:name="_Toc159329816"/>
      <w:r w:rsidRPr="001A45DF">
        <w:rPr>
          <w:rFonts w:cs="Arial"/>
          <w:sz w:val="32"/>
          <w:szCs w:val="32"/>
        </w:rPr>
        <w:t>MANAGEMENT INFORMATION/</w:t>
      </w:r>
      <w:r w:rsidR="00FE18AC" w:rsidRPr="001A45DF">
        <w:rPr>
          <w:rFonts w:cs="Arial"/>
          <w:sz w:val="32"/>
          <w:szCs w:val="32"/>
        </w:rPr>
        <w:t>reporting</w:t>
      </w:r>
      <w:bookmarkEnd w:id="18"/>
      <w:bookmarkEnd w:id="21"/>
    </w:p>
    <w:p w14:paraId="01C6E31A" w14:textId="77777777" w:rsidR="00ED6352" w:rsidRDefault="00ED6352" w:rsidP="00ED6352">
      <w:pPr>
        <w:pStyle w:val="Mainbodytext-tight"/>
      </w:pPr>
      <w:r>
        <w:t xml:space="preserve">There will be a number of Home Office analytical leads who will act as a </w:t>
      </w:r>
      <w:bookmarkStart w:id="22" w:name="_Int_Vn828QNa"/>
      <w:proofErr w:type="gramStart"/>
      <w:r>
        <w:t>formal points of contact</w:t>
      </w:r>
      <w:bookmarkEnd w:id="22"/>
      <w:proofErr w:type="gramEnd"/>
      <w:r>
        <w:t xml:space="preserve"> between the Home Office and Supplier to agree the evaluation design and manage delivery. The expectation is for the Supplier to work closely with the HO analytical leads throughout the contract. </w:t>
      </w:r>
    </w:p>
    <w:p w14:paraId="7D980D24" w14:textId="77777777" w:rsidR="00ED6352" w:rsidRPr="002C3E25" w:rsidRDefault="00ED6352" w:rsidP="00ED6352">
      <w:pPr>
        <w:pStyle w:val="Mainbodytext-tight"/>
      </w:pPr>
    </w:p>
    <w:p w14:paraId="290727AD" w14:textId="77777777" w:rsidR="002C3E25" w:rsidRPr="002C3E25" w:rsidRDefault="00ED6352" w:rsidP="00ED6352">
      <w:pPr>
        <w:pStyle w:val="Mainbodytext-tight"/>
      </w:pPr>
      <w:r w:rsidRPr="002C3E25">
        <w:t xml:space="preserve">HO analytical leads will ensure that the Supplier has the required information/data to fulfil key deliverables related to the evaluation. This includes </w:t>
      </w:r>
      <w:r w:rsidR="002C3E25" w:rsidRPr="002C3E25">
        <w:t xml:space="preserve">securely transferring monitoring and impact data related to the programme to the supplier. </w:t>
      </w:r>
    </w:p>
    <w:p w14:paraId="4BBCFBA7" w14:textId="77777777" w:rsidR="002C3E25" w:rsidRPr="002C3E25" w:rsidRDefault="002C3E25" w:rsidP="00ED6352">
      <w:pPr>
        <w:pStyle w:val="Mainbodytext-tight"/>
      </w:pPr>
    </w:p>
    <w:p w14:paraId="4BCB5DF3" w14:textId="1406F0EA" w:rsidR="00ED6352" w:rsidRPr="002C3E25" w:rsidRDefault="00ED6352" w:rsidP="002C3E25">
      <w:pPr>
        <w:pStyle w:val="Mainbodytext-tight"/>
      </w:pPr>
      <w:r w:rsidRPr="002C3E25">
        <w:t xml:space="preserve">The Supplier will be required to allocate resources appropriately to ensure cost-effective delivery on schedule. This should include allocating resources across </w:t>
      </w:r>
      <w:proofErr w:type="gramStart"/>
      <w:r w:rsidRPr="002C3E25">
        <w:t>a number of</w:t>
      </w:r>
      <w:proofErr w:type="gramEnd"/>
      <w:r w:rsidRPr="002C3E25">
        <w:t xml:space="preserve"> individuals from different pay scales in order that sufficient resources are available to cover staff changes/holiday/sickness.</w:t>
      </w:r>
    </w:p>
    <w:p w14:paraId="6954EB31" w14:textId="79CF9AC0" w:rsidR="002C3E25" w:rsidRPr="002C3E25" w:rsidRDefault="002C3E25" w:rsidP="002C3E25">
      <w:pPr>
        <w:pStyle w:val="Mainbodytext-tight"/>
      </w:pPr>
    </w:p>
    <w:p w14:paraId="49935D4B" w14:textId="4099C2C6" w:rsidR="002C3E25" w:rsidRPr="002C3E25" w:rsidRDefault="002C3E25" w:rsidP="002C3E25">
      <w:pPr>
        <w:pStyle w:val="BodyText2"/>
        <w:spacing w:after="0"/>
        <w:rPr>
          <w:rFonts w:cs="Arial"/>
          <w:szCs w:val="22"/>
        </w:rPr>
      </w:pPr>
      <w:r w:rsidRPr="002C3E25">
        <w:rPr>
          <w:rFonts w:cs="Arial"/>
          <w:szCs w:val="22"/>
        </w:rPr>
        <w:t xml:space="preserve">All requests, information, questions should be sent to </w:t>
      </w:r>
      <w:r>
        <w:rPr>
          <w:rFonts w:cs="Arial"/>
          <w:szCs w:val="22"/>
        </w:rPr>
        <w:t xml:space="preserve">analytical leads </w:t>
      </w:r>
      <w:r w:rsidRPr="002C3E25">
        <w:rPr>
          <w:rFonts w:cs="Arial"/>
          <w:szCs w:val="22"/>
        </w:rPr>
        <w:t>who will provide a reasonable level of assistance to obtain data, key reports, and approve outputs</w:t>
      </w:r>
      <w:r>
        <w:rPr>
          <w:rFonts w:cs="Arial"/>
          <w:szCs w:val="22"/>
        </w:rPr>
        <w:t xml:space="preserve">. </w:t>
      </w:r>
      <w:r w:rsidRPr="002C3E25">
        <w:rPr>
          <w:rFonts w:cs="Arial"/>
          <w:szCs w:val="22"/>
        </w:rPr>
        <w:t xml:space="preserve">This may involve </w:t>
      </w:r>
      <w:r>
        <w:rPr>
          <w:rFonts w:cs="Arial"/>
          <w:szCs w:val="22"/>
        </w:rPr>
        <w:t xml:space="preserve">analytical leads </w:t>
      </w:r>
      <w:r w:rsidRPr="002C3E25">
        <w:rPr>
          <w:rFonts w:cs="Arial"/>
          <w:szCs w:val="22"/>
        </w:rPr>
        <w:t xml:space="preserve">co-ordinating responses from other colleagues as appropriate. The </w:t>
      </w:r>
      <w:r>
        <w:rPr>
          <w:rFonts w:cs="Arial"/>
          <w:szCs w:val="22"/>
        </w:rPr>
        <w:t xml:space="preserve">leads </w:t>
      </w:r>
      <w:r w:rsidRPr="002C3E25">
        <w:rPr>
          <w:rFonts w:cs="Arial"/>
          <w:szCs w:val="22"/>
        </w:rPr>
        <w:t>will do their best to get a response as quickly as possible.</w:t>
      </w:r>
    </w:p>
    <w:p w14:paraId="356EE568" w14:textId="77777777" w:rsidR="002C3E25" w:rsidRPr="002C3E25" w:rsidRDefault="002C3E25" w:rsidP="002C3E25">
      <w:pPr>
        <w:autoSpaceDE w:val="0"/>
        <w:autoSpaceDN w:val="0"/>
        <w:adjustRightInd w:val="0"/>
        <w:rPr>
          <w:rFonts w:cs="Arial"/>
          <w:color w:val="000000"/>
          <w:szCs w:val="22"/>
          <w:highlight w:val="yellow"/>
        </w:rPr>
      </w:pPr>
    </w:p>
    <w:p w14:paraId="7A63947B" w14:textId="3A21ECB6" w:rsidR="002C3E25" w:rsidRPr="002C3E25" w:rsidRDefault="002C3E25" w:rsidP="002C3E25">
      <w:pPr>
        <w:autoSpaceDE w:val="0"/>
        <w:autoSpaceDN w:val="0"/>
        <w:adjustRightInd w:val="0"/>
        <w:rPr>
          <w:rFonts w:cs="Arial"/>
          <w:color w:val="000000"/>
          <w:szCs w:val="22"/>
        </w:rPr>
      </w:pPr>
      <w:r w:rsidRPr="002C3E25">
        <w:rPr>
          <w:rFonts w:cs="Arial"/>
          <w:color w:val="000000"/>
          <w:szCs w:val="22"/>
        </w:rPr>
        <w:t>Please refer to section 6 for key milestones and deliverables</w:t>
      </w:r>
      <w:r w:rsidRPr="002C3E25">
        <w:rPr>
          <w:rFonts w:cs="Arial"/>
          <w:szCs w:val="22"/>
        </w:rPr>
        <w:t xml:space="preserve">. </w:t>
      </w:r>
      <w:r w:rsidRPr="002C3E25">
        <w:rPr>
          <w:rFonts w:cs="Arial"/>
          <w:color w:val="000000"/>
          <w:szCs w:val="22"/>
        </w:rPr>
        <w:t xml:space="preserve">In addition to these key milestones, project management procedures will be in place to ensure the quality and timeliness of the project (key performance indicators are outlined in Section </w:t>
      </w:r>
      <w:r>
        <w:rPr>
          <w:rFonts w:cs="Arial"/>
          <w:color w:val="000000"/>
          <w:szCs w:val="22"/>
        </w:rPr>
        <w:t>X</w:t>
      </w:r>
      <w:r w:rsidRPr="002C3E25">
        <w:rPr>
          <w:rFonts w:cs="Arial"/>
          <w:color w:val="000000"/>
          <w:szCs w:val="22"/>
        </w:rPr>
        <w:t xml:space="preserve">). </w:t>
      </w:r>
    </w:p>
    <w:p w14:paraId="59441A62" w14:textId="77777777" w:rsidR="002C3E25" w:rsidRPr="002C3E25" w:rsidRDefault="002C3E25" w:rsidP="002C3E25">
      <w:pPr>
        <w:autoSpaceDE w:val="0"/>
        <w:autoSpaceDN w:val="0"/>
        <w:adjustRightInd w:val="0"/>
        <w:rPr>
          <w:rFonts w:cs="Arial"/>
          <w:color w:val="000000"/>
          <w:szCs w:val="22"/>
          <w:highlight w:val="yellow"/>
        </w:rPr>
      </w:pPr>
    </w:p>
    <w:p w14:paraId="24B50A6E" w14:textId="31DB69DB" w:rsidR="002C3E25" w:rsidRPr="002C3E25" w:rsidRDefault="002C3E25" w:rsidP="002C3E25">
      <w:pPr>
        <w:pStyle w:val="BodyText2"/>
        <w:spacing w:after="0"/>
        <w:rPr>
          <w:b/>
          <w:bCs/>
          <w:color w:val="000000"/>
          <w:szCs w:val="22"/>
        </w:rPr>
      </w:pPr>
      <w:bookmarkStart w:id="23" w:name="_Toc71893017"/>
      <w:r w:rsidRPr="002C3E25">
        <w:rPr>
          <w:rFonts w:cs="Arial"/>
          <w:color w:val="000000"/>
          <w:szCs w:val="22"/>
        </w:rPr>
        <w:t xml:space="preserve">Progress must be fed back to HO </w:t>
      </w:r>
      <w:r>
        <w:rPr>
          <w:rFonts w:cs="Arial"/>
          <w:color w:val="000000"/>
          <w:szCs w:val="22"/>
        </w:rPr>
        <w:t xml:space="preserve">via regular meetings </w:t>
      </w:r>
      <w:r w:rsidRPr="002C3E25">
        <w:rPr>
          <w:rFonts w:cs="Arial"/>
          <w:color w:val="000000"/>
          <w:szCs w:val="22"/>
        </w:rPr>
        <w:t xml:space="preserve">(as specified in section 5), detailing progress and alerting to any risks or issues to delivery. </w:t>
      </w:r>
      <w:bookmarkEnd w:id="23"/>
    </w:p>
    <w:p w14:paraId="505DD5DB" w14:textId="77777777" w:rsidR="002C3E25" w:rsidRPr="002C3E25" w:rsidRDefault="002C3E25" w:rsidP="002C3E25">
      <w:pPr>
        <w:autoSpaceDE w:val="0"/>
        <w:autoSpaceDN w:val="0"/>
        <w:adjustRightInd w:val="0"/>
        <w:rPr>
          <w:rFonts w:cs="Arial"/>
          <w:szCs w:val="22"/>
        </w:rPr>
      </w:pPr>
    </w:p>
    <w:p w14:paraId="3AE21FBB" w14:textId="1171608B" w:rsidR="002C3E25" w:rsidRPr="002C3E25" w:rsidRDefault="002C3E25" w:rsidP="002C3E25">
      <w:pPr>
        <w:pStyle w:val="Bodycopy"/>
        <w:rPr>
          <w:sz w:val="22"/>
          <w:szCs w:val="22"/>
        </w:rPr>
      </w:pPr>
      <w:r w:rsidRPr="002C3E25">
        <w:rPr>
          <w:sz w:val="22"/>
          <w:szCs w:val="22"/>
        </w:rPr>
        <w:lastRenderedPageBreak/>
        <w:t>The Successful Supplier must identify a central contact point (</w:t>
      </w:r>
      <w:proofErr w:type="gramStart"/>
      <w:r w:rsidRPr="002C3E25">
        <w:rPr>
          <w:sz w:val="22"/>
          <w:szCs w:val="22"/>
        </w:rPr>
        <w:t>i.e.</w:t>
      </w:r>
      <w:proofErr w:type="gramEnd"/>
      <w:r w:rsidRPr="002C3E25">
        <w:rPr>
          <w:sz w:val="22"/>
          <w:szCs w:val="22"/>
        </w:rPr>
        <w:t xml:space="preserve"> a project manager) to deal with all communication with the </w:t>
      </w:r>
      <w:r>
        <w:rPr>
          <w:sz w:val="22"/>
          <w:szCs w:val="22"/>
        </w:rPr>
        <w:t>HO</w:t>
      </w:r>
      <w:r w:rsidRPr="002C3E25">
        <w:rPr>
          <w:sz w:val="22"/>
          <w:szCs w:val="22"/>
        </w:rPr>
        <w:t>. Where a Supplier may employ sub-contractors (see Section 1</w:t>
      </w:r>
      <w:r w:rsidR="0001614A">
        <w:rPr>
          <w:sz w:val="22"/>
          <w:szCs w:val="22"/>
        </w:rPr>
        <w:t>3</w:t>
      </w:r>
      <w:r w:rsidRPr="002C3E25">
        <w:rPr>
          <w:sz w:val="22"/>
          <w:szCs w:val="22"/>
        </w:rPr>
        <w:t>), the Supplier must be responsible for managing and employing that sub-contractor. Suppliers must make explicit in their tender how the appointed project manager will manage all aspects of the project delivery (including communication, management of any sub-contractors, quality assurance and data security).</w:t>
      </w:r>
    </w:p>
    <w:p w14:paraId="2C70C3CB" w14:textId="77777777" w:rsidR="002C3E25" w:rsidRPr="002C3E25" w:rsidRDefault="002C3E25" w:rsidP="002C3E25">
      <w:pPr>
        <w:pStyle w:val="Mainbodytext-tight"/>
      </w:pPr>
    </w:p>
    <w:p w14:paraId="0C1E78CC" w14:textId="612053CD" w:rsidR="00FE18AC" w:rsidRPr="001A45DF" w:rsidRDefault="00E63306"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24" w:name="_Toc368573035"/>
      <w:bookmarkStart w:id="25" w:name="_Toc159329817"/>
      <w:r>
        <w:rPr>
          <w:rFonts w:cs="Arial"/>
          <w:sz w:val="32"/>
          <w:szCs w:val="32"/>
        </w:rPr>
        <w:t>C</w:t>
      </w:r>
      <w:r w:rsidR="00FE18AC" w:rsidRPr="001A45DF">
        <w:rPr>
          <w:rFonts w:cs="Arial"/>
          <w:sz w:val="32"/>
          <w:szCs w:val="32"/>
        </w:rPr>
        <w:t xml:space="preserve">ontinuous </w:t>
      </w:r>
      <w:r>
        <w:rPr>
          <w:rFonts w:cs="Arial"/>
          <w:sz w:val="32"/>
          <w:szCs w:val="32"/>
        </w:rPr>
        <w:t>I</w:t>
      </w:r>
      <w:r w:rsidR="00FE18AC" w:rsidRPr="001A45DF">
        <w:rPr>
          <w:rFonts w:cs="Arial"/>
          <w:sz w:val="32"/>
          <w:szCs w:val="32"/>
        </w:rPr>
        <w:t>mprovement</w:t>
      </w:r>
      <w:bookmarkEnd w:id="24"/>
      <w:bookmarkEnd w:id="25"/>
    </w:p>
    <w:p w14:paraId="367A11BA" w14:textId="63A2280F" w:rsidR="0001614A" w:rsidRDefault="00FE18AC" w:rsidP="00E63306">
      <w:pPr>
        <w:pStyle w:val="Normal1"/>
      </w:pPr>
      <w:r w:rsidRPr="001A45DF">
        <w:t xml:space="preserve">The </w:t>
      </w:r>
      <w:r w:rsidR="003047E0" w:rsidRPr="001A45DF">
        <w:t>Supplier</w:t>
      </w:r>
      <w:r w:rsidRPr="001A45DF">
        <w:t xml:space="preserve"> will be expected to continually improve the way in which the required Services are to be delivered throughout the </w:t>
      </w:r>
      <w:r w:rsidR="0052086C" w:rsidRPr="001A45DF">
        <w:t xml:space="preserve">Contract </w:t>
      </w:r>
      <w:r w:rsidRPr="001A45DF">
        <w:t>duration.</w:t>
      </w:r>
    </w:p>
    <w:p w14:paraId="232ECE63" w14:textId="7D4BE521" w:rsidR="0001614A" w:rsidRDefault="00FE18AC" w:rsidP="00E63306">
      <w:pPr>
        <w:pStyle w:val="Normal1"/>
      </w:pPr>
      <w:r w:rsidRPr="001A45DF">
        <w:t xml:space="preserve">The </w:t>
      </w:r>
      <w:r w:rsidR="003047E0" w:rsidRPr="001A45DF">
        <w:t>Supplier</w:t>
      </w:r>
      <w:r w:rsidRPr="001A45DF">
        <w:t xml:space="preserve"> should present new ways of working to the Authority during </w:t>
      </w:r>
      <w:r w:rsidRPr="0001614A">
        <w:t>quarterly</w:t>
      </w:r>
      <w:r w:rsidRPr="001A45DF">
        <w:t xml:space="preserve"> Contract review meetings.</w:t>
      </w:r>
      <w:r w:rsidR="004D22DF" w:rsidRPr="001A45DF">
        <w:t xml:space="preserve"> </w:t>
      </w:r>
    </w:p>
    <w:p w14:paraId="031D2B5A" w14:textId="55B06B81" w:rsidR="00671798" w:rsidRDefault="00FE18AC" w:rsidP="00E63306">
      <w:pPr>
        <w:pStyle w:val="Normal1"/>
      </w:pPr>
      <w:r w:rsidRPr="001A45DF">
        <w:t>Changes to the way in which the Services are to be delivered must be brought to the Authority’s attention and agreed prior to any changes being implemented.</w:t>
      </w:r>
    </w:p>
    <w:p w14:paraId="2E637186" w14:textId="2305C73A" w:rsidR="004E78BC" w:rsidRPr="00C2569F" w:rsidRDefault="004E78BC" w:rsidP="00AA5E7B">
      <w:pPr>
        <w:pStyle w:val="Heading1"/>
        <w:rPr>
          <w:sz w:val="32"/>
          <w:szCs w:val="32"/>
        </w:rPr>
      </w:pPr>
      <w:bookmarkStart w:id="26" w:name="_Toc159329818"/>
      <w:r w:rsidRPr="00C2569F">
        <w:rPr>
          <w:sz w:val="32"/>
          <w:szCs w:val="32"/>
        </w:rPr>
        <w:t>Sustainability</w:t>
      </w:r>
      <w:bookmarkEnd w:id="26"/>
    </w:p>
    <w:p w14:paraId="2369D7B9" w14:textId="513799A7" w:rsidR="0041085A" w:rsidRPr="00C2569F" w:rsidRDefault="00B42FC5" w:rsidP="00E63306">
      <w:pPr>
        <w:pStyle w:val="Normal1"/>
        <w:rPr>
          <w:rStyle w:val="normaltextrun"/>
          <w:sz w:val="24"/>
          <w:szCs w:val="24"/>
        </w:rPr>
      </w:pPr>
      <w:r w:rsidRPr="00C2569F">
        <w:t xml:space="preserve">The </w:t>
      </w:r>
      <w:r w:rsidRPr="00C2569F">
        <w:rPr>
          <w:rStyle w:val="normaltextrun"/>
          <w:rFonts w:cs="Arial"/>
          <w:color w:val="000000"/>
          <w:sz w:val="24"/>
          <w:szCs w:val="24"/>
          <w:shd w:val="clear" w:color="auto" w:fill="FFFFFF"/>
        </w:rPr>
        <w:t xml:space="preserve">Public Services (Social Value) Act 2012 places a legal requirement on all public bodies to consider the additional social, </w:t>
      </w:r>
      <w:proofErr w:type="gramStart"/>
      <w:r w:rsidRPr="00C2569F">
        <w:rPr>
          <w:rStyle w:val="normaltextrun"/>
          <w:rFonts w:cs="Arial"/>
          <w:color w:val="000000"/>
          <w:sz w:val="24"/>
          <w:szCs w:val="24"/>
          <w:shd w:val="clear" w:color="auto" w:fill="FFFFFF"/>
        </w:rPr>
        <w:t>economic</w:t>
      </w:r>
      <w:proofErr w:type="gramEnd"/>
      <w:r w:rsidRPr="00C2569F">
        <w:rPr>
          <w:rStyle w:val="normaltextrun"/>
          <w:rFonts w:cs="Arial"/>
          <w:color w:val="000000"/>
          <w:sz w:val="24"/>
          <w:szCs w:val="24"/>
          <w:shd w:val="clear" w:color="auto" w:fill="FFFFFF"/>
        </w:rPr>
        <w:t xml:space="preserve"> and environmental benefits that can be realised for individuals and communities through commissioning and procurement activity, and, in Scotland, to deliver them. These benefits are over and above the core deliverables of Contracts. This Contract provides a means of embedding social value through enabling improvements such as community engagement, economic </w:t>
      </w:r>
      <w:proofErr w:type="gramStart"/>
      <w:r w:rsidRPr="00C2569F">
        <w:rPr>
          <w:rStyle w:val="normaltextrun"/>
          <w:rFonts w:cs="Arial"/>
          <w:color w:val="000000"/>
          <w:sz w:val="24"/>
          <w:szCs w:val="24"/>
          <w:shd w:val="clear" w:color="auto" w:fill="FFFFFF"/>
        </w:rPr>
        <w:t>value</w:t>
      </w:r>
      <w:proofErr w:type="gramEnd"/>
      <w:r w:rsidRPr="00C2569F">
        <w:rPr>
          <w:rStyle w:val="normaltextrun"/>
          <w:rFonts w:cs="Arial"/>
          <w:color w:val="000000"/>
          <w:sz w:val="24"/>
          <w:szCs w:val="24"/>
          <w:shd w:val="clear" w:color="auto" w:fill="FFFFFF"/>
        </w:rPr>
        <w:t xml:space="preserve"> and sustainable development.</w:t>
      </w:r>
    </w:p>
    <w:p w14:paraId="5D0E7F9F" w14:textId="0198082F" w:rsidR="00B42FC5" w:rsidRPr="00C2569F" w:rsidRDefault="00B42FC5" w:rsidP="00E63306">
      <w:pPr>
        <w:pStyle w:val="Normal1"/>
        <w:rPr>
          <w:rStyle w:val="normaltextrun"/>
          <w:sz w:val="24"/>
          <w:szCs w:val="24"/>
        </w:rPr>
      </w:pPr>
      <w:r w:rsidRPr="00C2569F">
        <w:rPr>
          <w:rStyle w:val="normaltextrun"/>
          <w:rFonts w:cs="Arial"/>
          <w:color w:val="000000"/>
          <w:sz w:val="24"/>
          <w:szCs w:val="24"/>
          <w:shd w:val="clear" w:color="auto" w:fill="FFFFFF"/>
        </w:rPr>
        <w:t>The</w:t>
      </w:r>
      <w:r w:rsidR="00A75016" w:rsidRPr="00C2569F">
        <w:rPr>
          <w:rStyle w:val="normaltextrun"/>
          <w:rFonts w:cs="Arial"/>
          <w:color w:val="000000"/>
          <w:sz w:val="24"/>
          <w:szCs w:val="24"/>
          <w:shd w:val="clear" w:color="auto" w:fill="FFFFFF"/>
        </w:rPr>
        <w:t xml:space="preserve"> Home Office practises social value procurement to help communities. Suppliers must provide evidence of their commitment to social value and demonstrate an ability and willingness to work with the Home Office to identify and help further their social value requirements. To satisfy this requirement, Suppliers must agree to provide or deliver reasonable and proportionate social value benefits within the Contract. Suppliers should consider the following policy themes, as a minimum:</w:t>
      </w:r>
    </w:p>
    <w:p w14:paraId="407EA55A" w14:textId="41F0DC75" w:rsidR="004B61E8" w:rsidRPr="00E63306" w:rsidRDefault="00EE5864" w:rsidP="00E63306">
      <w:pPr>
        <w:pStyle w:val="Normal1"/>
        <w:numPr>
          <w:ilvl w:val="0"/>
          <w:numId w:val="48"/>
        </w:numPr>
        <w:rPr>
          <w:rStyle w:val="eop"/>
          <w:sz w:val="24"/>
          <w:szCs w:val="24"/>
        </w:rPr>
      </w:pPr>
      <w:r w:rsidRPr="00E63306">
        <w:rPr>
          <w:rStyle w:val="normaltextrun"/>
          <w:sz w:val="24"/>
          <w:szCs w:val="24"/>
        </w:rPr>
        <w:t>r</w:t>
      </w:r>
      <w:r w:rsidRPr="00E63306">
        <w:rPr>
          <w:rStyle w:val="normaltextrun"/>
          <w:rFonts w:cs="Arial"/>
          <w:color w:val="000000"/>
          <w:sz w:val="24"/>
          <w:szCs w:val="24"/>
          <w:shd w:val="clear" w:color="auto" w:fill="FFFFFF"/>
        </w:rPr>
        <w:t>ecover from the impacts of coronavirus (COVID-19)</w:t>
      </w:r>
      <w:r w:rsidRPr="00E63306">
        <w:rPr>
          <w:rStyle w:val="eop"/>
          <w:rFonts w:cs="Arial"/>
          <w:color w:val="000000"/>
          <w:sz w:val="24"/>
          <w:szCs w:val="24"/>
          <w:shd w:val="clear" w:color="auto" w:fill="FFFFFF"/>
        </w:rPr>
        <w:t> </w:t>
      </w:r>
    </w:p>
    <w:p w14:paraId="50463F5B" w14:textId="5E978D04" w:rsidR="00EE5864" w:rsidRPr="00E63306" w:rsidRDefault="00EE5864" w:rsidP="00E63306">
      <w:pPr>
        <w:pStyle w:val="Normal1"/>
        <w:numPr>
          <w:ilvl w:val="0"/>
          <w:numId w:val="48"/>
        </w:numPr>
        <w:rPr>
          <w:rStyle w:val="eop"/>
          <w:sz w:val="24"/>
          <w:szCs w:val="24"/>
        </w:rPr>
      </w:pPr>
      <w:r w:rsidRPr="00E63306">
        <w:rPr>
          <w:rStyle w:val="normaltextrun"/>
          <w:rFonts w:cs="Arial"/>
          <w:color w:val="000000"/>
          <w:sz w:val="24"/>
          <w:szCs w:val="24"/>
          <w:shd w:val="clear" w:color="auto" w:fill="FFFFFF"/>
        </w:rPr>
        <w:t xml:space="preserve">tackle economic </w:t>
      </w:r>
      <w:proofErr w:type="gramStart"/>
      <w:r w:rsidRPr="00E63306">
        <w:rPr>
          <w:rStyle w:val="normaltextrun"/>
          <w:rFonts w:cs="Arial"/>
          <w:color w:val="000000"/>
          <w:sz w:val="24"/>
          <w:szCs w:val="24"/>
          <w:shd w:val="clear" w:color="auto" w:fill="FFFFFF"/>
        </w:rPr>
        <w:t>inequality</w:t>
      </w:r>
      <w:proofErr w:type="gramEnd"/>
      <w:r w:rsidRPr="00E63306">
        <w:rPr>
          <w:rStyle w:val="eop"/>
          <w:rFonts w:cs="Arial"/>
          <w:color w:val="000000"/>
          <w:sz w:val="24"/>
          <w:szCs w:val="24"/>
          <w:shd w:val="clear" w:color="auto" w:fill="FFFFFF"/>
        </w:rPr>
        <w:t> </w:t>
      </w:r>
    </w:p>
    <w:p w14:paraId="7709B415" w14:textId="76177DF4" w:rsidR="00EE5864" w:rsidRPr="00E63306" w:rsidRDefault="00AA5E7B" w:rsidP="00E63306">
      <w:pPr>
        <w:pStyle w:val="Normal1"/>
        <w:numPr>
          <w:ilvl w:val="0"/>
          <w:numId w:val="48"/>
        </w:numPr>
        <w:rPr>
          <w:sz w:val="24"/>
          <w:szCs w:val="24"/>
        </w:rPr>
      </w:pPr>
      <w:r w:rsidRPr="00E63306">
        <w:rPr>
          <w:rFonts w:cs="Arial"/>
          <w:sz w:val="24"/>
          <w:szCs w:val="24"/>
          <w:shd w:val="clear" w:color="auto" w:fill="FFFFFF"/>
        </w:rPr>
        <w:t>fight climate change</w:t>
      </w:r>
    </w:p>
    <w:p w14:paraId="7E47E828" w14:textId="12A87C87" w:rsidR="00AA5E7B" w:rsidRPr="00E63306" w:rsidRDefault="00AA5E7B" w:rsidP="00E63306">
      <w:pPr>
        <w:pStyle w:val="Normal1"/>
        <w:numPr>
          <w:ilvl w:val="0"/>
          <w:numId w:val="48"/>
        </w:numPr>
        <w:rPr>
          <w:rStyle w:val="normaltextrun"/>
          <w:sz w:val="24"/>
          <w:szCs w:val="24"/>
        </w:rPr>
      </w:pPr>
      <w:r w:rsidRPr="00E63306">
        <w:rPr>
          <w:rStyle w:val="normaltextrun"/>
          <w:rFonts w:cs="Arial"/>
          <w:color w:val="000000"/>
          <w:sz w:val="24"/>
          <w:szCs w:val="24"/>
          <w:shd w:val="clear" w:color="auto" w:fill="FFFFFF"/>
        </w:rPr>
        <w:t xml:space="preserve">promote equal opportunity and </w:t>
      </w:r>
      <w:proofErr w:type="gramStart"/>
      <w:r w:rsidRPr="00E63306">
        <w:rPr>
          <w:rStyle w:val="normaltextrun"/>
          <w:rFonts w:cs="Arial"/>
          <w:color w:val="000000"/>
          <w:sz w:val="24"/>
          <w:szCs w:val="24"/>
          <w:shd w:val="clear" w:color="auto" w:fill="FFFFFF"/>
        </w:rPr>
        <w:t>wellbeing</w:t>
      </w:r>
      <w:proofErr w:type="gramEnd"/>
      <w:r w:rsidRPr="00E63306">
        <w:rPr>
          <w:rStyle w:val="eop"/>
          <w:rFonts w:cs="Arial"/>
          <w:color w:val="000000"/>
          <w:sz w:val="24"/>
          <w:szCs w:val="24"/>
          <w:shd w:val="clear" w:color="auto" w:fill="FFFFFF"/>
        </w:rPr>
        <w:t> </w:t>
      </w:r>
    </w:p>
    <w:p w14:paraId="794BFC53" w14:textId="5AC292F0" w:rsidR="00A75016" w:rsidRPr="00C2569F" w:rsidRDefault="00A75016" w:rsidP="00E63306">
      <w:pPr>
        <w:pStyle w:val="Normal1"/>
        <w:rPr>
          <w:rStyle w:val="eop"/>
          <w:sz w:val="24"/>
          <w:szCs w:val="24"/>
        </w:rPr>
      </w:pPr>
      <w:r w:rsidRPr="00C2569F">
        <w:rPr>
          <w:rStyle w:val="normaltextrun"/>
          <w:rFonts w:cs="Arial"/>
          <w:color w:val="000000"/>
          <w:sz w:val="24"/>
          <w:szCs w:val="24"/>
          <w:shd w:val="clear" w:color="auto" w:fill="FFFFFF"/>
        </w:rPr>
        <w:t xml:space="preserve">The </w:t>
      </w:r>
      <w:r w:rsidR="0091292B" w:rsidRPr="00C2569F">
        <w:rPr>
          <w:rStyle w:val="normaltextrun"/>
          <w:rFonts w:cs="Arial"/>
          <w:color w:val="000000"/>
          <w:sz w:val="24"/>
          <w:szCs w:val="24"/>
          <w:shd w:val="clear" w:color="auto" w:fill="FFFFFF"/>
        </w:rPr>
        <w:t xml:space="preserve">Supplier shall deliver measurable benefits in respect of the Social Value priorities throughout the life of the </w:t>
      </w:r>
      <w:proofErr w:type="gramStart"/>
      <w:r w:rsidR="0091292B" w:rsidRPr="00C2569F">
        <w:rPr>
          <w:rStyle w:val="normaltextrun"/>
          <w:rFonts w:cs="Arial"/>
          <w:color w:val="000000"/>
          <w:sz w:val="24"/>
          <w:szCs w:val="24"/>
          <w:shd w:val="clear" w:color="auto" w:fill="FFFFFF"/>
        </w:rPr>
        <w:t>Contract</w:t>
      </w:r>
      <w:proofErr w:type="gramEnd"/>
      <w:r w:rsidR="0091292B" w:rsidRPr="00C2569F">
        <w:rPr>
          <w:rStyle w:val="eop"/>
          <w:rFonts w:cs="Arial"/>
          <w:color w:val="000000"/>
          <w:sz w:val="24"/>
          <w:szCs w:val="24"/>
          <w:shd w:val="clear" w:color="auto" w:fill="FFFFFF"/>
        </w:rPr>
        <w:t> </w:t>
      </w:r>
    </w:p>
    <w:p w14:paraId="758BD840" w14:textId="71E37192" w:rsidR="0091292B" w:rsidRPr="00C2569F" w:rsidRDefault="0091292B" w:rsidP="00E63306">
      <w:pPr>
        <w:pStyle w:val="Normal1"/>
        <w:rPr>
          <w:rStyle w:val="normaltextrun"/>
          <w:sz w:val="24"/>
          <w:szCs w:val="24"/>
        </w:rPr>
      </w:pPr>
      <w:r w:rsidRPr="00C2569F">
        <w:rPr>
          <w:rStyle w:val="eop"/>
          <w:rFonts w:cs="Arial"/>
          <w:color w:val="000000"/>
          <w:sz w:val="24"/>
          <w:szCs w:val="24"/>
          <w:shd w:val="clear" w:color="auto" w:fill="FFFFFF"/>
        </w:rPr>
        <w:t xml:space="preserve">The </w:t>
      </w:r>
      <w:r w:rsidR="005C5975" w:rsidRPr="00C2569F">
        <w:rPr>
          <w:rStyle w:val="normaltextrun"/>
          <w:rFonts w:cs="Arial"/>
          <w:color w:val="000000"/>
          <w:sz w:val="24"/>
          <w:szCs w:val="24"/>
          <w:shd w:val="clear" w:color="auto" w:fill="FFFFFF"/>
        </w:rPr>
        <w:t>Supplier shall be responsible for ensuring that social value priorities are cascaded throughout the supply chain.</w:t>
      </w:r>
    </w:p>
    <w:p w14:paraId="3D88DA50" w14:textId="3EB619E8" w:rsidR="005C5975" w:rsidRPr="00C2569F" w:rsidRDefault="005C5975" w:rsidP="00E63306">
      <w:pPr>
        <w:pStyle w:val="Normal1"/>
      </w:pPr>
      <w:r w:rsidRPr="00C2569F">
        <w:rPr>
          <w:rStyle w:val="normaltextrun"/>
          <w:rFonts w:cs="Arial"/>
          <w:color w:val="000000"/>
          <w:sz w:val="24"/>
          <w:szCs w:val="24"/>
          <w:shd w:val="clear" w:color="auto" w:fill="FFFFFF"/>
        </w:rPr>
        <w:t xml:space="preserve">The Supplier shall record </w:t>
      </w:r>
      <w:r w:rsidRPr="00C2569F">
        <w:rPr>
          <w:rStyle w:val="normaltextrun"/>
          <w:rFonts w:cs="Arial"/>
          <w:color w:val="000000"/>
          <w:sz w:val="24"/>
          <w:szCs w:val="24"/>
        </w:rPr>
        <w:t>and</w:t>
      </w:r>
      <w:r w:rsidRPr="00C2569F">
        <w:rPr>
          <w:rStyle w:val="normaltextrun"/>
          <w:rFonts w:cs="Arial"/>
          <w:color w:val="000000"/>
          <w:sz w:val="24"/>
          <w:szCs w:val="24"/>
          <w:shd w:val="clear" w:color="auto" w:fill="FFFFFF"/>
        </w:rPr>
        <w:t xml:space="preserve"> report performance against the social value </w:t>
      </w:r>
      <w:proofErr w:type="gramStart"/>
      <w:r w:rsidRPr="00C2569F">
        <w:rPr>
          <w:rStyle w:val="normaltextrun"/>
          <w:rFonts w:cs="Arial"/>
          <w:color w:val="000000"/>
          <w:sz w:val="24"/>
          <w:szCs w:val="24"/>
          <w:shd w:val="clear" w:color="auto" w:fill="FFFFFF"/>
        </w:rPr>
        <w:t>requirements</w:t>
      </w:r>
      <w:proofErr w:type="gramEnd"/>
    </w:p>
    <w:p w14:paraId="1114BE17" w14:textId="1C1527BD" w:rsidR="00FE18AC" w:rsidRDefault="00C6353E"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27" w:name="_Toc368573036"/>
      <w:bookmarkStart w:id="28" w:name="_Toc159329819"/>
      <w:r>
        <w:rPr>
          <w:rFonts w:cs="Arial"/>
          <w:sz w:val="32"/>
          <w:szCs w:val="32"/>
        </w:rPr>
        <w:lastRenderedPageBreak/>
        <w:t>Q</w:t>
      </w:r>
      <w:r w:rsidR="00FE18AC" w:rsidRPr="001A45DF">
        <w:rPr>
          <w:rFonts w:cs="Arial"/>
          <w:sz w:val="32"/>
          <w:szCs w:val="32"/>
        </w:rPr>
        <w:t>uality</w:t>
      </w:r>
      <w:bookmarkEnd w:id="27"/>
      <w:bookmarkEnd w:id="28"/>
    </w:p>
    <w:p w14:paraId="6C90BF65" w14:textId="77777777" w:rsidR="0001614A" w:rsidRDefault="0001614A" w:rsidP="0001614A">
      <w:pPr>
        <w:pStyle w:val="BodyText2"/>
        <w:spacing w:after="0"/>
        <w:rPr>
          <w:rFonts w:cs="Arial"/>
          <w:color w:val="000000"/>
          <w:szCs w:val="22"/>
        </w:rPr>
      </w:pPr>
      <w:bookmarkStart w:id="29" w:name="_Toc71893024"/>
      <w:r w:rsidRPr="0001614A">
        <w:rPr>
          <w:rFonts w:cs="Arial"/>
          <w:color w:val="000000"/>
          <w:szCs w:val="22"/>
        </w:rPr>
        <w:t>Potential Suppliers must outline their contingency plans to ensure that the work is subject to appropriate levels of supervision and control from senior members of the project team, and that key stages of the project will be subject to input from, and approval by, senior members of the project team.</w:t>
      </w:r>
      <w:bookmarkEnd w:id="29"/>
      <w:r w:rsidRPr="0001614A">
        <w:rPr>
          <w:rFonts w:cs="Arial"/>
          <w:color w:val="000000"/>
          <w:szCs w:val="22"/>
        </w:rPr>
        <w:t xml:space="preserve"> </w:t>
      </w:r>
    </w:p>
    <w:p w14:paraId="156AF7A0" w14:textId="77777777" w:rsidR="00E92BDB" w:rsidRPr="0001614A" w:rsidRDefault="00E92BDB" w:rsidP="0001614A">
      <w:pPr>
        <w:pStyle w:val="BodyText2"/>
        <w:spacing w:after="0"/>
        <w:rPr>
          <w:rFonts w:cs="Arial"/>
          <w:color w:val="000000"/>
          <w:szCs w:val="22"/>
        </w:rPr>
      </w:pPr>
    </w:p>
    <w:p w14:paraId="3C0E4018" w14:textId="376388A9" w:rsidR="0001614A" w:rsidRDefault="0001614A" w:rsidP="0001614A">
      <w:pPr>
        <w:pStyle w:val="BodyText2"/>
        <w:spacing w:after="0"/>
        <w:rPr>
          <w:rFonts w:cs="Arial"/>
          <w:color w:val="000000"/>
          <w:szCs w:val="22"/>
        </w:rPr>
      </w:pPr>
      <w:bookmarkStart w:id="30" w:name="_Toc71893026"/>
      <w:r w:rsidRPr="0001614A">
        <w:rPr>
          <w:rFonts w:cs="Arial"/>
          <w:color w:val="000000"/>
          <w:szCs w:val="22"/>
        </w:rPr>
        <w:t xml:space="preserve">All outputs must be in the specified format and must have been subject to thorough quality assurance by the Supplier prior to being submitted to HO. The Supplier will be responsible for quality assurance and sign </w:t>
      </w:r>
      <w:proofErr w:type="gramStart"/>
      <w:r w:rsidRPr="0001614A">
        <w:rPr>
          <w:rFonts w:cs="Arial"/>
          <w:color w:val="000000"/>
          <w:szCs w:val="22"/>
        </w:rPr>
        <w:t>off of</w:t>
      </w:r>
      <w:proofErr w:type="gramEnd"/>
      <w:r w:rsidRPr="0001614A">
        <w:rPr>
          <w:rFonts w:cs="Arial"/>
          <w:color w:val="000000"/>
          <w:szCs w:val="22"/>
        </w:rPr>
        <w:t xml:space="preserve"> all outputs sent to HO. The Supplier is also expected to proactively review work at all stages and proactively feedback to HO any issues and suggestions for improvements to design and ways of working.</w:t>
      </w:r>
      <w:bookmarkEnd w:id="30"/>
      <w:r w:rsidRPr="0001614A">
        <w:rPr>
          <w:rFonts w:cs="Arial"/>
          <w:color w:val="000000"/>
          <w:szCs w:val="22"/>
        </w:rPr>
        <w:t xml:space="preserve"> </w:t>
      </w:r>
    </w:p>
    <w:p w14:paraId="486EC147" w14:textId="77777777" w:rsidR="00E92BDB" w:rsidRPr="0001614A" w:rsidRDefault="00E92BDB" w:rsidP="0001614A">
      <w:pPr>
        <w:pStyle w:val="BodyText2"/>
        <w:spacing w:after="0"/>
        <w:rPr>
          <w:rFonts w:cs="Arial"/>
          <w:b/>
          <w:bCs/>
          <w:color w:val="000000"/>
          <w:szCs w:val="22"/>
        </w:rPr>
      </w:pPr>
    </w:p>
    <w:p w14:paraId="4F01B7E7" w14:textId="26269C3C" w:rsidR="0001614A" w:rsidRDefault="0001614A" w:rsidP="0001614A">
      <w:pPr>
        <w:pStyle w:val="BodyText2"/>
        <w:spacing w:after="0"/>
        <w:rPr>
          <w:rFonts w:cs="Arial"/>
          <w:color w:val="000000"/>
          <w:szCs w:val="22"/>
        </w:rPr>
      </w:pPr>
      <w:bookmarkStart w:id="31" w:name="_Toc71893027"/>
      <w:r w:rsidRPr="0001614A">
        <w:rPr>
          <w:rFonts w:cs="Arial"/>
          <w:color w:val="000000"/>
          <w:szCs w:val="22"/>
        </w:rPr>
        <w:t>HO will review and comment on the methodology and outputs. All draft reports and iterations may be subject to internal review and quality assurance by the Authority and other government stakeholders.</w:t>
      </w:r>
      <w:bookmarkEnd w:id="31"/>
    </w:p>
    <w:p w14:paraId="12524C8B" w14:textId="77777777" w:rsidR="00E92BDB" w:rsidRPr="0001614A" w:rsidRDefault="00E92BDB" w:rsidP="0001614A">
      <w:pPr>
        <w:pStyle w:val="BodyText2"/>
        <w:spacing w:after="0"/>
        <w:rPr>
          <w:rFonts w:cs="Arial"/>
          <w:b/>
          <w:color w:val="000000"/>
          <w:szCs w:val="22"/>
        </w:rPr>
      </w:pPr>
    </w:p>
    <w:p w14:paraId="5E155C2C" w14:textId="260ABEB5" w:rsidR="0001614A" w:rsidRDefault="0001614A" w:rsidP="0001614A">
      <w:pPr>
        <w:pStyle w:val="BodyText2"/>
        <w:spacing w:after="0"/>
        <w:rPr>
          <w:rFonts w:cs="Arial"/>
          <w:color w:val="000000"/>
          <w:szCs w:val="22"/>
        </w:rPr>
      </w:pPr>
      <w:bookmarkStart w:id="32" w:name="_Hlk158822254"/>
      <w:bookmarkStart w:id="33" w:name="_Toc71893028"/>
      <w:r w:rsidRPr="0001614A">
        <w:rPr>
          <w:rFonts w:cs="Arial"/>
          <w:color w:val="000000"/>
          <w:szCs w:val="22"/>
        </w:rPr>
        <w:t xml:space="preserve">The Supplier will be required to respond to HO </w:t>
      </w:r>
      <w:r>
        <w:rPr>
          <w:rFonts w:cs="Arial"/>
          <w:color w:val="000000"/>
          <w:szCs w:val="22"/>
        </w:rPr>
        <w:t xml:space="preserve">and potentially peer review </w:t>
      </w:r>
      <w:r w:rsidRPr="0001614A">
        <w:rPr>
          <w:rFonts w:cs="Arial"/>
          <w:color w:val="000000"/>
          <w:szCs w:val="22"/>
        </w:rPr>
        <w:t xml:space="preserve">comments in preparing final drafts. Several iterations of review and revision may be required before HO accepts a final version of a report and releases any associated payment. The Supplier should build appropriate time and resource </w:t>
      </w:r>
      <w:bookmarkEnd w:id="32"/>
      <w:r w:rsidRPr="0001614A">
        <w:rPr>
          <w:rFonts w:cs="Arial"/>
          <w:color w:val="000000"/>
          <w:szCs w:val="22"/>
        </w:rPr>
        <w:t>for this into their plan.</w:t>
      </w:r>
      <w:bookmarkEnd w:id="33"/>
    </w:p>
    <w:p w14:paraId="1A990EA4" w14:textId="77777777" w:rsidR="00E92BDB" w:rsidRPr="0001614A" w:rsidRDefault="00E92BDB" w:rsidP="0001614A">
      <w:pPr>
        <w:pStyle w:val="BodyText2"/>
        <w:spacing w:after="0"/>
        <w:rPr>
          <w:rFonts w:cs="Arial"/>
          <w:b/>
          <w:color w:val="000000"/>
          <w:szCs w:val="22"/>
        </w:rPr>
      </w:pPr>
    </w:p>
    <w:p w14:paraId="533C7A5A" w14:textId="5C325467" w:rsidR="00FE18AC"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34" w:name="_Toc368573037"/>
      <w:bookmarkStart w:id="35" w:name="_Toc159329820"/>
      <w:r w:rsidRPr="001A45DF">
        <w:rPr>
          <w:rFonts w:cs="Arial"/>
          <w:sz w:val="32"/>
          <w:szCs w:val="32"/>
        </w:rPr>
        <w:t>P</w:t>
      </w:r>
      <w:bookmarkEnd w:id="34"/>
      <w:r w:rsidR="00C6353E">
        <w:rPr>
          <w:rFonts w:cs="Arial"/>
          <w:sz w:val="32"/>
          <w:szCs w:val="32"/>
        </w:rPr>
        <w:t>rice</w:t>
      </w:r>
      <w:bookmarkEnd w:id="35"/>
    </w:p>
    <w:p w14:paraId="73C8851C" w14:textId="35186EF4" w:rsidR="005209A0" w:rsidRDefault="0001614A" w:rsidP="00E92BDB">
      <w:pPr>
        <w:pStyle w:val="Normal1"/>
        <w:spacing w:after="240"/>
        <w:rPr>
          <w:rFonts w:cs="Arial"/>
        </w:rPr>
      </w:pPr>
      <w:r w:rsidRPr="0001614A">
        <w:rPr>
          <w:rFonts w:cs="Arial"/>
        </w:rPr>
        <w:t>The budget</w:t>
      </w:r>
      <w:r w:rsidR="0075111C">
        <w:rPr>
          <w:rFonts w:cs="Arial"/>
        </w:rPr>
        <w:t xml:space="preserve"> range</w:t>
      </w:r>
      <w:r w:rsidRPr="0001614A">
        <w:rPr>
          <w:rFonts w:cs="Arial"/>
        </w:rPr>
        <w:t xml:space="preserve"> for this contract is </w:t>
      </w:r>
      <w:r w:rsidR="0075111C">
        <w:rPr>
          <w:rFonts w:cs="Arial"/>
        </w:rPr>
        <w:t xml:space="preserve">from </w:t>
      </w:r>
      <w:r w:rsidR="002B3644">
        <w:rPr>
          <w:rFonts w:cs="Arial"/>
        </w:rPr>
        <w:t>£</w:t>
      </w:r>
      <w:r w:rsidR="00512E32">
        <w:rPr>
          <w:rFonts w:cs="Arial"/>
        </w:rPr>
        <w:t>60</w:t>
      </w:r>
      <w:r w:rsidR="002B3644">
        <w:rPr>
          <w:rFonts w:cs="Arial"/>
        </w:rPr>
        <w:t>0,000 to</w:t>
      </w:r>
      <w:r w:rsidR="003E37F8">
        <w:rPr>
          <w:rFonts w:cs="Arial"/>
        </w:rPr>
        <w:t xml:space="preserve"> £1,500,000</w:t>
      </w:r>
      <w:r w:rsidRPr="0001614A">
        <w:rPr>
          <w:rFonts w:cs="Arial"/>
        </w:rPr>
        <w:t xml:space="preserve"> (excluding VAT). It is expected all costs incurred will be from within this budget.</w:t>
      </w:r>
      <w:r w:rsidR="0075111C">
        <w:rPr>
          <w:rFonts w:cs="Arial"/>
        </w:rPr>
        <w:t xml:space="preserve"> To note, it is expected that the agreed scale and breadth of the quantitative survey will significantly impact the final </w:t>
      </w:r>
      <w:r w:rsidR="00555653">
        <w:rPr>
          <w:rFonts w:cs="Arial"/>
        </w:rPr>
        <w:t>cost.</w:t>
      </w:r>
    </w:p>
    <w:p w14:paraId="216AC165" w14:textId="77777777" w:rsidR="00E92BDB" w:rsidRPr="0001614A" w:rsidRDefault="0001614A" w:rsidP="00E92BDB">
      <w:pPr>
        <w:pStyle w:val="Normal1"/>
        <w:spacing w:after="240"/>
        <w:rPr>
          <w:rFonts w:cs="Arial"/>
        </w:rPr>
      </w:pPr>
      <w:r w:rsidRPr="0001614A">
        <w:rPr>
          <w:rFonts w:cs="Arial"/>
        </w:rPr>
        <w:t>Bidders should quote costs excluding VAT and indicate separately if VAT is chargeable.</w:t>
      </w:r>
    </w:p>
    <w:p w14:paraId="25396827" w14:textId="13C88CC3" w:rsidR="0001614A" w:rsidRPr="0001614A" w:rsidRDefault="0001614A" w:rsidP="00E92BDB">
      <w:pPr>
        <w:pStyle w:val="Normal1"/>
        <w:spacing w:after="240"/>
        <w:rPr>
          <w:rFonts w:cs="Arial"/>
        </w:rPr>
      </w:pPr>
      <w:r w:rsidRPr="0001614A">
        <w:rPr>
          <w:rFonts w:cs="Arial"/>
        </w:rPr>
        <w:t>Bidders are asked to complete the Pricing Matrix included in the bidder’s pack, which requests information on the daily pay rates and number of days allocated to each member of the project team, broken down into the key milestones as described in Section 6.</w:t>
      </w:r>
    </w:p>
    <w:p w14:paraId="645D51EC" w14:textId="27E8925F" w:rsidR="00671798" w:rsidRPr="00E92BDB" w:rsidRDefault="00FE18AC" w:rsidP="00E92BDB">
      <w:pPr>
        <w:pStyle w:val="Normal1"/>
        <w:spacing w:after="240"/>
      </w:pPr>
      <w:r w:rsidRPr="00E92BDB">
        <w:t>Prices are to be submitted via the e</w:t>
      </w:r>
      <w:r w:rsidR="00F44D62" w:rsidRPr="00E92BDB">
        <w:t>-</w:t>
      </w:r>
      <w:r w:rsidRPr="00E92BDB">
        <w:t>Sourcing Suite</w:t>
      </w:r>
      <w:r w:rsidR="004A3BE6" w:rsidRPr="00E92BDB">
        <w:t xml:space="preserve"> </w:t>
      </w:r>
      <w:r w:rsidR="1497198C">
        <w:t>Appendix E</w:t>
      </w:r>
      <w:r w:rsidR="001A45DF" w:rsidRPr="00E92BDB">
        <w:t xml:space="preserve"> – Price Schedule</w:t>
      </w:r>
      <w:r w:rsidRPr="00E92BDB">
        <w:t xml:space="preserve"> excluding VAT</w:t>
      </w:r>
      <w:r w:rsidR="008E77CC" w:rsidRPr="00E92BDB">
        <w:t xml:space="preserve"> and including all other expenses relating to Contract delivery</w:t>
      </w:r>
      <w:r w:rsidR="00AE3C65" w:rsidRPr="00E92BDB">
        <w:t>.</w:t>
      </w:r>
    </w:p>
    <w:p w14:paraId="6B1CA851" w14:textId="56A0DBE6" w:rsidR="00FE18AC" w:rsidRPr="001A45DF" w:rsidRDefault="002907D2"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36" w:name="_Toc368573038"/>
      <w:bookmarkStart w:id="37" w:name="_Toc159329821"/>
      <w:r>
        <w:rPr>
          <w:rFonts w:cs="Arial"/>
          <w:sz w:val="32"/>
          <w:szCs w:val="32"/>
        </w:rPr>
        <w:t xml:space="preserve">Experience and </w:t>
      </w:r>
      <w:r w:rsidR="00A44C94">
        <w:rPr>
          <w:rFonts w:cs="Arial"/>
          <w:sz w:val="32"/>
          <w:szCs w:val="32"/>
        </w:rPr>
        <w:t>Custome</w:t>
      </w:r>
      <w:r w:rsidR="00FE18AC" w:rsidRPr="001A45DF">
        <w:rPr>
          <w:rFonts w:cs="Arial"/>
          <w:sz w:val="32"/>
          <w:szCs w:val="32"/>
        </w:rPr>
        <w:t>R SERVICE</w:t>
      </w:r>
      <w:bookmarkEnd w:id="36"/>
      <w:bookmarkEnd w:id="37"/>
    </w:p>
    <w:p w14:paraId="473FF9D3" w14:textId="319E8519" w:rsidR="00671798" w:rsidRPr="002A6B5D" w:rsidRDefault="00FE18AC" w:rsidP="002A6B5D">
      <w:pPr>
        <w:pStyle w:val="Normal1"/>
      </w:pPr>
      <w:r w:rsidRPr="002A6B5D">
        <w:t xml:space="preserve">The </w:t>
      </w:r>
      <w:r w:rsidR="008E77CC" w:rsidRPr="002A6B5D">
        <w:t xml:space="preserve">Supplier shall </w:t>
      </w:r>
      <w:r w:rsidRPr="002A6B5D">
        <w:t>provide a sufficient level of resource</w:t>
      </w:r>
      <w:r w:rsidR="00A27147" w:rsidRPr="002A6B5D">
        <w:t xml:space="preserve"> throughout the duration of the</w:t>
      </w:r>
      <w:r w:rsidRPr="002A6B5D">
        <w:t xml:space="preserve"> Contract </w:t>
      </w:r>
      <w:proofErr w:type="gramStart"/>
      <w:r w:rsidRPr="002A6B5D">
        <w:t>in order to</w:t>
      </w:r>
      <w:proofErr w:type="gramEnd"/>
      <w:r w:rsidRPr="002A6B5D">
        <w:t xml:space="preserve"> consiste</w:t>
      </w:r>
      <w:r w:rsidR="00A27147" w:rsidRPr="002A6B5D">
        <w:t>ntly deliver a quality service</w:t>
      </w:r>
      <w:r w:rsidRPr="002A6B5D">
        <w:t>.</w:t>
      </w:r>
    </w:p>
    <w:p w14:paraId="06D0509A" w14:textId="00B0D88D" w:rsidR="00DF6E28" w:rsidRPr="002A6B5D" w:rsidRDefault="008E77CC" w:rsidP="002A6B5D">
      <w:pPr>
        <w:pStyle w:val="Normal1"/>
      </w:pPr>
      <w:r w:rsidRPr="002A6B5D">
        <w:t>The Supplier’s</w:t>
      </w:r>
      <w:r w:rsidR="00A27147" w:rsidRPr="002A6B5D">
        <w:t xml:space="preserve"> staff assigned to the </w:t>
      </w:r>
      <w:r w:rsidR="00FE18AC" w:rsidRPr="002A6B5D">
        <w:t xml:space="preserve">Contract shall have </w:t>
      </w:r>
      <w:r w:rsidR="00E63412" w:rsidRPr="002A6B5D">
        <w:t xml:space="preserve">the </w:t>
      </w:r>
      <w:r w:rsidR="00FE18AC" w:rsidRPr="002A6B5D">
        <w:t>relevant qualifications and experience to deliver</w:t>
      </w:r>
      <w:r w:rsidR="00E63412" w:rsidRPr="002A6B5D">
        <w:t xml:space="preserve"> the</w:t>
      </w:r>
      <w:r w:rsidR="00FE18AC" w:rsidRPr="002A6B5D">
        <w:t xml:space="preserve"> Contract</w:t>
      </w:r>
      <w:r w:rsidR="00C52C2C" w:rsidRPr="002A6B5D">
        <w:t xml:space="preserve"> to the required standard</w:t>
      </w:r>
      <w:r w:rsidR="00FE18AC" w:rsidRPr="002A6B5D">
        <w:t>.</w:t>
      </w:r>
      <w:r w:rsidR="00DF6E28" w:rsidRPr="002A6B5D">
        <w:t xml:space="preserve"> The Supplier should be able to demonstrate: </w:t>
      </w:r>
    </w:p>
    <w:p w14:paraId="421B0747" w14:textId="77777777" w:rsidR="00DF6E28" w:rsidRPr="00DF6E28" w:rsidRDefault="00DF6E28" w:rsidP="003A4CF8">
      <w:pPr>
        <w:pStyle w:val="NoSpacing"/>
        <w:numPr>
          <w:ilvl w:val="4"/>
          <w:numId w:val="54"/>
        </w:numPr>
        <w:rPr>
          <w:rFonts w:ascii="Arial" w:hAnsi="Arial" w:cs="Arial"/>
        </w:rPr>
      </w:pPr>
      <w:r w:rsidRPr="00DF6E28">
        <w:rPr>
          <w:rFonts w:ascii="Arial" w:hAnsi="Arial" w:cs="Arial"/>
          <w:b/>
          <w:bCs/>
        </w:rPr>
        <w:t xml:space="preserve">Security, data handing and access; </w:t>
      </w:r>
      <w:r w:rsidRPr="00DF6E28">
        <w:rPr>
          <w:rFonts w:ascii="Arial" w:hAnsi="Arial" w:cs="Arial"/>
        </w:rPr>
        <w:t>Experience in securely handling and storing Confidential Information and data.</w:t>
      </w:r>
    </w:p>
    <w:p w14:paraId="21F2FB86" w14:textId="77777777" w:rsidR="00DF6E28" w:rsidRPr="00DF6E28" w:rsidRDefault="00DF6E28" w:rsidP="003A4CF8">
      <w:pPr>
        <w:pStyle w:val="NoSpacing"/>
        <w:numPr>
          <w:ilvl w:val="4"/>
          <w:numId w:val="54"/>
        </w:numPr>
        <w:rPr>
          <w:rFonts w:ascii="Arial" w:hAnsi="Arial" w:cs="Arial"/>
        </w:rPr>
      </w:pPr>
      <w:r w:rsidRPr="00DF6E28">
        <w:rPr>
          <w:rFonts w:ascii="Arial" w:hAnsi="Arial" w:cs="Arial"/>
          <w:b/>
          <w:bCs/>
        </w:rPr>
        <w:t>Stakeholder engagement</w:t>
      </w:r>
      <w:r w:rsidRPr="00DF6E28">
        <w:rPr>
          <w:rFonts w:ascii="Arial" w:hAnsi="Arial" w:cs="Arial"/>
        </w:rPr>
        <w:t>; Experience in senior stakeholder engagement and communication</w:t>
      </w:r>
    </w:p>
    <w:p w14:paraId="01A7F729" w14:textId="3A025AAC" w:rsidR="00DF6E28" w:rsidRPr="00DF6E28" w:rsidRDefault="00DF6E28" w:rsidP="003A4CF8">
      <w:pPr>
        <w:pStyle w:val="NoSpacing"/>
        <w:numPr>
          <w:ilvl w:val="4"/>
          <w:numId w:val="54"/>
        </w:numPr>
        <w:rPr>
          <w:rFonts w:ascii="Arial" w:hAnsi="Arial" w:cs="Arial"/>
        </w:rPr>
      </w:pPr>
      <w:r w:rsidRPr="00DF6E28">
        <w:rPr>
          <w:rFonts w:ascii="Arial" w:hAnsi="Arial" w:cs="Arial"/>
          <w:b/>
          <w:bCs/>
        </w:rPr>
        <w:t xml:space="preserve">Expertise in delivering evaluations: </w:t>
      </w:r>
      <w:r w:rsidRPr="00DF6E28">
        <w:rPr>
          <w:rFonts w:ascii="Arial" w:hAnsi="Arial" w:cs="Arial"/>
        </w:rPr>
        <w:t>Expertise in delivering impact and process evaluations, using a variety of methodologies.</w:t>
      </w:r>
    </w:p>
    <w:p w14:paraId="23C18B35" w14:textId="08468197" w:rsidR="00DF6E28" w:rsidRPr="00DF6E28" w:rsidRDefault="00DF6E28" w:rsidP="003A4CF8">
      <w:pPr>
        <w:pStyle w:val="NoSpacing"/>
        <w:numPr>
          <w:ilvl w:val="0"/>
          <w:numId w:val="55"/>
        </w:numPr>
        <w:rPr>
          <w:rFonts w:ascii="Arial" w:hAnsi="Arial" w:cs="Arial"/>
        </w:rPr>
      </w:pPr>
      <w:r w:rsidRPr="00DF6E28">
        <w:rPr>
          <w:rFonts w:ascii="Arial" w:hAnsi="Arial" w:cs="Arial"/>
          <w:b/>
          <w:bCs/>
        </w:rPr>
        <w:lastRenderedPageBreak/>
        <w:t>Analytical quality assurance;</w:t>
      </w:r>
      <w:r w:rsidRPr="00DF6E28">
        <w:rPr>
          <w:rFonts w:ascii="Arial" w:hAnsi="Arial" w:cs="Arial"/>
        </w:rPr>
        <w:t xml:space="preserve"> Experience in quality assurance of statistical models, data analysis and outputs</w:t>
      </w:r>
    </w:p>
    <w:p w14:paraId="53062348" w14:textId="77777777" w:rsidR="00DF6E28" w:rsidRPr="00DF6E28" w:rsidRDefault="00DF6E28" w:rsidP="003A4CF8">
      <w:pPr>
        <w:pStyle w:val="NoSpacing"/>
        <w:numPr>
          <w:ilvl w:val="4"/>
          <w:numId w:val="54"/>
        </w:numPr>
        <w:rPr>
          <w:rFonts w:ascii="Arial" w:hAnsi="Arial" w:cs="Arial"/>
          <w:b/>
          <w:bCs/>
        </w:rPr>
      </w:pPr>
      <w:r w:rsidRPr="00DF6E28">
        <w:rPr>
          <w:rFonts w:ascii="Arial" w:hAnsi="Arial" w:cs="Arial"/>
          <w:b/>
          <w:bCs/>
        </w:rPr>
        <w:t xml:space="preserve">Reporting; </w:t>
      </w:r>
      <w:r w:rsidRPr="00DF6E28">
        <w:rPr>
          <w:rFonts w:ascii="Arial" w:hAnsi="Arial" w:cs="Arial"/>
        </w:rPr>
        <w:t xml:space="preserve">Expertise in analytical report writing, documenting methodology and decisions, </w:t>
      </w:r>
      <w:proofErr w:type="gramStart"/>
      <w:r w:rsidRPr="00DF6E28">
        <w:rPr>
          <w:rFonts w:ascii="Arial" w:hAnsi="Arial" w:cs="Arial"/>
        </w:rPr>
        <w:t>code</w:t>
      </w:r>
      <w:proofErr w:type="gramEnd"/>
      <w:r w:rsidRPr="00DF6E28">
        <w:rPr>
          <w:rFonts w:ascii="Arial" w:hAnsi="Arial" w:cs="Arial"/>
        </w:rPr>
        <w:t xml:space="preserve"> and outputs</w:t>
      </w:r>
      <w:r w:rsidRPr="00DF6E28">
        <w:rPr>
          <w:rFonts w:ascii="Arial" w:hAnsi="Arial" w:cs="Arial"/>
          <w:b/>
          <w:bCs/>
        </w:rPr>
        <w:t>.</w:t>
      </w:r>
    </w:p>
    <w:p w14:paraId="18F18D55" w14:textId="109628C8" w:rsidR="00DF6E28" w:rsidRPr="00DF6E28" w:rsidRDefault="00DF6E28" w:rsidP="003A4CF8">
      <w:pPr>
        <w:pStyle w:val="NoSpacing"/>
        <w:numPr>
          <w:ilvl w:val="4"/>
          <w:numId w:val="54"/>
        </w:numPr>
        <w:rPr>
          <w:rFonts w:ascii="Arial" w:hAnsi="Arial" w:cs="Arial"/>
        </w:rPr>
      </w:pPr>
      <w:r w:rsidRPr="00DF6E28">
        <w:rPr>
          <w:rFonts w:ascii="Arial" w:hAnsi="Arial" w:cs="Arial"/>
          <w:b/>
          <w:bCs/>
        </w:rPr>
        <w:t xml:space="preserve">Project management; </w:t>
      </w:r>
      <w:r w:rsidRPr="00DF6E28">
        <w:rPr>
          <w:rFonts w:ascii="Arial" w:hAnsi="Arial" w:cs="Arial"/>
        </w:rPr>
        <w:t>Experience of managing and delivering large scale analytical projects for Government.</w:t>
      </w:r>
    </w:p>
    <w:p w14:paraId="05C7C6BB" w14:textId="554A4D56" w:rsidR="00DF6E28" w:rsidRPr="00DF6E28" w:rsidRDefault="00DF6E28" w:rsidP="003A4CF8">
      <w:pPr>
        <w:pStyle w:val="NoSpacing"/>
        <w:numPr>
          <w:ilvl w:val="4"/>
          <w:numId w:val="54"/>
        </w:numPr>
        <w:rPr>
          <w:rFonts w:ascii="Arial" w:hAnsi="Arial" w:cs="Arial"/>
        </w:rPr>
      </w:pPr>
      <w:r w:rsidRPr="00DF6E28">
        <w:rPr>
          <w:rFonts w:ascii="Arial" w:hAnsi="Arial" w:cs="Arial"/>
          <w:b/>
          <w:bCs/>
        </w:rPr>
        <w:t>Policing, Crime and Justice/or funding projects</w:t>
      </w:r>
      <w:r w:rsidRPr="00DF6E28">
        <w:rPr>
          <w:rFonts w:ascii="Arial" w:hAnsi="Arial" w:cs="Arial"/>
        </w:rPr>
        <w:t>; Experience in policing and/or funding projects, ideally within government.</w:t>
      </w:r>
    </w:p>
    <w:p w14:paraId="0837E02A" w14:textId="532C0915" w:rsidR="00671798" w:rsidRPr="00DF6E28" w:rsidRDefault="00BE3468" w:rsidP="00DF6E28">
      <w:pPr>
        <w:pStyle w:val="Heading2"/>
        <w:numPr>
          <w:ilvl w:val="0"/>
          <w:numId w:val="0"/>
        </w:numPr>
        <w:spacing w:after="120"/>
        <w:rPr>
          <w:szCs w:val="22"/>
        </w:rPr>
      </w:pPr>
      <w:r w:rsidRPr="00DF6E28">
        <w:rPr>
          <w:szCs w:val="22"/>
        </w:rPr>
        <w:t>The Supplier</w:t>
      </w:r>
      <w:r w:rsidR="00FE18AC" w:rsidRPr="00DF6E28">
        <w:rPr>
          <w:szCs w:val="22"/>
        </w:rPr>
        <w:t xml:space="preserve"> shall ensure that staff understand the Authority’s vision and objectives and </w:t>
      </w:r>
      <w:r w:rsidR="00E63412" w:rsidRPr="00DF6E28">
        <w:rPr>
          <w:szCs w:val="22"/>
        </w:rPr>
        <w:t xml:space="preserve">will </w:t>
      </w:r>
      <w:r w:rsidR="00FE18AC" w:rsidRPr="00DF6E28">
        <w:rPr>
          <w:szCs w:val="22"/>
        </w:rPr>
        <w:t xml:space="preserve">provide excellent customer service to the Authority throughout the duration of the Contract.  </w:t>
      </w:r>
    </w:p>
    <w:p w14:paraId="629F567D" w14:textId="3ABBDAC3" w:rsidR="00FE18AC" w:rsidRDefault="00FE18AC" w:rsidP="417C5D77">
      <w:pPr>
        <w:pStyle w:val="Heading1"/>
        <w:tabs>
          <w:tab w:val="clear" w:pos="720"/>
        </w:tabs>
        <w:overflowPunct w:val="0"/>
        <w:autoSpaceDE w:val="0"/>
        <w:autoSpaceDN w:val="0"/>
        <w:spacing w:after="120"/>
        <w:ind w:left="709" w:hanging="709"/>
        <w:textAlignment w:val="baseline"/>
        <w:rPr>
          <w:rFonts w:cs="Arial"/>
          <w:sz w:val="32"/>
          <w:szCs w:val="32"/>
        </w:rPr>
      </w:pPr>
      <w:bookmarkStart w:id="38" w:name="_Toc368573039"/>
      <w:bookmarkStart w:id="39" w:name="_Toc159329822"/>
      <w:r w:rsidRPr="001A45DF">
        <w:rPr>
          <w:rFonts w:cs="Arial"/>
          <w:sz w:val="32"/>
          <w:szCs w:val="32"/>
        </w:rPr>
        <w:t>service levels and performance</w:t>
      </w:r>
      <w:bookmarkEnd w:id="38"/>
      <w:bookmarkEnd w:id="39"/>
    </w:p>
    <w:p w14:paraId="52F58FE7" w14:textId="77777777" w:rsidR="00941079" w:rsidRPr="007437E6" w:rsidRDefault="00941079" w:rsidP="00941079">
      <w:pPr>
        <w:pStyle w:val="Bodycopy"/>
      </w:pPr>
    </w:p>
    <w:p w14:paraId="319E61C4" w14:textId="77777777" w:rsidR="00941079" w:rsidRPr="007437E6" w:rsidRDefault="00941079" w:rsidP="00941079">
      <w:pPr>
        <w:autoSpaceDE w:val="0"/>
        <w:autoSpaceDN w:val="0"/>
        <w:adjustRightInd w:val="0"/>
        <w:rPr>
          <w:rFonts w:cs="Arial"/>
          <w:color w:val="000000"/>
        </w:rPr>
      </w:pPr>
      <w:r w:rsidRPr="007437E6">
        <w:rPr>
          <w:rFonts w:cs="Arial"/>
          <w:color w:val="000000"/>
        </w:rPr>
        <w:t xml:space="preserve">The Customer will measure the quality of the Supplier’s delivery by completion of the milestones to the required standard, </w:t>
      </w:r>
      <w:r>
        <w:rPr>
          <w:rFonts w:cs="Arial"/>
          <w:color w:val="000000"/>
        </w:rPr>
        <w:t>(</w:t>
      </w:r>
      <w:r w:rsidRPr="007437E6">
        <w:rPr>
          <w:rFonts w:cs="Arial"/>
          <w:color w:val="000000"/>
        </w:rPr>
        <w:t>see Section 6</w:t>
      </w:r>
      <w:r>
        <w:rPr>
          <w:rFonts w:cs="Arial"/>
          <w:color w:val="000000"/>
        </w:rPr>
        <w:t>).</w:t>
      </w:r>
      <w:r w:rsidRPr="007437E6">
        <w:rPr>
          <w:rFonts w:cs="Arial"/>
          <w:color w:val="000000"/>
        </w:rPr>
        <w:t xml:space="preserve"> </w:t>
      </w:r>
    </w:p>
    <w:p w14:paraId="241975AB" w14:textId="77777777" w:rsidR="00941079" w:rsidRPr="007437E6" w:rsidRDefault="00941079" w:rsidP="00941079">
      <w:pPr>
        <w:autoSpaceDE w:val="0"/>
        <w:autoSpaceDN w:val="0"/>
        <w:adjustRightInd w:val="0"/>
        <w:rPr>
          <w:rFonts w:cs="Arial"/>
          <w:color w:val="000000"/>
        </w:rPr>
      </w:pPr>
    </w:p>
    <w:p w14:paraId="7FC3F650" w14:textId="57C6517D" w:rsidR="00941079" w:rsidRPr="007437E6" w:rsidRDefault="00941079" w:rsidP="00941079">
      <w:pPr>
        <w:autoSpaceDE w:val="0"/>
        <w:autoSpaceDN w:val="0"/>
        <w:adjustRightInd w:val="0"/>
        <w:rPr>
          <w:rFonts w:cs="Arial"/>
          <w:color w:val="000000"/>
        </w:rPr>
      </w:pPr>
      <w:r w:rsidRPr="007437E6">
        <w:rPr>
          <w:rFonts w:cs="Arial"/>
          <w:color w:val="000000"/>
        </w:rPr>
        <w:t xml:space="preserve">Performance of the Successful Supplier will be monitored through </w:t>
      </w:r>
      <w:r>
        <w:rPr>
          <w:rFonts w:cs="Arial"/>
          <w:color w:val="000000"/>
        </w:rPr>
        <w:t xml:space="preserve">regular </w:t>
      </w:r>
      <w:r w:rsidRPr="007437E6">
        <w:rPr>
          <w:rFonts w:cs="Arial"/>
          <w:color w:val="000000"/>
        </w:rPr>
        <w:t>review points to assess the quality of delivery against agreed targets. Poor performance will be subject to review and discussion with the Supplier. In cases of continued poor or unsatisfactory performance this could lead to early termination of the contract.</w:t>
      </w:r>
    </w:p>
    <w:p w14:paraId="1BCD490F" w14:textId="77777777" w:rsidR="00941079" w:rsidRPr="007437E6" w:rsidRDefault="00941079" w:rsidP="00941079">
      <w:pPr>
        <w:autoSpaceDE w:val="0"/>
        <w:autoSpaceDN w:val="0"/>
        <w:adjustRightInd w:val="0"/>
        <w:rPr>
          <w:rFonts w:cs="Arial"/>
        </w:rPr>
      </w:pPr>
    </w:p>
    <w:p w14:paraId="2D7890CD" w14:textId="7D023BFF" w:rsidR="00941079" w:rsidRPr="00E84FEA" w:rsidRDefault="00941079" w:rsidP="00941079">
      <w:pPr>
        <w:autoSpaceDE w:val="0"/>
        <w:autoSpaceDN w:val="0"/>
        <w:adjustRightInd w:val="0"/>
        <w:rPr>
          <w:rFonts w:cs="Arial"/>
          <w:color w:val="000000"/>
        </w:rPr>
      </w:pPr>
      <w:r w:rsidRPr="656DCA18">
        <w:rPr>
          <w:rFonts w:cs="Arial"/>
          <w:color w:val="000000" w:themeColor="text1"/>
        </w:rPr>
        <w:t>The Supplier will be required to attend</w:t>
      </w:r>
      <w:r w:rsidR="002A6B5D">
        <w:rPr>
          <w:rFonts w:cs="Arial"/>
          <w:color w:val="000000" w:themeColor="text1"/>
        </w:rPr>
        <w:t xml:space="preserve"> weekly or biweekly</w:t>
      </w:r>
      <w:r w:rsidRPr="656DCA18">
        <w:rPr>
          <w:rFonts w:cs="Arial"/>
          <w:color w:val="000000" w:themeColor="text1"/>
        </w:rPr>
        <w:t xml:space="preserve"> meetings via video conference or in person with the Customer to discuss performance and provide opportunity to improve in any areas of underperformance. </w:t>
      </w:r>
    </w:p>
    <w:p w14:paraId="0557E5D6" w14:textId="77777777" w:rsidR="00941079" w:rsidRPr="00E84FEA" w:rsidRDefault="00941079" w:rsidP="00941079">
      <w:pPr>
        <w:autoSpaceDE w:val="0"/>
        <w:autoSpaceDN w:val="0"/>
        <w:adjustRightInd w:val="0"/>
        <w:rPr>
          <w:rFonts w:cs="Arial"/>
          <w:color w:val="000000"/>
        </w:rPr>
      </w:pPr>
    </w:p>
    <w:p w14:paraId="181902A9" w14:textId="77777777" w:rsidR="00941079" w:rsidRPr="00E84FEA" w:rsidRDefault="00941079" w:rsidP="00941079">
      <w:pPr>
        <w:autoSpaceDE w:val="0"/>
        <w:autoSpaceDN w:val="0"/>
        <w:adjustRightInd w:val="0"/>
        <w:rPr>
          <w:rFonts w:cs="Arial"/>
          <w:color w:val="000000"/>
        </w:rPr>
      </w:pPr>
      <w:r w:rsidRPr="00E84FEA">
        <w:rPr>
          <w:rFonts w:cs="Arial"/>
          <w:color w:val="000000"/>
        </w:rPr>
        <w:t xml:space="preserve">The Customer require Potential Providers to set out their quality assurance plans for the Contract, clearly describing how they will ensure that any work requires the minimum of re-drafting. </w:t>
      </w:r>
    </w:p>
    <w:p w14:paraId="1287BE8D" w14:textId="77777777" w:rsidR="00941079" w:rsidRPr="00B959B6" w:rsidRDefault="00941079" w:rsidP="00941079">
      <w:pPr>
        <w:autoSpaceDE w:val="0"/>
        <w:autoSpaceDN w:val="0"/>
        <w:adjustRightInd w:val="0"/>
        <w:rPr>
          <w:rFonts w:cs="Arial"/>
          <w:color w:val="000000"/>
          <w:highlight w:val="yellow"/>
        </w:rPr>
      </w:pPr>
    </w:p>
    <w:p w14:paraId="7CA5E0B0" w14:textId="77777777" w:rsidR="00941079" w:rsidRPr="00E84FEA" w:rsidRDefault="00941079" w:rsidP="00941079">
      <w:pPr>
        <w:autoSpaceDE w:val="0"/>
        <w:autoSpaceDN w:val="0"/>
        <w:adjustRightInd w:val="0"/>
        <w:rPr>
          <w:rFonts w:cs="Arial"/>
        </w:rPr>
      </w:pPr>
      <w:r w:rsidRPr="00E84FEA">
        <w:rPr>
          <w:rFonts w:cs="Arial"/>
        </w:rPr>
        <w:t xml:space="preserve">Where the Customer identifies poor performance, the Supplier shall be required to attend a performance review meeting. The performance review meeting shall be at an agreed time no later than 5 working days from the date of the notification. </w:t>
      </w:r>
    </w:p>
    <w:p w14:paraId="02A9CC5B" w14:textId="77777777" w:rsidR="00941079" w:rsidRPr="00E84FEA" w:rsidRDefault="00941079" w:rsidP="00941079">
      <w:pPr>
        <w:autoSpaceDE w:val="0"/>
        <w:autoSpaceDN w:val="0"/>
        <w:adjustRightInd w:val="0"/>
        <w:rPr>
          <w:rFonts w:cs="Arial"/>
        </w:rPr>
      </w:pPr>
    </w:p>
    <w:p w14:paraId="471181D2" w14:textId="77777777" w:rsidR="00941079" w:rsidRPr="00E84FEA" w:rsidRDefault="00941079" w:rsidP="00941079">
      <w:pPr>
        <w:autoSpaceDE w:val="0"/>
        <w:autoSpaceDN w:val="0"/>
        <w:adjustRightInd w:val="0"/>
        <w:rPr>
          <w:rFonts w:cs="Arial"/>
        </w:rPr>
      </w:pPr>
      <w:r w:rsidRPr="00E84FEA">
        <w:rPr>
          <w:rFonts w:cs="Arial"/>
        </w:rPr>
        <w:t xml:space="preserve">The Supplier will be required to prepare a full and robust service improvement action plan which sets out its proposals to remedy the service failure. The Supplier shall also supply a robust escalation procedure. </w:t>
      </w:r>
    </w:p>
    <w:p w14:paraId="05AE2911" w14:textId="77777777" w:rsidR="00941079" w:rsidRPr="00E84FEA" w:rsidRDefault="00941079" w:rsidP="00941079">
      <w:pPr>
        <w:autoSpaceDE w:val="0"/>
        <w:autoSpaceDN w:val="0"/>
        <w:adjustRightInd w:val="0"/>
        <w:rPr>
          <w:rFonts w:cs="Arial"/>
        </w:rPr>
      </w:pPr>
    </w:p>
    <w:p w14:paraId="056A1824" w14:textId="77777777" w:rsidR="00941079" w:rsidRPr="00E84FEA" w:rsidRDefault="00941079" w:rsidP="00941079">
      <w:pPr>
        <w:autoSpaceDE w:val="0"/>
        <w:autoSpaceDN w:val="0"/>
        <w:adjustRightInd w:val="0"/>
        <w:rPr>
          <w:rFonts w:cs="Arial"/>
        </w:rPr>
      </w:pPr>
      <w:r w:rsidRPr="00E84FEA">
        <w:rPr>
          <w:rFonts w:cs="Arial"/>
        </w:rPr>
        <w:t xml:space="preserve">The Customer will work with the Supplier to resolve service failure issues. However, it will remain the Suppliers sole responsibility to resolve any service failure issues. </w:t>
      </w:r>
    </w:p>
    <w:p w14:paraId="522CE1F0" w14:textId="77777777" w:rsidR="00941079" w:rsidRPr="00E84FEA" w:rsidRDefault="00941079" w:rsidP="00941079">
      <w:pPr>
        <w:autoSpaceDE w:val="0"/>
        <w:autoSpaceDN w:val="0"/>
        <w:adjustRightInd w:val="0"/>
        <w:rPr>
          <w:rFonts w:cs="Arial"/>
        </w:rPr>
      </w:pPr>
    </w:p>
    <w:p w14:paraId="1EE48B42" w14:textId="77777777" w:rsidR="00941079" w:rsidRDefault="00941079" w:rsidP="00941079">
      <w:pPr>
        <w:autoSpaceDE w:val="0"/>
        <w:autoSpaceDN w:val="0"/>
        <w:adjustRightInd w:val="0"/>
        <w:rPr>
          <w:rFonts w:cs="Arial"/>
        </w:rPr>
      </w:pPr>
      <w:r w:rsidRPr="00E84FEA">
        <w:rPr>
          <w:rFonts w:cs="Arial"/>
        </w:rPr>
        <w:t xml:space="preserve">The Supplier is responsible for the performance of the Contract by any sub-contractors or agents working on behalf of the Supplier. </w:t>
      </w:r>
    </w:p>
    <w:p w14:paraId="15C5F233" w14:textId="294069E1" w:rsidR="00671798" w:rsidRPr="001A45DF" w:rsidRDefault="00FE18AC" w:rsidP="00941079">
      <w:pPr>
        <w:pStyle w:val="Heading2"/>
        <w:numPr>
          <w:ilvl w:val="0"/>
          <w:numId w:val="0"/>
        </w:numPr>
        <w:tabs>
          <w:tab w:val="num" w:pos="862"/>
        </w:tabs>
        <w:overflowPunct w:val="0"/>
        <w:autoSpaceDE w:val="0"/>
        <w:autoSpaceDN w:val="0"/>
        <w:spacing w:after="120"/>
        <w:ind w:left="720" w:hanging="720"/>
        <w:textAlignment w:val="baseline"/>
        <w:rPr>
          <w:sz w:val="24"/>
          <w:szCs w:val="24"/>
        </w:rPr>
      </w:pPr>
      <w:r w:rsidRPr="001A45DF">
        <w:rPr>
          <w:sz w:val="24"/>
          <w:szCs w:val="24"/>
        </w:rPr>
        <w:t>The Authority will measure the quality of the Supplier’s delivery by:</w:t>
      </w:r>
    </w:p>
    <w:tbl>
      <w:tblPr>
        <w:tblStyle w:val="TableGrid"/>
        <w:tblW w:w="9056" w:type="dxa"/>
        <w:tblInd w:w="-5" w:type="dxa"/>
        <w:tblLook w:val="04A0" w:firstRow="1" w:lastRow="0" w:firstColumn="1" w:lastColumn="0" w:noHBand="0" w:noVBand="1"/>
      </w:tblPr>
      <w:tblGrid>
        <w:gridCol w:w="1124"/>
        <w:gridCol w:w="2177"/>
        <w:gridCol w:w="1498"/>
        <w:gridCol w:w="3347"/>
        <w:gridCol w:w="910"/>
      </w:tblGrid>
      <w:tr w:rsidR="00484ACF" w14:paraId="1D82B23D" w14:textId="77777777" w:rsidTr="00941079">
        <w:tc>
          <w:tcPr>
            <w:tcW w:w="1124" w:type="dxa"/>
            <w:shd w:val="clear" w:color="auto" w:fill="DBE5F1" w:themeFill="accent1" w:themeFillTint="33"/>
          </w:tcPr>
          <w:p w14:paraId="4E16E6B9" w14:textId="29E5F590" w:rsidR="00941079" w:rsidRPr="00D15A47" w:rsidRDefault="00941079" w:rsidP="00D15A47">
            <w:pPr>
              <w:pStyle w:val="Heading2"/>
              <w:numPr>
                <w:ilvl w:val="0"/>
                <w:numId w:val="0"/>
              </w:numPr>
              <w:jc w:val="left"/>
              <w:rPr>
                <w:szCs w:val="22"/>
              </w:rPr>
            </w:pPr>
            <w:r w:rsidRPr="00D15A47">
              <w:rPr>
                <w:szCs w:val="22"/>
              </w:rPr>
              <w:t>KPI/SLA</w:t>
            </w:r>
          </w:p>
        </w:tc>
        <w:tc>
          <w:tcPr>
            <w:tcW w:w="2177" w:type="dxa"/>
            <w:shd w:val="clear" w:color="auto" w:fill="DBE5F1" w:themeFill="accent1" w:themeFillTint="33"/>
          </w:tcPr>
          <w:p w14:paraId="6DF79731" w14:textId="26B9BEA7" w:rsidR="00941079" w:rsidRPr="00D15A47" w:rsidRDefault="00D15A47" w:rsidP="00D15A47">
            <w:pPr>
              <w:pStyle w:val="Heading2"/>
              <w:numPr>
                <w:ilvl w:val="0"/>
                <w:numId w:val="0"/>
              </w:numPr>
              <w:jc w:val="left"/>
              <w:rPr>
                <w:szCs w:val="22"/>
              </w:rPr>
            </w:pPr>
            <w:r>
              <w:rPr>
                <w:szCs w:val="22"/>
              </w:rPr>
              <w:t xml:space="preserve">Service Area </w:t>
            </w:r>
          </w:p>
        </w:tc>
        <w:tc>
          <w:tcPr>
            <w:tcW w:w="1498" w:type="dxa"/>
            <w:shd w:val="clear" w:color="auto" w:fill="DBE5F1" w:themeFill="accent1" w:themeFillTint="33"/>
          </w:tcPr>
          <w:p w14:paraId="5F9E1BA6" w14:textId="459B32C5" w:rsidR="00941079" w:rsidRPr="00D15A47" w:rsidRDefault="00941079" w:rsidP="00D15A47">
            <w:pPr>
              <w:pStyle w:val="Heading2"/>
              <w:numPr>
                <w:ilvl w:val="0"/>
                <w:numId w:val="0"/>
              </w:numPr>
              <w:jc w:val="left"/>
              <w:rPr>
                <w:szCs w:val="22"/>
              </w:rPr>
            </w:pPr>
            <w:r w:rsidRPr="00D15A47">
              <w:rPr>
                <w:szCs w:val="22"/>
              </w:rPr>
              <w:t>Timeframe</w:t>
            </w:r>
          </w:p>
        </w:tc>
        <w:tc>
          <w:tcPr>
            <w:tcW w:w="3347" w:type="dxa"/>
            <w:shd w:val="clear" w:color="auto" w:fill="DBE5F1" w:themeFill="accent1" w:themeFillTint="33"/>
          </w:tcPr>
          <w:p w14:paraId="4F97A458" w14:textId="14CFE965" w:rsidR="00941079" w:rsidRPr="00D15A47" w:rsidRDefault="00941079" w:rsidP="00D15A47">
            <w:pPr>
              <w:pStyle w:val="Heading2"/>
              <w:numPr>
                <w:ilvl w:val="0"/>
                <w:numId w:val="0"/>
              </w:numPr>
              <w:jc w:val="left"/>
              <w:rPr>
                <w:szCs w:val="22"/>
              </w:rPr>
            </w:pPr>
            <w:r w:rsidRPr="00D15A47">
              <w:rPr>
                <w:szCs w:val="22"/>
              </w:rPr>
              <w:t>KPI/SLA description</w:t>
            </w:r>
          </w:p>
        </w:tc>
        <w:tc>
          <w:tcPr>
            <w:tcW w:w="910" w:type="dxa"/>
            <w:shd w:val="clear" w:color="auto" w:fill="DBE5F1" w:themeFill="accent1" w:themeFillTint="33"/>
          </w:tcPr>
          <w:p w14:paraId="0788932C" w14:textId="07398BA8" w:rsidR="00941079" w:rsidRPr="00D15A47" w:rsidRDefault="00941079" w:rsidP="00D15A47">
            <w:pPr>
              <w:pStyle w:val="Heading2"/>
              <w:numPr>
                <w:ilvl w:val="0"/>
                <w:numId w:val="0"/>
              </w:numPr>
              <w:jc w:val="left"/>
              <w:rPr>
                <w:szCs w:val="22"/>
              </w:rPr>
            </w:pPr>
            <w:r w:rsidRPr="00D15A47">
              <w:rPr>
                <w:szCs w:val="22"/>
              </w:rPr>
              <w:t>Target</w:t>
            </w:r>
          </w:p>
        </w:tc>
      </w:tr>
      <w:tr w:rsidR="00941079" w14:paraId="136B0B88" w14:textId="77777777" w:rsidTr="00941079">
        <w:tc>
          <w:tcPr>
            <w:tcW w:w="1124" w:type="dxa"/>
          </w:tcPr>
          <w:p w14:paraId="39FC8AED" w14:textId="303CF9DF" w:rsidR="00941079" w:rsidRPr="00D15A47" w:rsidRDefault="00941079" w:rsidP="00D15A47">
            <w:pPr>
              <w:pStyle w:val="Heading2"/>
              <w:numPr>
                <w:ilvl w:val="0"/>
                <w:numId w:val="0"/>
              </w:numPr>
              <w:jc w:val="left"/>
              <w:rPr>
                <w:szCs w:val="22"/>
              </w:rPr>
            </w:pPr>
            <w:r w:rsidRPr="00D15A47">
              <w:rPr>
                <w:szCs w:val="22"/>
              </w:rPr>
              <w:t>1</w:t>
            </w:r>
          </w:p>
        </w:tc>
        <w:tc>
          <w:tcPr>
            <w:tcW w:w="2177" w:type="dxa"/>
          </w:tcPr>
          <w:p w14:paraId="3CD55390" w14:textId="00A3CF29" w:rsidR="00941079" w:rsidRPr="00D15A47" w:rsidRDefault="00941079" w:rsidP="00D15A47">
            <w:pPr>
              <w:pStyle w:val="Heading2"/>
              <w:numPr>
                <w:ilvl w:val="0"/>
                <w:numId w:val="0"/>
              </w:numPr>
              <w:jc w:val="left"/>
              <w:rPr>
                <w:szCs w:val="22"/>
                <w:highlight w:val="yellow"/>
              </w:rPr>
            </w:pPr>
            <w:r w:rsidRPr="00D15A47">
              <w:rPr>
                <w:szCs w:val="22"/>
              </w:rPr>
              <w:t>Quality/Timeliness</w:t>
            </w:r>
          </w:p>
        </w:tc>
        <w:tc>
          <w:tcPr>
            <w:tcW w:w="1498" w:type="dxa"/>
          </w:tcPr>
          <w:p w14:paraId="286A8BDA" w14:textId="35D5B7C4" w:rsidR="00941079" w:rsidRPr="00D15A47" w:rsidRDefault="00941079" w:rsidP="00D15A47">
            <w:pPr>
              <w:pStyle w:val="Heading2"/>
              <w:numPr>
                <w:ilvl w:val="0"/>
                <w:numId w:val="0"/>
              </w:numPr>
              <w:jc w:val="left"/>
              <w:rPr>
                <w:szCs w:val="22"/>
              </w:rPr>
            </w:pPr>
            <w:r w:rsidRPr="00D15A47">
              <w:rPr>
                <w:szCs w:val="22"/>
              </w:rPr>
              <w:t>April 2024</w:t>
            </w:r>
          </w:p>
        </w:tc>
        <w:tc>
          <w:tcPr>
            <w:tcW w:w="3347" w:type="dxa"/>
          </w:tcPr>
          <w:p w14:paraId="7D9F2A36" w14:textId="77777777" w:rsidR="00941079" w:rsidRPr="00D15A47" w:rsidRDefault="00941079" w:rsidP="00D15A47">
            <w:pPr>
              <w:pStyle w:val="Heading2"/>
              <w:numPr>
                <w:ilvl w:val="0"/>
                <w:numId w:val="0"/>
              </w:numPr>
              <w:jc w:val="left"/>
              <w:rPr>
                <w:szCs w:val="22"/>
              </w:rPr>
            </w:pPr>
            <w:r w:rsidRPr="00D15A47">
              <w:rPr>
                <w:szCs w:val="22"/>
              </w:rPr>
              <w:t xml:space="preserve">Project Initiation Document </w:t>
            </w:r>
          </w:p>
          <w:p w14:paraId="5E235B04" w14:textId="77777777" w:rsidR="00941079" w:rsidRPr="00D15A47" w:rsidRDefault="00941079" w:rsidP="00D15A47">
            <w:pPr>
              <w:pStyle w:val="NoSpacing"/>
              <w:jc w:val="left"/>
              <w:rPr>
                <w:rFonts w:ascii="Arial" w:hAnsi="Arial" w:cs="Arial"/>
              </w:rPr>
            </w:pPr>
            <w:r w:rsidRPr="00D15A47">
              <w:rPr>
                <w:rFonts w:ascii="Arial" w:hAnsi="Arial" w:cs="Arial"/>
              </w:rPr>
              <w:t xml:space="preserve">Project plan of timings, </w:t>
            </w:r>
            <w:proofErr w:type="gramStart"/>
            <w:r w:rsidRPr="00D15A47">
              <w:rPr>
                <w:rFonts w:ascii="Arial" w:hAnsi="Arial" w:cs="Arial"/>
              </w:rPr>
              <w:t>resources</w:t>
            </w:r>
            <w:proofErr w:type="gramEnd"/>
            <w:r w:rsidRPr="00D15A47">
              <w:rPr>
                <w:rFonts w:ascii="Arial" w:hAnsi="Arial" w:cs="Arial"/>
              </w:rPr>
              <w:t xml:space="preserve"> and risk register to </w:t>
            </w:r>
            <w:r w:rsidRPr="00D15A47">
              <w:rPr>
                <w:rFonts w:ascii="Arial" w:hAnsi="Arial" w:cs="Arial"/>
              </w:rPr>
              <w:lastRenderedPageBreak/>
              <w:t>be produced by Supplier for agreement with the Authority.</w:t>
            </w:r>
          </w:p>
          <w:p w14:paraId="1A83F74D" w14:textId="721A7FA1" w:rsidR="00941079" w:rsidRPr="00D15A47" w:rsidRDefault="00941079" w:rsidP="00D15A47">
            <w:pPr>
              <w:pStyle w:val="Heading2"/>
              <w:numPr>
                <w:ilvl w:val="0"/>
                <w:numId w:val="0"/>
              </w:numPr>
              <w:jc w:val="left"/>
              <w:rPr>
                <w:szCs w:val="22"/>
              </w:rPr>
            </w:pPr>
          </w:p>
        </w:tc>
        <w:tc>
          <w:tcPr>
            <w:tcW w:w="910" w:type="dxa"/>
          </w:tcPr>
          <w:p w14:paraId="53B2F4ED" w14:textId="2E9D5B40" w:rsidR="00941079" w:rsidRPr="00D15A47" w:rsidRDefault="00941079" w:rsidP="00D15A47">
            <w:pPr>
              <w:pStyle w:val="Heading2"/>
              <w:numPr>
                <w:ilvl w:val="0"/>
                <w:numId w:val="0"/>
              </w:numPr>
              <w:jc w:val="left"/>
              <w:rPr>
                <w:szCs w:val="22"/>
              </w:rPr>
            </w:pPr>
            <w:r w:rsidRPr="00D15A47">
              <w:rPr>
                <w:szCs w:val="22"/>
              </w:rPr>
              <w:lastRenderedPageBreak/>
              <w:t>100%</w:t>
            </w:r>
          </w:p>
        </w:tc>
      </w:tr>
      <w:tr w:rsidR="00941079" w14:paraId="611A7437" w14:textId="77777777" w:rsidTr="00941079">
        <w:tc>
          <w:tcPr>
            <w:tcW w:w="1124" w:type="dxa"/>
          </w:tcPr>
          <w:p w14:paraId="0CA6154F" w14:textId="2E4A9E81" w:rsidR="00941079" w:rsidRPr="00D15A47" w:rsidRDefault="00941079" w:rsidP="00D15A47">
            <w:pPr>
              <w:pStyle w:val="Heading2"/>
              <w:numPr>
                <w:ilvl w:val="0"/>
                <w:numId w:val="0"/>
              </w:numPr>
              <w:jc w:val="left"/>
              <w:rPr>
                <w:szCs w:val="22"/>
              </w:rPr>
            </w:pPr>
            <w:r w:rsidRPr="00D15A47">
              <w:rPr>
                <w:szCs w:val="22"/>
              </w:rPr>
              <w:t>2</w:t>
            </w:r>
          </w:p>
        </w:tc>
        <w:tc>
          <w:tcPr>
            <w:tcW w:w="2177" w:type="dxa"/>
          </w:tcPr>
          <w:p w14:paraId="40DBF448" w14:textId="6D8C47B6" w:rsidR="00941079" w:rsidRPr="00D15A47" w:rsidRDefault="00941079" w:rsidP="00D15A47">
            <w:pPr>
              <w:pStyle w:val="Heading2"/>
              <w:numPr>
                <w:ilvl w:val="0"/>
                <w:numId w:val="0"/>
              </w:numPr>
              <w:jc w:val="left"/>
              <w:rPr>
                <w:szCs w:val="22"/>
              </w:rPr>
            </w:pPr>
            <w:r w:rsidRPr="00D15A47">
              <w:rPr>
                <w:szCs w:val="22"/>
              </w:rPr>
              <w:t>Quality/Timeliness</w:t>
            </w:r>
          </w:p>
        </w:tc>
        <w:tc>
          <w:tcPr>
            <w:tcW w:w="1498" w:type="dxa"/>
          </w:tcPr>
          <w:p w14:paraId="5A8C3451" w14:textId="61DF7820" w:rsidR="00941079" w:rsidRPr="00D15A47" w:rsidRDefault="00013264" w:rsidP="00D15A47">
            <w:pPr>
              <w:pStyle w:val="Heading2"/>
              <w:numPr>
                <w:ilvl w:val="0"/>
                <w:numId w:val="0"/>
              </w:numPr>
              <w:jc w:val="left"/>
              <w:rPr>
                <w:szCs w:val="22"/>
              </w:rPr>
            </w:pPr>
            <w:r>
              <w:rPr>
                <w:szCs w:val="22"/>
              </w:rPr>
              <w:t>April/</w:t>
            </w:r>
            <w:r w:rsidR="00941079" w:rsidRPr="00D15A47">
              <w:rPr>
                <w:szCs w:val="22"/>
              </w:rPr>
              <w:t>May 2024</w:t>
            </w:r>
          </w:p>
        </w:tc>
        <w:tc>
          <w:tcPr>
            <w:tcW w:w="3347" w:type="dxa"/>
          </w:tcPr>
          <w:p w14:paraId="40F0FEF3" w14:textId="4AD5A006" w:rsidR="00941079" w:rsidRPr="00D15A47" w:rsidRDefault="00B60B88" w:rsidP="00D15A47">
            <w:pPr>
              <w:pStyle w:val="Bodycopy"/>
              <w:jc w:val="left"/>
              <w:rPr>
                <w:sz w:val="22"/>
                <w:szCs w:val="22"/>
              </w:rPr>
            </w:pPr>
            <w:r w:rsidRPr="00D15A47">
              <w:rPr>
                <w:sz w:val="22"/>
                <w:szCs w:val="22"/>
              </w:rPr>
              <w:t>Begin</w:t>
            </w:r>
            <w:r w:rsidR="00941079" w:rsidRPr="00D15A47">
              <w:rPr>
                <w:sz w:val="22"/>
                <w:szCs w:val="22"/>
              </w:rPr>
              <w:t xml:space="preserve"> </w:t>
            </w:r>
            <w:r w:rsidRPr="00D15A47">
              <w:rPr>
                <w:sz w:val="22"/>
                <w:szCs w:val="22"/>
              </w:rPr>
              <w:t xml:space="preserve">wave 1 </w:t>
            </w:r>
            <w:r w:rsidR="00941079" w:rsidRPr="00D15A47">
              <w:rPr>
                <w:sz w:val="22"/>
                <w:szCs w:val="22"/>
              </w:rPr>
              <w:t xml:space="preserve">public/community survey </w:t>
            </w:r>
            <w:proofErr w:type="gramStart"/>
            <w:r w:rsidR="00941079" w:rsidRPr="00D15A47">
              <w:rPr>
                <w:sz w:val="22"/>
                <w:szCs w:val="22"/>
              </w:rPr>
              <w:t>fieldwork</w:t>
            </w:r>
            <w:proofErr w:type="gramEnd"/>
            <w:r w:rsidR="00941079" w:rsidRPr="00D15A47">
              <w:rPr>
                <w:sz w:val="22"/>
                <w:szCs w:val="22"/>
              </w:rPr>
              <w:t xml:space="preserve"> </w:t>
            </w:r>
          </w:p>
          <w:p w14:paraId="4FBFDF3E" w14:textId="78717D3A" w:rsidR="00941079" w:rsidRPr="00D15A47" w:rsidRDefault="00941079" w:rsidP="00D15A47">
            <w:pPr>
              <w:pStyle w:val="Bodycopy"/>
              <w:jc w:val="left"/>
              <w:rPr>
                <w:sz w:val="22"/>
                <w:szCs w:val="22"/>
              </w:rPr>
            </w:pPr>
          </w:p>
        </w:tc>
        <w:tc>
          <w:tcPr>
            <w:tcW w:w="910" w:type="dxa"/>
          </w:tcPr>
          <w:p w14:paraId="0EE422DF" w14:textId="4C078E7E" w:rsidR="00941079" w:rsidRPr="00D15A47" w:rsidRDefault="00941079" w:rsidP="00D15A47">
            <w:pPr>
              <w:pStyle w:val="Heading2"/>
              <w:numPr>
                <w:ilvl w:val="0"/>
                <w:numId w:val="0"/>
              </w:numPr>
              <w:jc w:val="left"/>
              <w:rPr>
                <w:szCs w:val="22"/>
              </w:rPr>
            </w:pPr>
            <w:r w:rsidRPr="00D15A47">
              <w:rPr>
                <w:szCs w:val="22"/>
              </w:rPr>
              <w:t>100%</w:t>
            </w:r>
          </w:p>
        </w:tc>
      </w:tr>
      <w:tr w:rsidR="00941079" w14:paraId="368A6710" w14:textId="77777777" w:rsidTr="00941079">
        <w:tc>
          <w:tcPr>
            <w:tcW w:w="1124" w:type="dxa"/>
          </w:tcPr>
          <w:p w14:paraId="4EE94C74" w14:textId="7FAF8111" w:rsidR="00941079" w:rsidRPr="00D15A47" w:rsidRDefault="00941079" w:rsidP="00D15A47">
            <w:pPr>
              <w:pStyle w:val="Heading2"/>
              <w:numPr>
                <w:ilvl w:val="0"/>
                <w:numId w:val="0"/>
              </w:numPr>
              <w:jc w:val="left"/>
              <w:rPr>
                <w:szCs w:val="22"/>
              </w:rPr>
            </w:pPr>
            <w:r w:rsidRPr="00D15A47">
              <w:rPr>
                <w:szCs w:val="22"/>
              </w:rPr>
              <w:t>3</w:t>
            </w:r>
          </w:p>
        </w:tc>
        <w:tc>
          <w:tcPr>
            <w:tcW w:w="2177" w:type="dxa"/>
          </w:tcPr>
          <w:p w14:paraId="4FD7BE8F" w14:textId="39A812F8" w:rsidR="00941079" w:rsidRPr="00D15A47" w:rsidRDefault="00941079" w:rsidP="00D15A47">
            <w:pPr>
              <w:pStyle w:val="Heading2"/>
              <w:numPr>
                <w:ilvl w:val="0"/>
                <w:numId w:val="0"/>
              </w:numPr>
              <w:jc w:val="left"/>
              <w:rPr>
                <w:szCs w:val="22"/>
              </w:rPr>
            </w:pPr>
            <w:r w:rsidRPr="00D15A47">
              <w:rPr>
                <w:szCs w:val="22"/>
              </w:rPr>
              <w:t>Quality/Timeliness</w:t>
            </w:r>
          </w:p>
        </w:tc>
        <w:tc>
          <w:tcPr>
            <w:tcW w:w="1498" w:type="dxa"/>
          </w:tcPr>
          <w:p w14:paraId="6726DC40" w14:textId="5A4DC984" w:rsidR="00941079" w:rsidRPr="00D15A47" w:rsidRDefault="00B60B88" w:rsidP="00D15A47">
            <w:pPr>
              <w:pStyle w:val="Heading2"/>
              <w:numPr>
                <w:ilvl w:val="0"/>
                <w:numId w:val="0"/>
              </w:numPr>
              <w:jc w:val="left"/>
              <w:rPr>
                <w:szCs w:val="22"/>
              </w:rPr>
            </w:pPr>
            <w:r w:rsidRPr="00D15A47">
              <w:rPr>
                <w:szCs w:val="22"/>
              </w:rPr>
              <w:t>To be agreed with successful supplier</w:t>
            </w:r>
          </w:p>
        </w:tc>
        <w:tc>
          <w:tcPr>
            <w:tcW w:w="3347" w:type="dxa"/>
          </w:tcPr>
          <w:p w14:paraId="6525EF34" w14:textId="72F91481" w:rsidR="00941079" w:rsidRPr="00D15A47" w:rsidRDefault="00B60B88" w:rsidP="00D15A47">
            <w:pPr>
              <w:pStyle w:val="Bodycopy"/>
              <w:jc w:val="left"/>
              <w:rPr>
                <w:sz w:val="22"/>
                <w:szCs w:val="22"/>
              </w:rPr>
            </w:pPr>
            <w:r w:rsidRPr="00D15A47">
              <w:rPr>
                <w:sz w:val="22"/>
                <w:szCs w:val="22"/>
              </w:rPr>
              <w:t>Deliver w</w:t>
            </w:r>
            <w:r w:rsidR="00941079" w:rsidRPr="00D15A47">
              <w:rPr>
                <w:sz w:val="22"/>
                <w:szCs w:val="22"/>
              </w:rPr>
              <w:t xml:space="preserve">ave 1 </w:t>
            </w:r>
            <w:r w:rsidRPr="00D15A47">
              <w:rPr>
                <w:sz w:val="22"/>
                <w:szCs w:val="22"/>
              </w:rPr>
              <w:t>i</w:t>
            </w:r>
            <w:r w:rsidR="00941079" w:rsidRPr="00D15A47">
              <w:rPr>
                <w:sz w:val="22"/>
                <w:szCs w:val="22"/>
              </w:rPr>
              <w:t xml:space="preserve">mpact and process related qualitative </w:t>
            </w:r>
            <w:proofErr w:type="gramStart"/>
            <w:r w:rsidR="00941079" w:rsidRPr="00D15A47">
              <w:rPr>
                <w:sz w:val="22"/>
                <w:szCs w:val="22"/>
              </w:rPr>
              <w:t>fieldwork</w:t>
            </w:r>
            <w:proofErr w:type="gramEnd"/>
            <w:r w:rsidR="00941079" w:rsidRPr="00D15A47">
              <w:rPr>
                <w:sz w:val="22"/>
                <w:szCs w:val="22"/>
              </w:rPr>
              <w:t xml:space="preserve"> </w:t>
            </w:r>
          </w:p>
          <w:p w14:paraId="58DC627C" w14:textId="77777777" w:rsidR="00941079" w:rsidRPr="00D15A47" w:rsidRDefault="00941079" w:rsidP="00D15A47">
            <w:pPr>
              <w:pStyle w:val="Heading2"/>
              <w:numPr>
                <w:ilvl w:val="0"/>
                <w:numId w:val="0"/>
              </w:numPr>
              <w:jc w:val="left"/>
              <w:rPr>
                <w:szCs w:val="22"/>
              </w:rPr>
            </w:pPr>
          </w:p>
        </w:tc>
        <w:tc>
          <w:tcPr>
            <w:tcW w:w="910" w:type="dxa"/>
          </w:tcPr>
          <w:p w14:paraId="19BB03B8" w14:textId="5E51346C" w:rsidR="00941079" w:rsidRPr="00D15A47" w:rsidRDefault="00B60B88" w:rsidP="00D15A47">
            <w:pPr>
              <w:pStyle w:val="Heading2"/>
              <w:numPr>
                <w:ilvl w:val="0"/>
                <w:numId w:val="0"/>
              </w:numPr>
              <w:jc w:val="left"/>
              <w:rPr>
                <w:szCs w:val="22"/>
              </w:rPr>
            </w:pPr>
            <w:r w:rsidRPr="00D15A47">
              <w:rPr>
                <w:szCs w:val="22"/>
              </w:rPr>
              <w:t>100%</w:t>
            </w:r>
          </w:p>
        </w:tc>
      </w:tr>
      <w:tr w:rsidR="00D15A47" w14:paraId="69ECF5CB" w14:textId="77777777">
        <w:tc>
          <w:tcPr>
            <w:tcW w:w="1124" w:type="dxa"/>
          </w:tcPr>
          <w:p w14:paraId="76A093A5" w14:textId="0AF770F3" w:rsidR="00D15A47" w:rsidRPr="00D15A47" w:rsidRDefault="00D15A47" w:rsidP="00D15A47">
            <w:pPr>
              <w:pStyle w:val="Heading2"/>
              <w:numPr>
                <w:ilvl w:val="0"/>
                <w:numId w:val="0"/>
              </w:numPr>
              <w:jc w:val="left"/>
              <w:rPr>
                <w:szCs w:val="22"/>
              </w:rPr>
            </w:pPr>
            <w:r w:rsidRPr="00D15A47">
              <w:rPr>
                <w:szCs w:val="22"/>
              </w:rPr>
              <w:t>4</w:t>
            </w:r>
          </w:p>
        </w:tc>
        <w:tc>
          <w:tcPr>
            <w:tcW w:w="2177" w:type="dxa"/>
          </w:tcPr>
          <w:p w14:paraId="48BE99F1" w14:textId="7FEC85B0" w:rsidR="00D15A47" w:rsidRPr="00D15A47" w:rsidRDefault="00D15A47" w:rsidP="00D15A47">
            <w:pPr>
              <w:pStyle w:val="Heading2"/>
              <w:numPr>
                <w:ilvl w:val="0"/>
                <w:numId w:val="0"/>
              </w:numPr>
              <w:jc w:val="left"/>
              <w:rPr>
                <w:szCs w:val="22"/>
              </w:rPr>
            </w:pPr>
            <w:r w:rsidRPr="00D15A47">
              <w:rPr>
                <w:szCs w:val="22"/>
              </w:rPr>
              <w:t>Quality/Timeliness</w:t>
            </w:r>
          </w:p>
        </w:tc>
        <w:tc>
          <w:tcPr>
            <w:tcW w:w="1498" w:type="dxa"/>
          </w:tcPr>
          <w:p w14:paraId="094D220C" w14:textId="3F99E18C" w:rsidR="00D15A47" w:rsidRPr="00D15A47" w:rsidRDefault="00013264" w:rsidP="00D15A47">
            <w:pPr>
              <w:pStyle w:val="Heading2"/>
              <w:numPr>
                <w:ilvl w:val="0"/>
                <w:numId w:val="0"/>
              </w:numPr>
              <w:jc w:val="left"/>
              <w:rPr>
                <w:szCs w:val="22"/>
              </w:rPr>
            </w:pPr>
            <w:r>
              <w:rPr>
                <w:szCs w:val="22"/>
              </w:rPr>
              <w:t>October</w:t>
            </w:r>
            <w:r w:rsidR="00D15A47">
              <w:rPr>
                <w:szCs w:val="22"/>
              </w:rPr>
              <w:t xml:space="preserve"> 202</w:t>
            </w:r>
            <w:r>
              <w:rPr>
                <w:szCs w:val="22"/>
              </w:rPr>
              <w:t>4</w:t>
            </w:r>
          </w:p>
        </w:tc>
        <w:tc>
          <w:tcPr>
            <w:tcW w:w="3347" w:type="dxa"/>
            <w:vAlign w:val="center"/>
          </w:tcPr>
          <w:p w14:paraId="3EA38B6D" w14:textId="77777777" w:rsidR="00D15A47" w:rsidRPr="00D15A47" w:rsidRDefault="00D15A47" w:rsidP="00D15A47">
            <w:pPr>
              <w:pStyle w:val="Bodycopy"/>
              <w:jc w:val="left"/>
              <w:rPr>
                <w:sz w:val="22"/>
                <w:szCs w:val="22"/>
              </w:rPr>
            </w:pPr>
            <w:r w:rsidRPr="00D15A47">
              <w:rPr>
                <w:sz w:val="22"/>
                <w:szCs w:val="22"/>
              </w:rPr>
              <w:t xml:space="preserve">Interim findings report / slide deck and associated debrief (December 2024) </w:t>
            </w:r>
          </w:p>
          <w:p w14:paraId="6F1FD8A2" w14:textId="77777777" w:rsidR="00D15A47" w:rsidRPr="00D15A47" w:rsidRDefault="00D15A47" w:rsidP="00D15A47">
            <w:pPr>
              <w:pStyle w:val="Heading2"/>
              <w:numPr>
                <w:ilvl w:val="0"/>
                <w:numId w:val="0"/>
              </w:numPr>
              <w:jc w:val="left"/>
              <w:rPr>
                <w:szCs w:val="22"/>
              </w:rPr>
            </w:pPr>
          </w:p>
        </w:tc>
        <w:tc>
          <w:tcPr>
            <w:tcW w:w="910" w:type="dxa"/>
          </w:tcPr>
          <w:p w14:paraId="33C6BA7C" w14:textId="592CEED7" w:rsidR="00D15A47" w:rsidRPr="00D15A47" w:rsidRDefault="00D15A47" w:rsidP="00D15A47">
            <w:pPr>
              <w:pStyle w:val="Heading2"/>
              <w:numPr>
                <w:ilvl w:val="0"/>
                <w:numId w:val="0"/>
              </w:numPr>
              <w:jc w:val="left"/>
              <w:rPr>
                <w:szCs w:val="22"/>
              </w:rPr>
            </w:pPr>
            <w:r w:rsidRPr="00490BAD">
              <w:rPr>
                <w:szCs w:val="22"/>
              </w:rPr>
              <w:t>100%</w:t>
            </w:r>
          </w:p>
        </w:tc>
      </w:tr>
      <w:tr w:rsidR="00D15A47" w14:paraId="5C97CD01" w14:textId="77777777">
        <w:tc>
          <w:tcPr>
            <w:tcW w:w="1124" w:type="dxa"/>
          </w:tcPr>
          <w:p w14:paraId="429E6947" w14:textId="51B4D2D9" w:rsidR="00D15A47" w:rsidRPr="00D15A47" w:rsidRDefault="00D15A47" w:rsidP="00D15A47">
            <w:pPr>
              <w:pStyle w:val="Heading2"/>
              <w:numPr>
                <w:ilvl w:val="0"/>
                <w:numId w:val="0"/>
              </w:numPr>
              <w:jc w:val="left"/>
              <w:rPr>
                <w:szCs w:val="22"/>
              </w:rPr>
            </w:pPr>
            <w:r w:rsidRPr="00D15A47">
              <w:rPr>
                <w:szCs w:val="22"/>
              </w:rPr>
              <w:t>5</w:t>
            </w:r>
          </w:p>
        </w:tc>
        <w:tc>
          <w:tcPr>
            <w:tcW w:w="2177" w:type="dxa"/>
          </w:tcPr>
          <w:p w14:paraId="39FA2338" w14:textId="2FD1A9B9" w:rsidR="00D15A47" w:rsidRPr="00D15A47" w:rsidRDefault="00D15A47" w:rsidP="00D15A47">
            <w:pPr>
              <w:pStyle w:val="Heading2"/>
              <w:numPr>
                <w:ilvl w:val="0"/>
                <w:numId w:val="0"/>
              </w:numPr>
              <w:jc w:val="left"/>
              <w:rPr>
                <w:szCs w:val="22"/>
              </w:rPr>
            </w:pPr>
            <w:r w:rsidRPr="00D15A47">
              <w:rPr>
                <w:szCs w:val="22"/>
              </w:rPr>
              <w:t>Quality/Timeliness</w:t>
            </w:r>
          </w:p>
        </w:tc>
        <w:tc>
          <w:tcPr>
            <w:tcW w:w="1498" w:type="dxa"/>
          </w:tcPr>
          <w:p w14:paraId="52399E49" w14:textId="1C76CADF" w:rsidR="00D15A47" w:rsidRPr="00D15A47" w:rsidRDefault="00013264" w:rsidP="00D15A47">
            <w:pPr>
              <w:pStyle w:val="Heading2"/>
              <w:numPr>
                <w:ilvl w:val="0"/>
                <w:numId w:val="0"/>
              </w:numPr>
              <w:jc w:val="left"/>
              <w:rPr>
                <w:szCs w:val="22"/>
              </w:rPr>
            </w:pPr>
            <w:r w:rsidRPr="00D15A47">
              <w:rPr>
                <w:szCs w:val="22"/>
              </w:rPr>
              <w:t>To be agreed with successful supplier</w:t>
            </w:r>
          </w:p>
        </w:tc>
        <w:tc>
          <w:tcPr>
            <w:tcW w:w="3347" w:type="dxa"/>
            <w:vAlign w:val="center"/>
          </w:tcPr>
          <w:p w14:paraId="6BC70433" w14:textId="7A31F363" w:rsidR="00D15A47" w:rsidRPr="00D15A47" w:rsidRDefault="00D15A47" w:rsidP="00D15A47">
            <w:pPr>
              <w:pStyle w:val="Bodycopy"/>
              <w:jc w:val="left"/>
              <w:rPr>
                <w:sz w:val="22"/>
                <w:szCs w:val="22"/>
              </w:rPr>
            </w:pPr>
            <w:r w:rsidRPr="00D15A47">
              <w:rPr>
                <w:sz w:val="22"/>
                <w:szCs w:val="22"/>
              </w:rPr>
              <w:t xml:space="preserve">Begin wave 2 public/community survey </w:t>
            </w:r>
            <w:proofErr w:type="gramStart"/>
            <w:r w:rsidRPr="00D15A47">
              <w:rPr>
                <w:sz w:val="22"/>
                <w:szCs w:val="22"/>
              </w:rPr>
              <w:t>fieldwork</w:t>
            </w:r>
            <w:proofErr w:type="gramEnd"/>
            <w:r w:rsidRPr="00D15A47">
              <w:rPr>
                <w:sz w:val="22"/>
                <w:szCs w:val="22"/>
              </w:rPr>
              <w:t xml:space="preserve"> </w:t>
            </w:r>
          </w:p>
          <w:p w14:paraId="077A3A07" w14:textId="77777777" w:rsidR="00D15A47" w:rsidRPr="00D15A47" w:rsidRDefault="00D15A47" w:rsidP="00D15A47">
            <w:pPr>
              <w:pStyle w:val="Heading2"/>
              <w:numPr>
                <w:ilvl w:val="0"/>
                <w:numId w:val="0"/>
              </w:numPr>
              <w:jc w:val="left"/>
              <w:rPr>
                <w:szCs w:val="22"/>
              </w:rPr>
            </w:pPr>
          </w:p>
        </w:tc>
        <w:tc>
          <w:tcPr>
            <w:tcW w:w="910" w:type="dxa"/>
          </w:tcPr>
          <w:p w14:paraId="7710DA68" w14:textId="2BD3937C" w:rsidR="00D15A47" w:rsidRPr="00D15A47" w:rsidRDefault="00D15A47" w:rsidP="00D15A47">
            <w:pPr>
              <w:pStyle w:val="Heading2"/>
              <w:numPr>
                <w:ilvl w:val="0"/>
                <w:numId w:val="0"/>
              </w:numPr>
              <w:jc w:val="left"/>
              <w:rPr>
                <w:szCs w:val="22"/>
              </w:rPr>
            </w:pPr>
            <w:r w:rsidRPr="00490BAD">
              <w:rPr>
                <w:szCs w:val="22"/>
              </w:rPr>
              <w:t>100%</w:t>
            </w:r>
          </w:p>
        </w:tc>
      </w:tr>
      <w:tr w:rsidR="00D15A47" w14:paraId="0C232B64" w14:textId="77777777">
        <w:tc>
          <w:tcPr>
            <w:tcW w:w="1124" w:type="dxa"/>
          </w:tcPr>
          <w:p w14:paraId="6FF2E92C" w14:textId="0D586856" w:rsidR="00D15A47" w:rsidRPr="00D15A47" w:rsidRDefault="00D15A47" w:rsidP="00D15A47">
            <w:pPr>
              <w:pStyle w:val="Heading2"/>
              <w:numPr>
                <w:ilvl w:val="0"/>
                <w:numId w:val="0"/>
              </w:numPr>
              <w:jc w:val="left"/>
              <w:rPr>
                <w:szCs w:val="22"/>
              </w:rPr>
            </w:pPr>
            <w:r w:rsidRPr="00D15A47">
              <w:rPr>
                <w:szCs w:val="22"/>
              </w:rPr>
              <w:t>6</w:t>
            </w:r>
          </w:p>
        </w:tc>
        <w:tc>
          <w:tcPr>
            <w:tcW w:w="2177" w:type="dxa"/>
          </w:tcPr>
          <w:p w14:paraId="54E82D00" w14:textId="355F2960" w:rsidR="00D15A47" w:rsidRPr="00D15A47" w:rsidRDefault="00D15A47" w:rsidP="00D15A47">
            <w:pPr>
              <w:pStyle w:val="Heading2"/>
              <w:numPr>
                <w:ilvl w:val="0"/>
                <w:numId w:val="0"/>
              </w:numPr>
              <w:jc w:val="left"/>
              <w:rPr>
                <w:szCs w:val="22"/>
              </w:rPr>
            </w:pPr>
            <w:r w:rsidRPr="00D15A47">
              <w:rPr>
                <w:szCs w:val="22"/>
              </w:rPr>
              <w:t>Quality/Timeliness</w:t>
            </w:r>
          </w:p>
        </w:tc>
        <w:tc>
          <w:tcPr>
            <w:tcW w:w="1498" w:type="dxa"/>
          </w:tcPr>
          <w:p w14:paraId="6A13481E" w14:textId="4800178F" w:rsidR="00D15A47" w:rsidRPr="00D15A47" w:rsidRDefault="00D15A47" w:rsidP="00D15A47">
            <w:pPr>
              <w:pStyle w:val="Heading2"/>
              <w:numPr>
                <w:ilvl w:val="0"/>
                <w:numId w:val="0"/>
              </w:numPr>
              <w:jc w:val="left"/>
              <w:rPr>
                <w:szCs w:val="22"/>
              </w:rPr>
            </w:pPr>
            <w:r w:rsidRPr="00D15A47">
              <w:rPr>
                <w:szCs w:val="22"/>
              </w:rPr>
              <w:t>To be agreed with successful supplier</w:t>
            </w:r>
          </w:p>
        </w:tc>
        <w:tc>
          <w:tcPr>
            <w:tcW w:w="3347" w:type="dxa"/>
            <w:vAlign w:val="center"/>
          </w:tcPr>
          <w:p w14:paraId="0A9596ED" w14:textId="29B2D5D4" w:rsidR="00D15A47" w:rsidRPr="00D15A47" w:rsidRDefault="00D15A47" w:rsidP="00D15A47">
            <w:pPr>
              <w:pStyle w:val="Bodycopy"/>
              <w:jc w:val="left"/>
              <w:rPr>
                <w:sz w:val="22"/>
                <w:szCs w:val="22"/>
              </w:rPr>
            </w:pPr>
            <w:r w:rsidRPr="00D15A47">
              <w:rPr>
                <w:sz w:val="22"/>
                <w:szCs w:val="22"/>
              </w:rPr>
              <w:t xml:space="preserve">Deliver 2 Impact and process related qualitative fieldwork </w:t>
            </w:r>
            <w:proofErr w:type="gramStart"/>
            <w:r w:rsidRPr="00D15A47">
              <w:rPr>
                <w:sz w:val="22"/>
                <w:szCs w:val="22"/>
              </w:rPr>
              <w:t>begins</w:t>
            </w:r>
            <w:proofErr w:type="gramEnd"/>
            <w:r w:rsidRPr="00D15A47">
              <w:rPr>
                <w:sz w:val="22"/>
                <w:szCs w:val="22"/>
              </w:rPr>
              <w:t xml:space="preserve"> </w:t>
            </w:r>
          </w:p>
          <w:p w14:paraId="00C28F0E" w14:textId="77777777" w:rsidR="00D15A47" w:rsidRPr="00D15A47" w:rsidRDefault="00D15A47" w:rsidP="00D15A47">
            <w:pPr>
              <w:pStyle w:val="Heading2"/>
              <w:numPr>
                <w:ilvl w:val="0"/>
                <w:numId w:val="0"/>
              </w:numPr>
              <w:jc w:val="left"/>
              <w:rPr>
                <w:szCs w:val="22"/>
              </w:rPr>
            </w:pPr>
          </w:p>
        </w:tc>
        <w:tc>
          <w:tcPr>
            <w:tcW w:w="910" w:type="dxa"/>
          </w:tcPr>
          <w:p w14:paraId="42F6ABA2" w14:textId="6ECDCCAB" w:rsidR="00D15A47" w:rsidRPr="00D15A47" w:rsidRDefault="00D15A47" w:rsidP="00D15A47">
            <w:pPr>
              <w:pStyle w:val="Heading2"/>
              <w:numPr>
                <w:ilvl w:val="0"/>
                <w:numId w:val="0"/>
              </w:numPr>
              <w:jc w:val="left"/>
              <w:rPr>
                <w:szCs w:val="22"/>
              </w:rPr>
            </w:pPr>
            <w:r w:rsidRPr="00490BAD">
              <w:rPr>
                <w:szCs w:val="22"/>
              </w:rPr>
              <w:t>100%</w:t>
            </w:r>
          </w:p>
        </w:tc>
      </w:tr>
      <w:tr w:rsidR="00D15A47" w14:paraId="1C1FA35C" w14:textId="77777777">
        <w:tc>
          <w:tcPr>
            <w:tcW w:w="1124" w:type="dxa"/>
          </w:tcPr>
          <w:p w14:paraId="3C44497C" w14:textId="13A76983" w:rsidR="00D15A47" w:rsidRPr="00D15A47" w:rsidRDefault="00D15A47" w:rsidP="00D15A47">
            <w:pPr>
              <w:pStyle w:val="Heading2"/>
              <w:numPr>
                <w:ilvl w:val="0"/>
                <w:numId w:val="0"/>
              </w:numPr>
              <w:jc w:val="left"/>
              <w:rPr>
                <w:szCs w:val="22"/>
              </w:rPr>
            </w:pPr>
            <w:r w:rsidRPr="00D15A47">
              <w:rPr>
                <w:szCs w:val="22"/>
              </w:rPr>
              <w:t>7</w:t>
            </w:r>
          </w:p>
        </w:tc>
        <w:tc>
          <w:tcPr>
            <w:tcW w:w="2177" w:type="dxa"/>
          </w:tcPr>
          <w:p w14:paraId="22C3EFB1" w14:textId="1EC30864" w:rsidR="00D15A47" w:rsidRPr="00D15A47" w:rsidRDefault="00D15A47" w:rsidP="00D15A47">
            <w:pPr>
              <w:pStyle w:val="Heading2"/>
              <w:numPr>
                <w:ilvl w:val="0"/>
                <w:numId w:val="0"/>
              </w:numPr>
              <w:jc w:val="left"/>
              <w:rPr>
                <w:szCs w:val="22"/>
              </w:rPr>
            </w:pPr>
            <w:r w:rsidRPr="00D15A47">
              <w:rPr>
                <w:szCs w:val="22"/>
              </w:rPr>
              <w:t>Quality/Timeliness</w:t>
            </w:r>
          </w:p>
        </w:tc>
        <w:tc>
          <w:tcPr>
            <w:tcW w:w="1498" w:type="dxa"/>
          </w:tcPr>
          <w:p w14:paraId="51CF2461" w14:textId="5CE53B55" w:rsidR="00D15A47" w:rsidRPr="00D15A47" w:rsidRDefault="00013264" w:rsidP="00D15A47">
            <w:pPr>
              <w:pStyle w:val="Heading2"/>
              <w:numPr>
                <w:ilvl w:val="0"/>
                <w:numId w:val="0"/>
              </w:numPr>
              <w:jc w:val="left"/>
              <w:rPr>
                <w:szCs w:val="22"/>
              </w:rPr>
            </w:pPr>
            <w:r>
              <w:rPr>
                <w:szCs w:val="22"/>
              </w:rPr>
              <w:t>March</w:t>
            </w:r>
            <w:r w:rsidR="00D15A47">
              <w:rPr>
                <w:szCs w:val="22"/>
              </w:rPr>
              <w:t xml:space="preserve"> 2025</w:t>
            </w:r>
          </w:p>
        </w:tc>
        <w:tc>
          <w:tcPr>
            <w:tcW w:w="3347" w:type="dxa"/>
            <w:vAlign w:val="center"/>
          </w:tcPr>
          <w:p w14:paraId="087D62BD" w14:textId="53E232A0" w:rsidR="00D15A47" w:rsidRPr="00D15A47" w:rsidRDefault="00D15A47" w:rsidP="00D15A47">
            <w:pPr>
              <w:pStyle w:val="Bodycopy"/>
              <w:jc w:val="left"/>
              <w:rPr>
                <w:sz w:val="22"/>
                <w:szCs w:val="22"/>
              </w:rPr>
            </w:pPr>
            <w:r w:rsidRPr="00D15A47">
              <w:rPr>
                <w:sz w:val="22"/>
                <w:szCs w:val="22"/>
              </w:rPr>
              <w:t xml:space="preserve">Final report / slide deck and associated </w:t>
            </w:r>
            <w:proofErr w:type="gramStart"/>
            <w:r w:rsidRPr="00D15A47">
              <w:rPr>
                <w:sz w:val="22"/>
                <w:szCs w:val="22"/>
              </w:rPr>
              <w:t>debrief</w:t>
            </w:r>
            <w:proofErr w:type="gramEnd"/>
            <w:r w:rsidRPr="00D15A47">
              <w:rPr>
                <w:sz w:val="22"/>
                <w:szCs w:val="22"/>
              </w:rPr>
              <w:t xml:space="preserve"> </w:t>
            </w:r>
          </w:p>
          <w:p w14:paraId="12B3773B" w14:textId="77777777" w:rsidR="00D15A47" w:rsidRPr="00D15A47" w:rsidRDefault="00D15A47" w:rsidP="00D15A47">
            <w:pPr>
              <w:pStyle w:val="Heading2"/>
              <w:numPr>
                <w:ilvl w:val="0"/>
                <w:numId w:val="0"/>
              </w:numPr>
              <w:jc w:val="left"/>
              <w:rPr>
                <w:szCs w:val="22"/>
              </w:rPr>
            </w:pPr>
          </w:p>
        </w:tc>
        <w:tc>
          <w:tcPr>
            <w:tcW w:w="910" w:type="dxa"/>
          </w:tcPr>
          <w:p w14:paraId="09F1CBAF" w14:textId="6831A70B" w:rsidR="00D15A47" w:rsidRPr="00D15A47" w:rsidRDefault="00D15A47" w:rsidP="00D15A47">
            <w:pPr>
              <w:pStyle w:val="Heading2"/>
              <w:numPr>
                <w:ilvl w:val="0"/>
                <w:numId w:val="0"/>
              </w:numPr>
              <w:jc w:val="left"/>
              <w:rPr>
                <w:szCs w:val="22"/>
              </w:rPr>
            </w:pPr>
            <w:r w:rsidRPr="00490BAD">
              <w:rPr>
                <w:szCs w:val="22"/>
              </w:rPr>
              <w:t>100%</w:t>
            </w:r>
          </w:p>
        </w:tc>
      </w:tr>
    </w:tbl>
    <w:p w14:paraId="3F767EF8" w14:textId="19C77641" w:rsidR="0076283B" w:rsidRDefault="00FE18AC" w:rsidP="0076283B">
      <w:pPr>
        <w:pStyle w:val="Heading1"/>
        <w:spacing w:after="120"/>
        <w:rPr>
          <w:sz w:val="32"/>
          <w:szCs w:val="32"/>
        </w:rPr>
      </w:pPr>
      <w:bookmarkStart w:id="40" w:name="_Toc368573040"/>
      <w:bookmarkStart w:id="41" w:name="_Toc159329823"/>
      <w:r w:rsidRPr="001A45DF">
        <w:rPr>
          <w:sz w:val="32"/>
          <w:szCs w:val="32"/>
        </w:rPr>
        <w:t xml:space="preserve">Security </w:t>
      </w:r>
      <w:r w:rsidR="00252FFC" w:rsidRPr="001A45DF">
        <w:rPr>
          <w:sz w:val="32"/>
          <w:szCs w:val="32"/>
        </w:rPr>
        <w:t>and CONFIDENTIA</w:t>
      </w:r>
      <w:r w:rsidR="00C52C2C" w:rsidRPr="001A45DF">
        <w:rPr>
          <w:sz w:val="32"/>
          <w:szCs w:val="32"/>
        </w:rPr>
        <w:t xml:space="preserve">LITY </w:t>
      </w:r>
      <w:r w:rsidRPr="001A45DF">
        <w:rPr>
          <w:sz w:val="32"/>
          <w:szCs w:val="32"/>
        </w:rPr>
        <w:t>requirements</w:t>
      </w:r>
      <w:bookmarkEnd w:id="40"/>
      <w:bookmarkEnd w:id="41"/>
    </w:p>
    <w:p w14:paraId="2452472C" w14:textId="77777777" w:rsidR="003D22B8" w:rsidRPr="00CF4805" w:rsidRDefault="003D22B8" w:rsidP="003D22B8">
      <w:pPr>
        <w:autoSpaceDE w:val="0"/>
        <w:autoSpaceDN w:val="0"/>
        <w:adjustRightInd w:val="0"/>
        <w:rPr>
          <w:rFonts w:cs="Arial"/>
          <w:color w:val="000000"/>
        </w:rPr>
      </w:pPr>
      <w:r w:rsidRPr="00CF4805">
        <w:rPr>
          <w:rFonts w:cs="Arial"/>
          <w:color w:val="000000"/>
        </w:rPr>
        <w:t xml:space="preserve">The Supplier will be required to </w:t>
      </w:r>
      <w:proofErr w:type="gramStart"/>
      <w:r w:rsidRPr="00CF4805">
        <w:rPr>
          <w:rFonts w:cs="Arial"/>
          <w:color w:val="000000"/>
        </w:rPr>
        <w:t>safely and securely hold any information relating</w:t>
      </w:r>
      <w:proofErr w:type="gramEnd"/>
      <w:r w:rsidRPr="00CF4805">
        <w:rPr>
          <w:rFonts w:cs="Arial"/>
          <w:color w:val="000000"/>
        </w:rPr>
        <w:t xml:space="preserve"> to this project and maintain confidentiality on the details of the project. Any data from the research must not be shared with any third parties.  </w:t>
      </w:r>
    </w:p>
    <w:p w14:paraId="03812813" w14:textId="77777777" w:rsidR="003D22B8" w:rsidRPr="00CF4805" w:rsidRDefault="003D22B8" w:rsidP="003D22B8">
      <w:pPr>
        <w:autoSpaceDE w:val="0"/>
        <w:autoSpaceDN w:val="0"/>
        <w:adjustRightInd w:val="0"/>
        <w:rPr>
          <w:rFonts w:cs="Arial"/>
          <w:color w:val="000000"/>
        </w:rPr>
      </w:pPr>
    </w:p>
    <w:p w14:paraId="0CEB0027" w14:textId="77777777" w:rsidR="003D22B8" w:rsidRDefault="003D22B8" w:rsidP="003D22B8">
      <w:pPr>
        <w:autoSpaceDE w:val="0"/>
        <w:autoSpaceDN w:val="0"/>
        <w:adjustRightInd w:val="0"/>
        <w:rPr>
          <w:rFonts w:cs="Arial"/>
        </w:rPr>
      </w:pPr>
      <w:r w:rsidRPr="00CF4805">
        <w:rPr>
          <w:rFonts w:cs="Arial"/>
        </w:rPr>
        <w:t>The Supplier must also ensure they are able to comply with GDPR regulations throughout the duration of this contract.</w:t>
      </w:r>
    </w:p>
    <w:p w14:paraId="2E7181D4" w14:textId="77777777" w:rsidR="003D22B8" w:rsidRDefault="003D22B8" w:rsidP="003D22B8">
      <w:pPr>
        <w:autoSpaceDE w:val="0"/>
        <w:autoSpaceDN w:val="0"/>
        <w:adjustRightInd w:val="0"/>
        <w:rPr>
          <w:rFonts w:cs="Arial"/>
        </w:rPr>
      </w:pPr>
    </w:p>
    <w:p w14:paraId="538E7B8E" w14:textId="77777777" w:rsidR="003D22B8" w:rsidRDefault="003D22B8" w:rsidP="003D22B8">
      <w:pPr>
        <w:autoSpaceDE w:val="0"/>
        <w:autoSpaceDN w:val="0"/>
        <w:adjustRightInd w:val="0"/>
        <w:rPr>
          <w:rFonts w:cs="Arial"/>
          <w:color w:val="000000"/>
        </w:rPr>
      </w:pPr>
      <w:r w:rsidRPr="00CF4805">
        <w:rPr>
          <w:rFonts w:cs="Arial"/>
          <w:color w:val="000000"/>
        </w:rPr>
        <w:t>The Supplier will comply with Authority guidance on secure data transfer and storage.</w:t>
      </w:r>
    </w:p>
    <w:p w14:paraId="106BA429" w14:textId="77777777" w:rsidR="003D22B8" w:rsidRDefault="003D22B8" w:rsidP="003D22B8">
      <w:pPr>
        <w:pStyle w:val="Heading1"/>
        <w:numPr>
          <w:ilvl w:val="0"/>
          <w:numId w:val="0"/>
        </w:numPr>
        <w:spacing w:after="120"/>
        <w:rPr>
          <w:sz w:val="32"/>
          <w:szCs w:val="32"/>
        </w:rPr>
      </w:pPr>
    </w:p>
    <w:p w14:paraId="245E99D9" w14:textId="4F3702F2" w:rsidR="003D22B8" w:rsidRDefault="003D22B8" w:rsidP="0076283B">
      <w:pPr>
        <w:pStyle w:val="Heading1"/>
        <w:spacing w:after="120"/>
        <w:rPr>
          <w:sz w:val="32"/>
          <w:szCs w:val="32"/>
        </w:rPr>
      </w:pPr>
      <w:bookmarkStart w:id="42" w:name="_Toc159329824"/>
      <w:r>
        <w:rPr>
          <w:sz w:val="32"/>
          <w:szCs w:val="32"/>
        </w:rPr>
        <w:t>Social Value</w:t>
      </w:r>
      <w:bookmarkEnd w:id="42"/>
    </w:p>
    <w:p w14:paraId="40EFD42A" w14:textId="77777777" w:rsidR="00AF168C" w:rsidRPr="00AF168C" w:rsidRDefault="00AF168C" w:rsidP="00AF168C">
      <w:pPr>
        <w:pStyle w:val="Bodycopy"/>
        <w:spacing w:line="276" w:lineRule="auto"/>
        <w:jc w:val="both"/>
        <w:rPr>
          <w:sz w:val="22"/>
          <w:szCs w:val="22"/>
        </w:rPr>
      </w:pPr>
      <w:r w:rsidRPr="00AF168C">
        <w:rPr>
          <w:sz w:val="22"/>
          <w:szCs w:val="22"/>
        </w:rPr>
        <w:t xml:space="preserve">Increasingly, organisations are considering their activities holistically, taking account of the wider economic, </w:t>
      </w:r>
      <w:proofErr w:type="gramStart"/>
      <w:r w:rsidRPr="00AF168C">
        <w:rPr>
          <w:sz w:val="22"/>
          <w:szCs w:val="22"/>
        </w:rPr>
        <w:t>social</w:t>
      </w:r>
      <w:proofErr w:type="gramEnd"/>
      <w:r w:rsidRPr="00AF168C">
        <w:rPr>
          <w:sz w:val="22"/>
          <w:szCs w:val="22"/>
        </w:rPr>
        <w:t xml:space="preserve"> and environmental effects of their actions. Social Value</w:t>
      </w:r>
      <w:r w:rsidRPr="00AF168C">
        <w:rPr>
          <w:rStyle w:val="FootnoteReference"/>
          <w:rFonts w:ascii="Arial" w:hAnsi="Arial" w:cs="Arial"/>
          <w:szCs w:val="22"/>
        </w:rPr>
        <w:footnoteReference w:id="2"/>
      </w:r>
      <w:r w:rsidRPr="00AF168C">
        <w:rPr>
          <w:sz w:val="22"/>
          <w:szCs w:val="22"/>
        </w:rPr>
        <w:t xml:space="preserve"> serves as an </w:t>
      </w:r>
      <w:r w:rsidRPr="00AF168C">
        <w:rPr>
          <w:sz w:val="22"/>
          <w:szCs w:val="22"/>
        </w:rPr>
        <w:lastRenderedPageBreak/>
        <w:t xml:space="preserve">umbrella term for these broader effects, and organisations which make a conscious effort to ensure that these effects are positive can be seen as adding social value by contributing to the long-term wellbeing and resilience of individuals, </w:t>
      </w:r>
      <w:proofErr w:type="gramStart"/>
      <w:r w:rsidRPr="00AF168C">
        <w:rPr>
          <w:sz w:val="22"/>
          <w:szCs w:val="22"/>
        </w:rPr>
        <w:t>communities</w:t>
      </w:r>
      <w:proofErr w:type="gramEnd"/>
      <w:r w:rsidRPr="00AF168C">
        <w:rPr>
          <w:sz w:val="22"/>
          <w:szCs w:val="22"/>
        </w:rPr>
        <w:t xml:space="preserve"> and society in general.</w:t>
      </w:r>
    </w:p>
    <w:p w14:paraId="4BAB1ADD" w14:textId="77777777" w:rsidR="00AF168C" w:rsidRPr="00AF168C" w:rsidRDefault="00AF168C" w:rsidP="00AF168C">
      <w:pPr>
        <w:pStyle w:val="Bodycopy"/>
        <w:spacing w:line="276" w:lineRule="auto"/>
        <w:jc w:val="both"/>
        <w:rPr>
          <w:sz w:val="22"/>
          <w:szCs w:val="22"/>
        </w:rPr>
      </w:pPr>
    </w:p>
    <w:p w14:paraId="722A20D6" w14:textId="77777777" w:rsidR="00AF168C" w:rsidRDefault="00AF168C" w:rsidP="00AF168C">
      <w:pPr>
        <w:pStyle w:val="Bodycopy"/>
        <w:spacing w:line="276" w:lineRule="auto"/>
        <w:jc w:val="both"/>
        <w:rPr>
          <w:sz w:val="22"/>
          <w:szCs w:val="22"/>
        </w:rPr>
      </w:pPr>
      <w:r w:rsidRPr="00AF168C">
        <w:rPr>
          <w:sz w:val="22"/>
          <w:szCs w:val="22"/>
        </w:rPr>
        <w:t xml:space="preserve">As per the procurement guidance issued by the Cabinet Office (effective from January 2021), the Authority is required to include a separate Social Value Model criteria in its evaluation of tenders. </w:t>
      </w:r>
    </w:p>
    <w:p w14:paraId="45623E56" w14:textId="77777777" w:rsidR="00AF168C" w:rsidRDefault="00AF168C" w:rsidP="00AF168C">
      <w:pPr>
        <w:pStyle w:val="Bodycopy"/>
        <w:spacing w:line="276" w:lineRule="auto"/>
        <w:jc w:val="both"/>
        <w:rPr>
          <w:sz w:val="22"/>
          <w:szCs w:val="22"/>
        </w:rPr>
      </w:pPr>
    </w:p>
    <w:p w14:paraId="27A2AB2E" w14:textId="1897DD51" w:rsidR="003D22B8" w:rsidRPr="00AF168C" w:rsidRDefault="00AF168C" w:rsidP="00AF168C">
      <w:pPr>
        <w:pStyle w:val="Bodycopy"/>
        <w:spacing w:line="276" w:lineRule="auto"/>
        <w:jc w:val="both"/>
        <w:rPr>
          <w:sz w:val="22"/>
          <w:szCs w:val="22"/>
        </w:rPr>
      </w:pPr>
      <w:r w:rsidRPr="00AF168C">
        <w:rPr>
          <w:sz w:val="22"/>
          <w:szCs w:val="22"/>
        </w:rPr>
        <w:t>Bidders will be assessed on</w:t>
      </w:r>
      <w:r w:rsidR="00FE4C45">
        <w:rPr>
          <w:sz w:val="22"/>
          <w:szCs w:val="22"/>
        </w:rPr>
        <w:t xml:space="preserve"> Wellbeing and Equal Opportunity. </w:t>
      </w:r>
    </w:p>
    <w:p w14:paraId="28E9D962" w14:textId="77777777" w:rsidR="003D22B8" w:rsidRPr="0076283B" w:rsidRDefault="003D22B8" w:rsidP="003D22B8">
      <w:pPr>
        <w:pStyle w:val="Heading1"/>
        <w:numPr>
          <w:ilvl w:val="0"/>
          <w:numId w:val="0"/>
        </w:numPr>
        <w:spacing w:after="120"/>
        <w:ind w:left="720" w:hanging="720"/>
        <w:rPr>
          <w:sz w:val="32"/>
          <w:szCs w:val="32"/>
        </w:rPr>
      </w:pPr>
    </w:p>
    <w:p w14:paraId="407C411D" w14:textId="77777777" w:rsidR="00F34D5F" w:rsidRPr="00F34D5F" w:rsidRDefault="00F34D5F" w:rsidP="00F34D5F">
      <w:pPr>
        <w:autoSpaceDE w:val="0"/>
        <w:autoSpaceDN w:val="0"/>
        <w:adjustRightInd w:val="0"/>
        <w:rPr>
          <w:color w:val="000000"/>
        </w:rPr>
      </w:pPr>
    </w:p>
    <w:p w14:paraId="65283656" w14:textId="368C7020" w:rsidR="0081061A" w:rsidRDefault="0081061A"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43" w:name="_Toc159329825"/>
      <w:bookmarkStart w:id="44" w:name="_Toc368573042"/>
      <w:r w:rsidRPr="001A45DF">
        <w:rPr>
          <w:rFonts w:cs="Arial"/>
          <w:sz w:val="32"/>
          <w:szCs w:val="32"/>
        </w:rPr>
        <w:t>payment</w:t>
      </w:r>
      <w:r w:rsidR="00ED2129" w:rsidRPr="001A45DF">
        <w:rPr>
          <w:rFonts w:cs="Arial"/>
          <w:sz w:val="32"/>
          <w:szCs w:val="32"/>
        </w:rPr>
        <w:t xml:space="preserve"> AND INVOICING</w:t>
      </w:r>
      <w:bookmarkEnd w:id="43"/>
      <w:r w:rsidR="00ED2129" w:rsidRPr="001A45DF">
        <w:rPr>
          <w:rFonts w:cs="Arial"/>
          <w:sz w:val="32"/>
          <w:szCs w:val="32"/>
        </w:rPr>
        <w:t xml:space="preserve"> </w:t>
      </w:r>
    </w:p>
    <w:p w14:paraId="30AC711E" w14:textId="77777777" w:rsidR="00921514" w:rsidRPr="00921514" w:rsidRDefault="00921514" w:rsidP="00921514">
      <w:pPr>
        <w:pStyle w:val="NoSpacing"/>
        <w:rPr>
          <w:rFonts w:ascii="Arial" w:hAnsi="Arial" w:cs="Arial"/>
        </w:rPr>
      </w:pPr>
      <w:r w:rsidRPr="00921514">
        <w:rPr>
          <w:rFonts w:ascii="Arial" w:hAnsi="Arial" w:cs="Arial"/>
        </w:rPr>
        <w:t>Payment will be made following successful completion of pre-agreed products and associated deliverables (see Section 6). Payments will be made in arrears over the life of the Contract.</w:t>
      </w:r>
    </w:p>
    <w:p w14:paraId="627C5E78" w14:textId="77777777" w:rsidR="00921514" w:rsidRPr="00921514" w:rsidRDefault="00921514" w:rsidP="00921514">
      <w:pPr>
        <w:pStyle w:val="NoSpacing"/>
        <w:rPr>
          <w:rFonts w:ascii="Arial" w:hAnsi="Arial" w:cs="Arial"/>
          <w:shd w:val="clear" w:color="auto" w:fill="FFFFFF"/>
        </w:rPr>
      </w:pPr>
      <w:r w:rsidRPr="00921514">
        <w:rPr>
          <w:rFonts w:ascii="Arial" w:hAnsi="Arial" w:cs="Arial"/>
          <w:shd w:val="clear" w:color="auto" w:fill="FFFFFF"/>
        </w:rPr>
        <w:t>Before payment can be considered, each invoice must include a detailed elemental breakdown of work completed and the associated costs. All costs must be documented with receipts or invoices.</w:t>
      </w:r>
    </w:p>
    <w:p w14:paraId="584101E0" w14:textId="77777777" w:rsidR="00921514" w:rsidRPr="00921514" w:rsidRDefault="00921514" w:rsidP="00921514">
      <w:pPr>
        <w:pStyle w:val="NoSpacing"/>
        <w:rPr>
          <w:rFonts w:ascii="Arial" w:hAnsi="Arial" w:cs="Arial"/>
          <w:shd w:val="clear" w:color="auto" w:fill="FFFFFF"/>
        </w:rPr>
      </w:pPr>
    </w:p>
    <w:p w14:paraId="50F1D7E0" w14:textId="77777777" w:rsidR="00921514" w:rsidRPr="00921514" w:rsidRDefault="00921514" w:rsidP="00921514">
      <w:pPr>
        <w:pStyle w:val="NoSpacing"/>
        <w:rPr>
          <w:rFonts w:ascii="Arial" w:hAnsi="Arial" w:cs="Arial"/>
        </w:rPr>
      </w:pPr>
      <w:r w:rsidRPr="00921514">
        <w:rPr>
          <w:rFonts w:ascii="Arial" w:hAnsi="Arial" w:cs="Arial"/>
        </w:rPr>
        <w:t>The Authority’s payment mechanism is as specified in Annex A Payment Schedule.</w:t>
      </w:r>
    </w:p>
    <w:p w14:paraId="68F37C9F" w14:textId="77777777" w:rsidR="00921514" w:rsidRPr="00921514" w:rsidRDefault="00921514" w:rsidP="00921514">
      <w:pPr>
        <w:pStyle w:val="NoSpacing"/>
        <w:rPr>
          <w:rFonts w:ascii="Arial" w:hAnsi="Arial" w:cs="Arial"/>
        </w:rPr>
      </w:pPr>
    </w:p>
    <w:p w14:paraId="6000CE34" w14:textId="77777777" w:rsidR="00921514" w:rsidRPr="00921514" w:rsidRDefault="00921514" w:rsidP="00921514">
      <w:pPr>
        <w:rPr>
          <w:rFonts w:cs="Arial"/>
        </w:rPr>
      </w:pPr>
      <w:r w:rsidRPr="00921514">
        <w:rPr>
          <w:rFonts w:cs="Arial"/>
        </w:rPr>
        <w:t>The Home Office will review the performance for each milestone, and, as funders, will have ultimate sign off for project deliverables.</w:t>
      </w:r>
    </w:p>
    <w:p w14:paraId="27009B2F" w14:textId="77777777" w:rsidR="00921514" w:rsidRPr="001A45DF" w:rsidRDefault="00921514" w:rsidP="00921514">
      <w:pPr>
        <w:pStyle w:val="Heading1"/>
        <w:numPr>
          <w:ilvl w:val="0"/>
          <w:numId w:val="0"/>
        </w:numPr>
        <w:overflowPunct w:val="0"/>
        <w:autoSpaceDE w:val="0"/>
        <w:autoSpaceDN w:val="0"/>
        <w:spacing w:after="120"/>
        <w:textAlignment w:val="baseline"/>
        <w:rPr>
          <w:rFonts w:cs="Arial"/>
          <w:sz w:val="32"/>
          <w:szCs w:val="32"/>
        </w:rPr>
      </w:pPr>
    </w:p>
    <w:p w14:paraId="6828E644" w14:textId="77777777" w:rsidR="00E24EE7" w:rsidRDefault="009E3739" w:rsidP="00E24EE7">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45" w:name="_Toc159329826"/>
      <w:bookmarkEnd w:id="44"/>
      <w:r w:rsidRPr="001A45DF">
        <w:rPr>
          <w:rFonts w:cs="Arial"/>
          <w:sz w:val="32"/>
          <w:szCs w:val="32"/>
        </w:rPr>
        <w:t>CONTRACT MANAGEMENT</w:t>
      </w:r>
      <w:bookmarkEnd w:id="45"/>
      <w:r w:rsidR="00FE18AC" w:rsidRPr="001A45DF">
        <w:rPr>
          <w:rFonts w:cs="Arial"/>
          <w:sz w:val="32"/>
          <w:szCs w:val="32"/>
        </w:rPr>
        <w:t xml:space="preserve"> </w:t>
      </w:r>
    </w:p>
    <w:p w14:paraId="788E4129" w14:textId="09AF3944" w:rsidR="0034799C" w:rsidRDefault="00BE5FEF" w:rsidP="0034799C">
      <w:pPr>
        <w:pStyle w:val="Normal1"/>
        <w:spacing w:after="240"/>
      </w:pPr>
      <w:r w:rsidRPr="009106C8">
        <w:t>Attendance at Contract Review meetings shall be at the Supplier’s own expense.</w:t>
      </w:r>
    </w:p>
    <w:p w14:paraId="48DF70FF" w14:textId="4863FE8D" w:rsidR="0034799C" w:rsidRPr="009106C8" w:rsidRDefault="0034799C" w:rsidP="0034799C">
      <w:pPr>
        <w:pStyle w:val="Normal1"/>
        <w:spacing w:after="240"/>
        <w:rPr>
          <w:sz w:val="24"/>
          <w:szCs w:val="24"/>
        </w:rPr>
      </w:pPr>
      <w:r w:rsidRPr="001A6831">
        <w:t>The Contract is expected to commence in</w:t>
      </w:r>
      <w:r w:rsidR="00F34D5F">
        <w:t xml:space="preserve"> April 2024 and will run until May 2025.</w:t>
      </w:r>
    </w:p>
    <w:p w14:paraId="04BBE808" w14:textId="77777777" w:rsidR="00671798" w:rsidRPr="009106C8" w:rsidRDefault="00FE18AC">
      <w:pPr>
        <w:pStyle w:val="Heading1"/>
        <w:spacing w:after="120"/>
        <w:rPr>
          <w:sz w:val="32"/>
          <w:szCs w:val="32"/>
        </w:rPr>
      </w:pPr>
      <w:bookmarkStart w:id="46" w:name="_Toc368573043"/>
      <w:bookmarkStart w:id="47" w:name="_Toc159329827"/>
      <w:bookmarkEnd w:id="19"/>
      <w:r w:rsidRPr="009106C8">
        <w:rPr>
          <w:sz w:val="32"/>
          <w:szCs w:val="32"/>
        </w:rPr>
        <w:t>Location</w:t>
      </w:r>
      <w:bookmarkEnd w:id="46"/>
      <w:bookmarkEnd w:id="47"/>
      <w:r w:rsidRPr="009106C8">
        <w:rPr>
          <w:sz w:val="32"/>
          <w:szCs w:val="32"/>
        </w:rPr>
        <w:t xml:space="preserve"> </w:t>
      </w:r>
    </w:p>
    <w:p w14:paraId="4822327E" w14:textId="77777777" w:rsidR="00213444" w:rsidRDefault="00213444" w:rsidP="00213444">
      <w:pPr>
        <w:pStyle w:val="Bodycopy"/>
      </w:pPr>
    </w:p>
    <w:p w14:paraId="5E3B5F2D" w14:textId="6C18F47A" w:rsidR="00213444" w:rsidRDefault="00213444" w:rsidP="00213444">
      <w:pPr>
        <w:pStyle w:val="Bodycopy"/>
      </w:pPr>
      <w:r>
        <w:t>Customer</w:t>
      </w:r>
      <w:r w:rsidR="00056A52">
        <w:t xml:space="preserve"> </w:t>
      </w:r>
      <w:r>
        <w:t>meetings will be held</w:t>
      </w:r>
      <w:r w:rsidR="00056A52">
        <w:t xml:space="preserve"> virtually or</w:t>
      </w:r>
      <w:r>
        <w:t xml:space="preserve"> in 2 Marsham Street, London.</w:t>
      </w:r>
      <w:r w:rsidR="00056A52">
        <w:t xml:space="preserve"> </w:t>
      </w:r>
    </w:p>
    <w:p w14:paraId="6445CEBC" w14:textId="77777777" w:rsidR="00037923" w:rsidRDefault="00037923" w:rsidP="00907F05">
      <w:pPr>
        <w:pStyle w:val="Normal1"/>
      </w:pPr>
    </w:p>
    <w:p w14:paraId="07826837" w14:textId="77777777" w:rsidR="00907F05" w:rsidRDefault="00907F05" w:rsidP="00907F05">
      <w:pPr>
        <w:pStyle w:val="Normal1"/>
      </w:pPr>
    </w:p>
    <w:p w14:paraId="06EBA17A" w14:textId="77777777" w:rsidR="00907F05" w:rsidRDefault="00907F05" w:rsidP="00C9758B">
      <w:pPr>
        <w:pStyle w:val="Heading1"/>
        <w:numPr>
          <w:ilvl w:val="0"/>
          <w:numId w:val="0"/>
        </w:numPr>
      </w:pPr>
    </w:p>
    <w:p w14:paraId="2BF5C04A" w14:textId="77777777" w:rsidR="00FA283F" w:rsidRDefault="00FA283F" w:rsidP="00907F05">
      <w:pPr>
        <w:pStyle w:val="Normal1"/>
      </w:pPr>
    </w:p>
    <w:p w14:paraId="6DEE0959" w14:textId="5E392AF4" w:rsidR="00921514" w:rsidRDefault="00C9758B" w:rsidP="00C9758B">
      <w:pPr>
        <w:pStyle w:val="Heading1"/>
        <w:numPr>
          <w:ilvl w:val="0"/>
          <w:numId w:val="0"/>
        </w:numPr>
      </w:pPr>
      <w:bookmarkStart w:id="48" w:name="_Toc159329828"/>
      <w:r>
        <w:t>ANNEX A</w:t>
      </w:r>
      <w:r w:rsidR="00E82087">
        <w:t xml:space="preserve"> – Payment Schedule</w:t>
      </w:r>
      <w:bookmarkEnd w:id="48"/>
      <w:r w:rsidR="00E82087">
        <w:t xml:space="preserve"> </w:t>
      </w:r>
    </w:p>
    <w:tbl>
      <w:tblPr>
        <w:tblStyle w:val="TableGrid"/>
        <w:tblW w:w="9019" w:type="dxa"/>
        <w:tblLook w:val="04A0" w:firstRow="1" w:lastRow="0" w:firstColumn="1" w:lastColumn="0" w:noHBand="0" w:noVBand="1"/>
      </w:tblPr>
      <w:tblGrid>
        <w:gridCol w:w="2671"/>
        <w:gridCol w:w="2894"/>
        <w:gridCol w:w="1905"/>
        <w:gridCol w:w="1549"/>
      </w:tblGrid>
      <w:tr w:rsidR="00AC0482" w:rsidRPr="00765BC5" w14:paraId="62F5456A" w14:textId="19BBCBB7" w:rsidTr="5BAE2639">
        <w:tc>
          <w:tcPr>
            <w:tcW w:w="2671" w:type="dxa"/>
            <w:shd w:val="clear" w:color="auto" w:fill="C6D9F1" w:themeFill="text2" w:themeFillTint="33"/>
            <w:vAlign w:val="center"/>
          </w:tcPr>
          <w:p w14:paraId="731D5BA5" w14:textId="77777777" w:rsidR="00AC0482" w:rsidRPr="00765BC5" w:rsidRDefault="00AC0482">
            <w:pPr>
              <w:pStyle w:val="Heading3"/>
              <w:numPr>
                <w:ilvl w:val="0"/>
                <w:numId w:val="0"/>
              </w:numPr>
              <w:spacing w:after="120"/>
              <w:jc w:val="center"/>
              <w:rPr>
                <w:b/>
                <w:sz w:val="24"/>
                <w:szCs w:val="24"/>
              </w:rPr>
            </w:pPr>
            <w:r w:rsidRPr="00765BC5">
              <w:rPr>
                <w:b/>
                <w:sz w:val="24"/>
                <w:szCs w:val="24"/>
              </w:rPr>
              <w:t>Milestone/Deliverable</w:t>
            </w:r>
          </w:p>
        </w:tc>
        <w:tc>
          <w:tcPr>
            <w:tcW w:w="2894" w:type="dxa"/>
            <w:shd w:val="clear" w:color="auto" w:fill="C6D9F1" w:themeFill="text2" w:themeFillTint="33"/>
            <w:vAlign w:val="center"/>
          </w:tcPr>
          <w:p w14:paraId="4851C28D" w14:textId="77777777" w:rsidR="00AC0482" w:rsidRPr="00765BC5" w:rsidRDefault="00AC0482">
            <w:pPr>
              <w:pStyle w:val="Heading3"/>
              <w:numPr>
                <w:ilvl w:val="0"/>
                <w:numId w:val="0"/>
              </w:numPr>
              <w:spacing w:after="120"/>
              <w:jc w:val="center"/>
              <w:rPr>
                <w:b/>
                <w:sz w:val="24"/>
                <w:szCs w:val="24"/>
              </w:rPr>
            </w:pPr>
            <w:r w:rsidRPr="00765BC5">
              <w:rPr>
                <w:b/>
                <w:sz w:val="24"/>
                <w:szCs w:val="24"/>
              </w:rPr>
              <w:t>Description</w:t>
            </w:r>
          </w:p>
        </w:tc>
        <w:tc>
          <w:tcPr>
            <w:tcW w:w="1905" w:type="dxa"/>
            <w:shd w:val="clear" w:color="auto" w:fill="C6D9F1" w:themeFill="text2" w:themeFillTint="33"/>
            <w:vAlign w:val="center"/>
          </w:tcPr>
          <w:p w14:paraId="03A16D93" w14:textId="77777777" w:rsidR="00AC0482" w:rsidRPr="00765BC5" w:rsidRDefault="00AC0482">
            <w:pPr>
              <w:pStyle w:val="Heading3"/>
              <w:numPr>
                <w:ilvl w:val="0"/>
                <w:numId w:val="0"/>
              </w:numPr>
              <w:spacing w:after="120"/>
              <w:jc w:val="center"/>
              <w:rPr>
                <w:b/>
                <w:sz w:val="24"/>
                <w:szCs w:val="24"/>
              </w:rPr>
            </w:pPr>
            <w:r w:rsidRPr="00765BC5">
              <w:rPr>
                <w:b/>
                <w:sz w:val="24"/>
                <w:szCs w:val="24"/>
              </w:rPr>
              <w:t xml:space="preserve">Timeframe </w:t>
            </w:r>
            <w:proofErr w:type="gramStart"/>
            <w:r w:rsidRPr="00765BC5">
              <w:rPr>
                <w:b/>
                <w:sz w:val="24"/>
                <w:szCs w:val="24"/>
              </w:rPr>
              <w:t>or  Delivery</w:t>
            </w:r>
            <w:proofErr w:type="gramEnd"/>
            <w:r w:rsidRPr="00765BC5">
              <w:rPr>
                <w:b/>
                <w:sz w:val="24"/>
                <w:szCs w:val="24"/>
              </w:rPr>
              <w:t xml:space="preserve"> Date</w:t>
            </w:r>
          </w:p>
        </w:tc>
        <w:tc>
          <w:tcPr>
            <w:tcW w:w="1549" w:type="dxa"/>
            <w:shd w:val="clear" w:color="auto" w:fill="C6D9F1" w:themeFill="text2" w:themeFillTint="33"/>
          </w:tcPr>
          <w:p w14:paraId="5482FB94" w14:textId="6DA8E8E2" w:rsidR="00AC0482" w:rsidRPr="00765BC5" w:rsidRDefault="00C61DC5" w:rsidP="01678998">
            <w:pPr>
              <w:pStyle w:val="Heading3"/>
              <w:numPr>
                <w:ilvl w:val="2"/>
                <w:numId w:val="0"/>
              </w:numPr>
              <w:spacing w:after="120"/>
              <w:jc w:val="center"/>
              <w:rPr>
                <w:b/>
                <w:sz w:val="24"/>
                <w:szCs w:val="24"/>
              </w:rPr>
            </w:pPr>
            <w:r>
              <w:rPr>
                <w:b/>
                <w:sz w:val="24"/>
                <w:szCs w:val="24"/>
              </w:rPr>
              <w:t>M</w:t>
            </w:r>
            <w:r w:rsidR="00AC0482">
              <w:rPr>
                <w:b/>
                <w:sz w:val="24"/>
                <w:szCs w:val="24"/>
              </w:rPr>
              <w:t>ilestone payment %</w:t>
            </w:r>
          </w:p>
        </w:tc>
      </w:tr>
      <w:tr w:rsidR="007632E6" w:rsidRPr="00765BC5" w14:paraId="2D75954D" w14:textId="66B9ABD7" w:rsidTr="5BAE2639">
        <w:tc>
          <w:tcPr>
            <w:tcW w:w="2671" w:type="dxa"/>
            <w:vMerge w:val="restart"/>
            <w:vAlign w:val="center"/>
          </w:tcPr>
          <w:p w14:paraId="7674E95E" w14:textId="38DCF2C1" w:rsidR="007632E6" w:rsidRPr="00765BC5" w:rsidRDefault="007632E6" w:rsidP="007632E6">
            <w:pPr>
              <w:pStyle w:val="Heading3"/>
              <w:numPr>
                <w:ilvl w:val="0"/>
                <w:numId w:val="0"/>
              </w:numPr>
              <w:spacing w:after="120"/>
              <w:jc w:val="center"/>
              <w:rPr>
                <w:sz w:val="24"/>
                <w:szCs w:val="24"/>
              </w:rPr>
            </w:pPr>
            <w:r w:rsidRPr="00765BC5">
              <w:rPr>
                <w:sz w:val="24"/>
                <w:szCs w:val="24"/>
              </w:rPr>
              <w:lastRenderedPageBreak/>
              <w:t>1</w:t>
            </w:r>
            <w:r>
              <w:rPr>
                <w:sz w:val="24"/>
                <w:szCs w:val="24"/>
              </w:rPr>
              <w:t>&amp;</w:t>
            </w:r>
            <w:r w:rsidRPr="00765BC5">
              <w:rPr>
                <w:sz w:val="24"/>
                <w:szCs w:val="24"/>
              </w:rPr>
              <w:t>2</w:t>
            </w:r>
          </w:p>
        </w:tc>
        <w:tc>
          <w:tcPr>
            <w:tcW w:w="2894" w:type="dxa"/>
            <w:vAlign w:val="center"/>
          </w:tcPr>
          <w:p w14:paraId="7E29B0A2" w14:textId="77777777" w:rsidR="007632E6" w:rsidRPr="00765BC5" w:rsidRDefault="007632E6">
            <w:pPr>
              <w:pStyle w:val="Bodycopy"/>
              <w:rPr>
                <w:b/>
                <w:bCs/>
                <w:sz w:val="22"/>
                <w:szCs w:val="22"/>
              </w:rPr>
            </w:pPr>
          </w:p>
          <w:p w14:paraId="206A2FDD" w14:textId="77777777" w:rsidR="007632E6" w:rsidRPr="00765BC5" w:rsidRDefault="007632E6">
            <w:pPr>
              <w:pStyle w:val="Bodycopy"/>
              <w:rPr>
                <w:b/>
                <w:bCs/>
                <w:sz w:val="22"/>
                <w:szCs w:val="22"/>
              </w:rPr>
            </w:pPr>
            <w:r w:rsidRPr="00765BC5">
              <w:rPr>
                <w:b/>
                <w:bCs/>
                <w:sz w:val="22"/>
                <w:szCs w:val="22"/>
              </w:rPr>
              <w:t xml:space="preserve">Project Initiation Meeting to discuss and agree the requirement with the Home Office, following </w:t>
            </w:r>
            <w:proofErr w:type="gramStart"/>
            <w:r w:rsidRPr="00765BC5">
              <w:rPr>
                <w:b/>
                <w:bCs/>
                <w:sz w:val="22"/>
                <w:szCs w:val="22"/>
              </w:rPr>
              <w:t>appointment</w:t>
            </w:r>
            <w:proofErr w:type="gramEnd"/>
            <w:r w:rsidRPr="00765BC5">
              <w:rPr>
                <w:b/>
                <w:bCs/>
                <w:sz w:val="22"/>
                <w:szCs w:val="22"/>
              </w:rPr>
              <w:t xml:space="preserve"> </w:t>
            </w:r>
          </w:p>
          <w:p w14:paraId="24BAF240" w14:textId="77777777" w:rsidR="007632E6" w:rsidRPr="00765BC5" w:rsidRDefault="007632E6">
            <w:pPr>
              <w:pStyle w:val="Heading3"/>
              <w:numPr>
                <w:ilvl w:val="0"/>
                <w:numId w:val="0"/>
              </w:numPr>
              <w:spacing w:after="120"/>
              <w:jc w:val="left"/>
              <w:rPr>
                <w:sz w:val="24"/>
                <w:szCs w:val="24"/>
              </w:rPr>
            </w:pPr>
          </w:p>
        </w:tc>
        <w:tc>
          <w:tcPr>
            <w:tcW w:w="1905" w:type="dxa"/>
            <w:vAlign w:val="center"/>
          </w:tcPr>
          <w:p w14:paraId="32EC473C" w14:textId="77777777" w:rsidR="007632E6" w:rsidRPr="00765BC5" w:rsidRDefault="007632E6">
            <w:pPr>
              <w:pStyle w:val="Heading3"/>
              <w:numPr>
                <w:ilvl w:val="0"/>
                <w:numId w:val="0"/>
              </w:numPr>
              <w:spacing w:after="120"/>
              <w:jc w:val="center"/>
              <w:rPr>
                <w:sz w:val="24"/>
                <w:szCs w:val="24"/>
              </w:rPr>
            </w:pPr>
            <w:r w:rsidRPr="00765BC5">
              <w:rPr>
                <w:sz w:val="24"/>
                <w:szCs w:val="24"/>
              </w:rPr>
              <w:t>Within week 1 of Contract Award or no later than April 2024</w:t>
            </w:r>
          </w:p>
        </w:tc>
        <w:tc>
          <w:tcPr>
            <w:tcW w:w="1549" w:type="dxa"/>
            <w:vMerge w:val="restart"/>
          </w:tcPr>
          <w:p w14:paraId="7C0246D2" w14:textId="046D81A3" w:rsidR="007632E6" w:rsidRPr="00765BC5" w:rsidRDefault="00907F05">
            <w:pPr>
              <w:pStyle w:val="Heading3"/>
              <w:numPr>
                <w:ilvl w:val="0"/>
                <w:numId w:val="0"/>
              </w:numPr>
              <w:spacing w:after="120"/>
              <w:jc w:val="center"/>
              <w:rPr>
                <w:sz w:val="24"/>
                <w:szCs w:val="24"/>
              </w:rPr>
            </w:pPr>
            <w:r>
              <w:rPr>
                <w:sz w:val="24"/>
                <w:szCs w:val="24"/>
              </w:rPr>
              <w:t>2</w:t>
            </w:r>
            <w:r w:rsidR="00FC5948">
              <w:rPr>
                <w:sz w:val="24"/>
                <w:szCs w:val="24"/>
              </w:rPr>
              <w:t>0%</w:t>
            </w:r>
          </w:p>
        </w:tc>
      </w:tr>
      <w:tr w:rsidR="007632E6" w:rsidRPr="00765BC5" w14:paraId="1D55ACDF" w14:textId="6AFC7B59" w:rsidTr="5BAE2639">
        <w:tc>
          <w:tcPr>
            <w:tcW w:w="2671" w:type="dxa"/>
            <w:vMerge/>
            <w:vAlign w:val="center"/>
          </w:tcPr>
          <w:p w14:paraId="12ED6FE9" w14:textId="15E3A395" w:rsidR="007632E6" w:rsidRPr="00765BC5" w:rsidRDefault="007632E6">
            <w:pPr>
              <w:pStyle w:val="Heading3"/>
              <w:numPr>
                <w:ilvl w:val="0"/>
                <w:numId w:val="0"/>
              </w:numPr>
              <w:spacing w:after="120"/>
              <w:jc w:val="center"/>
              <w:rPr>
                <w:sz w:val="24"/>
                <w:szCs w:val="24"/>
              </w:rPr>
            </w:pPr>
          </w:p>
        </w:tc>
        <w:tc>
          <w:tcPr>
            <w:tcW w:w="2894" w:type="dxa"/>
            <w:vAlign w:val="center"/>
          </w:tcPr>
          <w:p w14:paraId="39EAF551" w14:textId="77777777" w:rsidR="007632E6" w:rsidRDefault="007632E6">
            <w:pPr>
              <w:pStyle w:val="Bodycopy"/>
              <w:rPr>
                <w:b/>
                <w:bCs/>
                <w:sz w:val="22"/>
                <w:szCs w:val="22"/>
              </w:rPr>
            </w:pPr>
          </w:p>
          <w:p w14:paraId="05D1FCB2" w14:textId="77777777" w:rsidR="007632E6" w:rsidRPr="0047251D" w:rsidRDefault="007632E6">
            <w:pPr>
              <w:pStyle w:val="Bodycopy"/>
              <w:ind w:left="720"/>
              <w:rPr>
                <w:b/>
                <w:bCs/>
                <w:sz w:val="22"/>
                <w:szCs w:val="22"/>
              </w:rPr>
            </w:pPr>
          </w:p>
          <w:p w14:paraId="63D7EB17" w14:textId="297295B5" w:rsidR="007632E6" w:rsidRDefault="007632E6">
            <w:pPr>
              <w:pStyle w:val="Bodycopy"/>
              <w:rPr>
                <w:b/>
                <w:bCs/>
                <w:sz w:val="22"/>
                <w:szCs w:val="22"/>
              </w:rPr>
            </w:pPr>
            <w:r>
              <w:rPr>
                <w:b/>
                <w:bCs/>
                <w:sz w:val="22"/>
                <w:szCs w:val="22"/>
              </w:rPr>
              <w:t>Delivery of w</w:t>
            </w:r>
            <w:r w:rsidRPr="0047251D">
              <w:rPr>
                <w:b/>
                <w:bCs/>
                <w:sz w:val="22"/>
                <w:szCs w:val="22"/>
              </w:rPr>
              <w:t>ave 1 public/community survey fieldwork</w:t>
            </w:r>
            <w:r>
              <w:rPr>
                <w:b/>
                <w:bCs/>
                <w:sz w:val="22"/>
                <w:szCs w:val="22"/>
              </w:rPr>
              <w:t xml:space="preserve"> </w:t>
            </w:r>
            <w:r w:rsidRPr="0047251D">
              <w:rPr>
                <w:b/>
                <w:bCs/>
                <w:sz w:val="22"/>
                <w:szCs w:val="22"/>
              </w:rPr>
              <w:t xml:space="preserve"> </w:t>
            </w:r>
          </w:p>
          <w:p w14:paraId="6D62B48F" w14:textId="77777777" w:rsidR="007632E6" w:rsidRDefault="007632E6">
            <w:pPr>
              <w:pStyle w:val="Bodycopy"/>
              <w:rPr>
                <w:b/>
                <w:bCs/>
                <w:sz w:val="22"/>
                <w:szCs w:val="22"/>
              </w:rPr>
            </w:pPr>
          </w:p>
          <w:p w14:paraId="7EB5BEAB" w14:textId="77777777" w:rsidR="007632E6" w:rsidRPr="00765BC5" w:rsidRDefault="007632E6">
            <w:pPr>
              <w:pStyle w:val="Bodycopy"/>
            </w:pPr>
          </w:p>
        </w:tc>
        <w:tc>
          <w:tcPr>
            <w:tcW w:w="1905" w:type="dxa"/>
            <w:vAlign w:val="center"/>
          </w:tcPr>
          <w:p w14:paraId="1D60958B" w14:textId="14FF0ABF" w:rsidR="007632E6" w:rsidRPr="00765BC5" w:rsidRDefault="00EB35A5">
            <w:pPr>
              <w:pStyle w:val="Heading3"/>
              <w:numPr>
                <w:ilvl w:val="0"/>
                <w:numId w:val="0"/>
              </w:numPr>
              <w:spacing w:after="120"/>
              <w:jc w:val="center"/>
              <w:rPr>
                <w:sz w:val="24"/>
                <w:szCs w:val="24"/>
              </w:rPr>
            </w:pPr>
            <w:r>
              <w:rPr>
                <w:sz w:val="24"/>
                <w:szCs w:val="24"/>
              </w:rPr>
              <w:t>April/</w:t>
            </w:r>
            <w:r w:rsidR="007632E6">
              <w:rPr>
                <w:sz w:val="24"/>
                <w:szCs w:val="24"/>
              </w:rPr>
              <w:t xml:space="preserve">May 2024 </w:t>
            </w:r>
            <w:r>
              <w:rPr>
                <w:sz w:val="24"/>
                <w:szCs w:val="24"/>
              </w:rPr>
              <w:t>to TBC</w:t>
            </w:r>
          </w:p>
        </w:tc>
        <w:tc>
          <w:tcPr>
            <w:tcW w:w="1549" w:type="dxa"/>
            <w:vMerge/>
          </w:tcPr>
          <w:p w14:paraId="7314FDAA" w14:textId="77777777" w:rsidR="007632E6" w:rsidRDefault="007632E6">
            <w:pPr>
              <w:pStyle w:val="Heading3"/>
              <w:numPr>
                <w:ilvl w:val="0"/>
                <w:numId w:val="0"/>
              </w:numPr>
              <w:spacing w:after="120"/>
              <w:jc w:val="center"/>
              <w:rPr>
                <w:sz w:val="24"/>
                <w:szCs w:val="24"/>
              </w:rPr>
            </w:pPr>
          </w:p>
        </w:tc>
      </w:tr>
      <w:tr w:rsidR="007632E6" w:rsidRPr="00765BC5" w14:paraId="49A47A8F" w14:textId="00172DA4" w:rsidTr="5BAE2639">
        <w:tc>
          <w:tcPr>
            <w:tcW w:w="2671" w:type="dxa"/>
            <w:vMerge w:val="restart"/>
            <w:vAlign w:val="center"/>
          </w:tcPr>
          <w:p w14:paraId="7AD5A367" w14:textId="04251AE2" w:rsidR="007632E6" w:rsidRPr="00765BC5" w:rsidRDefault="007632E6" w:rsidP="007632E6">
            <w:pPr>
              <w:pStyle w:val="Heading3"/>
              <w:numPr>
                <w:ilvl w:val="0"/>
                <w:numId w:val="0"/>
              </w:numPr>
              <w:spacing w:after="120"/>
              <w:jc w:val="center"/>
              <w:rPr>
                <w:sz w:val="24"/>
                <w:szCs w:val="24"/>
              </w:rPr>
            </w:pPr>
            <w:r>
              <w:rPr>
                <w:sz w:val="24"/>
                <w:szCs w:val="24"/>
              </w:rPr>
              <w:t>3&amp;4</w:t>
            </w:r>
          </w:p>
        </w:tc>
        <w:tc>
          <w:tcPr>
            <w:tcW w:w="2894" w:type="dxa"/>
            <w:vAlign w:val="center"/>
          </w:tcPr>
          <w:p w14:paraId="70EA8FB1" w14:textId="77777777" w:rsidR="007632E6" w:rsidRDefault="007632E6">
            <w:pPr>
              <w:pStyle w:val="Bodycopy"/>
              <w:rPr>
                <w:b/>
                <w:bCs/>
                <w:sz w:val="22"/>
                <w:szCs w:val="22"/>
              </w:rPr>
            </w:pPr>
          </w:p>
          <w:p w14:paraId="71975B14" w14:textId="6910B872" w:rsidR="007632E6" w:rsidRDefault="007632E6">
            <w:pPr>
              <w:pStyle w:val="Bodycopy"/>
              <w:rPr>
                <w:b/>
                <w:bCs/>
                <w:sz w:val="22"/>
                <w:szCs w:val="22"/>
              </w:rPr>
            </w:pPr>
            <w:r>
              <w:rPr>
                <w:b/>
                <w:bCs/>
                <w:sz w:val="22"/>
                <w:szCs w:val="22"/>
              </w:rPr>
              <w:t xml:space="preserve">Delivery of wave 1 Impact and process related qualitative </w:t>
            </w:r>
            <w:proofErr w:type="gramStart"/>
            <w:r>
              <w:rPr>
                <w:b/>
                <w:bCs/>
                <w:sz w:val="22"/>
                <w:szCs w:val="22"/>
              </w:rPr>
              <w:t>fieldwork</w:t>
            </w:r>
            <w:proofErr w:type="gramEnd"/>
            <w:r>
              <w:rPr>
                <w:b/>
                <w:bCs/>
                <w:sz w:val="22"/>
                <w:szCs w:val="22"/>
              </w:rPr>
              <w:t xml:space="preserve"> </w:t>
            </w:r>
          </w:p>
          <w:p w14:paraId="568E101E" w14:textId="77777777" w:rsidR="007632E6" w:rsidRPr="00765BC5" w:rsidRDefault="007632E6">
            <w:pPr>
              <w:pStyle w:val="Heading3"/>
              <w:numPr>
                <w:ilvl w:val="0"/>
                <w:numId w:val="0"/>
              </w:numPr>
              <w:spacing w:after="120"/>
              <w:jc w:val="left"/>
              <w:rPr>
                <w:sz w:val="24"/>
                <w:szCs w:val="24"/>
              </w:rPr>
            </w:pPr>
          </w:p>
        </w:tc>
        <w:tc>
          <w:tcPr>
            <w:tcW w:w="1905" w:type="dxa"/>
            <w:vAlign w:val="center"/>
          </w:tcPr>
          <w:p w14:paraId="230D207F" w14:textId="77777777" w:rsidR="007632E6" w:rsidRPr="00765BC5" w:rsidRDefault="007632E6">
            <w:pPr>
              <w:pStyle w:val="Heading3"/>
              <w:numPr>
                <w:ilvl w:val="0"/>
                <w:numId w:val="0"/>
              </w:numPr>
              <w:spacing w:after="120"/>
              <w:jc w:val="center"/>
              <w:rPr>
                <w:sz w:val="24"/>
                <w:szCs w:val="24"/>
              </w:rPr>
            </w:pPr>
            <w:r>
              <w:rPr>
                <w:sz w:val="24"/>
                <w:szCs w:val="24"/>
              </w:rPr>
              <w:t>To be agreed with successful Supplier</w:t>
            </w:r>
          </w:p>
        </w:tc>
        <w:tc>
          <w:tcPr>
            <w:tcW w:w="1549" w:type="dxa"/>
            <w:vMerge w:val="restart"/>
          </w:tcPr>
          <w:p w14:paraId="143EA71A" w14:textId="7C7042C8" w:rsidR="007632E6" w:rsidRDefault="00907F05">
            <w:pPr>
              <w:pStyle w:val="Heading3"/>
              <w:numPr>
                <w:ilvl w:val="0"/>
                <w:numId w:val="0"/>
              </w:numPr>
              <w:spacing w:after="120"/>
              <w:jc w:val="center"/>
              <w:rPr>
                <w:sz w:val="24"/>
                <w:szCs w:val="24"/>
              </w:rPr>
            </w:pPr>
            <w:r>
              <w:rPr>
                <w:sz w:val="24"/>
                <w:szCs w:val="24"/>
              </w:rPr>
              <w:t>20%</w:t>
            </w:r>
          </w:p>
        </w:tc>
      </w:tr>
      <w:tr w:rsidR="007632E6" w:rsidRPr="00765BC5" w14:paraId="2C5A8A5F" w14:textId="740C9F58" w:rsidTr="5BAE2639">
        <w:tc>
          <w:tcPr>
            <w:tcW w:w="2671" w:type="dxa"/>
            <w:vMerge/>
            <w:vAlign w:val="center"/>
          </w:tcPr>
          <w:p w14:paraId="45FE924C" w14:textId="6E9E66D5" w:rsidR="007632E6" w:rsidRPr="00765BC5" w:rsidRDefault="007632E6">
            <w:pPr>
              <w:pStyle w:val="Heading3"/>
              <w:numPr>
                <w:ilvl w:val="0"/>
                <w:numId w:val="0"/>
              </w:numPr>
              <w:spacing w:after="120"/>
              <w:jc w:val="center"/>
              <w:rPr>
                <w:sz w:val="24"/>
                <w:szCs w:val="24"/>
              </w:rPr>
            </w:pPr>
          </w:p>
        </w:tc>
        <w:tc>
          <w:tcPr>
            <w:tcW w:w="2894" w:type="dxa"/>
            <w:vAlign w:val="center"/>
          </w:tcPr>
          <w:p w14:paraId="523F38FD" w14:textId="77777777" w:rsidR="007632E6" w:rsidRDefault="007632E6">
            <w:pPr>
              <w:pStyle w:val="Bodycopy"/>
              <w:rPr>
                <w:b/>
                <w:bCs/>
                <w:sz w:val="22"/>
                <w:szCs w:val="22"/>
              </w:rPr>
            </w:pPr>
          </w:p>
          <w:p w14:paraId="5E7A1168" w14:textId="77777777" w:rsidR="007632E6" w:rsidRDefault="007632E6">
            <w:pPr>
              <w:pStyle w:val="Bodycopy"/>
              <w:rPr>
                <w:b/>
                <w:bCs/>
                <w:sz w:val="22"/>
                <w:szCs w:val="22"/>
              </w:rPr>
            </w:pPr>
            <w:r>
              <w:rPr>
                <w:b/>
                <w:bCs/>
                <w:sz w:val="22"/>
                <w:szCs w:val="22"/>
              </w:rPr>
              <w:t xml:space="preserve">Interim findings report / slide deck and associated debrief (December 2024) </w:t>
            </w:r>
          </w:p>
          <w:p w14:paraId="0BFAB846" w14:textId="77777777" w:rsidR="007632E6" w:rsidRPr="00765BC5" w:rsidRDefault="007632E6">
            <w:pPr>
              <w:pStyle w:val="Heading3"/>
              <w:numPr>
                <w:ilvl w:val="0"/>
                <w:numId w:val="0"/>
              </w:numPr>
              <w:spacing w:after="120"/>
              <w:jc w:val="left"/>
              <w:rPr>
                <w:sz w:val="24"/>
                <w:szCs w:val="24"/>
              </w:rPr>
            </w:pPr>
          </w:p>
        </w:tc>
        <w:tc>
          <w:tcPr>
            <w:tcW w:w="1905" w:type="dxa"/>
            <w:vAlign w:val="center"/>
          </w:tcPr>
          <w:p w14:paraId="2C7C01B7" w14:textId="7649B5F6" w:rsidR="007632E6" w:rsidRPr="00765BC5" w:rsidRDefault="00013264">
            <w:pPr>
              <w:pStyle w:val="Heading3"/>
              <w:numPr>
                <w:ilvl w:val="0"/>
                <w:numId w:val="0"/>
              </w:numPr>
              <w:spacing w:after="120"/>
              <w:jc w:val="center"/>
              <w:rPr>
                <w:sz w:val="24"/>
                <w:szCs w:val="24"/>
              </w:rPr>
            </w:pPr>
            <w:r>
              <w:rPr>
                <w:sz w:val="24"/>
                <w:szCs w:val="24"/>
              </w:rPr>
              <w:t>October</w:t>
            </w:r>
            <w:r w:rsidR="007632E6">
              <w:rPr>
                <w:sz w:val="24"/>
                <w:szCs w:val="24"/>
              </w:rPr>
              <w:t xml:space="preserve"> 2024</w:t>
            </w:r>
          </w:p>
        </w:tc>
        <w:tc>
          <w:tcPr>
            <w:tcW w:w="1549" w:type="dxa"/>
            <w:vMerge/>
          </w:tcPr>
          <w:p w14:paraId="2349DB6C" w14:textId="77777777" w:rsidR="007632E6" w:rsidRDefault="007632E6">
            <w:pPr>
              <w:pStyle w:val="Heading3"/>
              <w:numPr>
                <w:ilvl w:val="0"/>
                <w:numId w:val="0"/>
              </w:numPr>
              <w:spacing w:after="120"/>
              <w:jc w:val="center"/>
              <w:rPr>
                <w:sz w:val="24"/>
                <w:szCs w:val="24"/>
              </w:rPr>
            </w:pPr>
          </w:p>
        </w:tc>
      </w:tr>
      <w:tr w:rsidR="00FC0E45" w:rsidRPr="00765BC5" w14:paraId="3CFBA7E5" w14:textId="10EADEF8" w:rsidTr="5BAE2639">
        <w:tc>
          <w:tcPr>
            <w:tcW w:w="2671" w:type="dxa"/>
            <w:vMerge w:val="restart"/>
            <w:vAlign w:val="center"/>
          </w:tcPr>
          <w:p w14:paraId="287B1D87" w14:textId="7B8FFE69" w:rsidR="00FC0E45" w:rsidRPr="00765BC5" w:rsidRDefault="00FC0E45" w:rsidP="00A81AF1">
            <w:pPr>
              <w:pStyle w:val="Heading3"/>
              <w:numPr>
                <w:ilvl w:val="0"/>
                <w:numId w:val="0"/>
              </w:numPr>
              <w:spacing w:after="120"/>
              <w:jc w:val="center"/>
              <w:rPr>
                <w:sz w:val="24"/>
                <w:szCs w:val="24"/>
              </w:rPr>
            </w:pPr>
            <w:r>
              <w:rPr>
                <w:sz w:val="24"/>
                <w:szCs w:val="24"/>
              </w:rPr>
              <w:t>5&amp;6</w:t>
            </w:r>
          </w:p>
        </w:tc>
        <w:tc>
          <w:tcPr>
            <w:tcW w:w="2894" w:type="dxa"/>
            <w:vAlign w:val="center"/>
          </w:tcPr>
          <w:p w14:paraId="162894AB" w14:textId="77777777" w:rsidR="00FC0E45" w:rsidRDefault="00FC0E45">
            <w:pPr>
              <w:pStyle w:val="Bodycopy"/>
              <w:rPr>
                <w:b/>
                <w:bCs/>
                <w:sz w:val="22"/>
                <w:szCs w:val="22"/>
              </w:rPr>
            </w:pPr>
          </w:p>
          <w:p w14:paraId="2DDC28AF" w14:textId="06BF0432" w:rsidR="00FC0E45" w:rsidRDefault="00FC0E45">
            <w:pPr>
              <w:pStyle w:val="Bodycopy"/>
              <w:rPr>
                <w:b/>
                <w:bCs/>
                <w:sz w:val="22"/>
                <w:szCs w:val="22"/>
              </w:rPr>
            </w:pPr>
            <w:r>
              <w:rPr>
                <w:b/>
                <w:bCs/>
                <w:sz w:val="22"/>
                <w:szCs w:val="22"/>
              </w:rPr>
              <w:t xml:space="preserve">Delivery of wave 2 public community survey fieldwork </w:t>
            </w:r>
          </w:p>
          <w:p w14:paraId="72117CC4" w14:textId="77777777" w:rsidR="00FC0E45" w:rsidRPr="00765BC5" w:rsidRDefault="00FC0E45">
            <w:pPr>
              <w:pStyle w:val="Heading3"/>
              <w:numPr>
                <w:ilvl w:val="0"/>
                <w:numId w:val="0"/>
              </w:numPr>
              <w:spacing w:after="120"/>
              <w:jc w:val="left"/>
              <w:rPr>
                <w:sz w:val="24"/>
                <w:szCs w:val="24"/>
              </w:rPr>
            </w:pPr>
          </w:p>
        </w:tc>
        <w:tc>
          <w:tcPr>
            <w:tcW w:w="1905" w:type="dxa"/>
            <w:vAlign w:val="center"/>
          </w:tcPr>
          <w:p w14:paraId="23EC5813" w14:textId="306B0987" w:rsidR="00FC0E45" w:rsidRPr="00765BC5" w:rsidRDefault="00FC0E45">
            <w:pPr>
              <w:pStyle w:val="Heading3"/>
              <w:numPr>
                <w:ilvl w:val="0"/>
                <w:numId w:val="0"/>
              </w:numPr>
              <w:spacing w:after="120"/>
              <w:jc w:val="center"/>
              <w:rPr>
                <w:sz w:val="24"/>
                <w:szCs w:val="24"/>
              </w:rPr>
            </w:pPr>
            <w:r w:rsidRPr="00D15A47">
              <w:rPr>
                <w:szCs w:val="22"/>
              </w:rPr>
              <w:t>To be agreed with successful supplier</w:t>
            </w:r>
          </w:p>
        </w:tc>
        <w:tc>
          <w:tcPr>
            <w:tcW w:w="1549" w:type="dxa"/>
            <w:vMerge w:val="restart"/>
          </w:tcPr>
          <w:p w14:paraId="1D787A0E" w14:textId="07697990" w:rsidR="00FC0E45" w:rsidRDefault="00907F05">
            <w:pPr>
              <w:pStyle w:val="Heading3"/>
              <w:numPr>
                <w:ilvl w:val="0"/>
                <w:numId w:val="0"/>
              </w:numPr>
              <w:spacing w:after="120"/>
              <w:jc w:val="center"/>
              <w:rPr>
                <w:sz w:val="24"/>
                <w:szCs w:val="24"/>
              </w:rPr>
            </w:pPr>
            <w:r>
              <w:rPr>
                <w:sz w:val="24"/>
                <w:szCs w:val="24"/>
              </w:rPr>
              <w:t>20%</w:t>
            </w:r>
          </w:p>
        </w:tc>
      </w:tr>
      <w:tr w:rsidR="00FC0E45" w:rsidRPr="00765BC5" w14:paraId="72C28EEE" w14:textId="36CC13B4" w:rsidTr="5BAE2639">
        <w:tc>
          <w:tcPr>
            <w:tcW w:w="2671" w:type="dxa"/>
            <w:vMerge/>
            <w:vAlign w:val="center"/>
          </w:tcPr>
          <w:p w14:paraId="1D64D19D" w14:textId="6094DC1A" w:rsidR="00FC0E45" w:rsidRPr="00765BC5" w:rsidRDefault="00FC0E45">
            <w:pPr>
              <w:pStyle w:val="Heading3"/>
              <w:numPr>
                <w:ilvl w:val="0"/>
                <w:numId w:val="0"/>
              </w:numPr>
              <w:spacing w:after="120"/>
              <w:jc w:val="center"/>
              <w:rPr>
                <w:sz w:val="24"/>
                <w:szCs w:val="24"/>
              </w:rPr>
            </w:pPr>
          </w:p>
        </w:tc>
        <w:tc>
          <w:tcPr>
            <w:tcW w:w="2894" w:type="dxa"/>
            <w:vAlign w:val="center"/>
          </w:tcPr>
          <w:p w14:paraId="3FCA2A35" w14:textId="77777777" w:rsidR="00FC0E45" w:rsidRDefault="00FC0E45">
            <w:pPr>
              <w:pStyle w:val="Bodycopy"/>
              <w:rPr>
                <w:b/>
                <w:bCs/>
                <w:sz w:val="22"/>
                <w:szCs w:val="22"/>
              </w:rPr>
            </w:pPr>
          </w:p>
          <w:p w14:paraId="49C2199B" w14:textId="3A270A32" w:rsidR="00FC0E45" w:rsidRDefault="00FC0E45">
            <w:pPr>
              <w:pStyle w:val="Bodycopy"/>
              <w:rPr>
                <w:b/>
                <w:bCs/>
                <w:sz w:val="22"/>
                <w:szCs w:val="22"/>
              </w:rPr>
            </w:pPr>
            <w:r>
              <w:rPr>
                <w:b/>
                <w:bCs/>
                <w:sz w:val="22"/>
                <w:szCs w:val="22"/>
              </w:rPr>
              <w:t xml:space="preserve">Delivery of wave 2 Impact and process related qualitative </w:t>
            </w:r>
            <w:proofErr w:type="gramStart"/>
            <w:r>
              <w:rPr>
                <w:b/>
                <w:bCs/>
                <w:sz w:val="22"/>
                <w:szCs w:val="22"/>
              </w:rPr>
              <w:t>fieldwork</w:t>
            </w:r>
            <w:proofErr w:type="gramEnd"/>
            <w:r>
              <w:rPr>
                <w:sz w:val="22"/>
                <w:szCs w:val="22"/>
              </w:rPr>
              <w:t xml:space="preserve"> </w:t>
            </w:r>
          </w:p>
          <w:p w14:paraId="365D2DCB" w14:textId="77777777" w:rsidR="00FC0E45" w:rsidRPr="00765BC5" w:rsidRDefault="00FC0E45">
            <w:pPr>
              <w:pStyle w:val="Heading3"/>
              <w:numPr>
                <w:ilvl w:val="0"/>
                <w:numId w:val="0"/>
              </w:numPr>
              <w:spacing w:after="120"/>
              <w:jc w:val="left"/>
              <w:rPr>
                <w:sz w:val="24"/>
                <w:szCs w:val="24"/>
              </w:rPr>
            </w:pPr>
          </w:p>
        </w:tc>
        <w:tc>
          <w:tcPr>
            <w:tcW w:w="1905" w:type="dxa"/>
            <w:vAlign w:val="center"/>
          </w:tcPr>
          <w:p w14:paraId="2FB2A076" w14:textId="77777777" w:rsidR="00FC0E45" w:rsidRPr="00765BC5" w:rsidRDefault="00FC0E45">
            <w:pPr>
              <w:pStyle w:val="Heading3"/>
              <w:numPr>
                <w:ilvl w:val="0"/>
                <w:numId w:val="0"/>
              </w:numPr>
              <w:spacing w:after="120"/>
              <w:jc w:val="center"/>
              <w:rPr>
                <w:sz w:val="24"/>
                <w:szCs w:val="24"/>
              </w:rPr>
            </w:pPr>
            <w:r>
              <w:rPr>
                <w:sz w:val="24"/>
                <w:szCs w:val="24"/>
              </w:rPr>
              <w:t>To be agreed with successful Supplier</w:t>
            </w:r>
          </w:p>
        </w:tc>
        <w:tc>
          <w:tcPr>
            <w:tcW w:w="1549" w:type="dxa"/>
            <w:vMerge/>
          </w:tcPr>
          <w:p w14:paraId="4E1C9F08" w14:textId="77777777" w:rsidR="00FC0E45" w:rsidRDefault="00FC0E45">
            <w:pPr>
              <w:pStyle w:val="Heading3"/>
              <w:numPr>
                <w:ilvl w:val="0"/>
                <w:numId w:val="0"/>
              </w:numPr>
              <w:spacing w:after="120"/>
              <w:jc w:val="center"/>
              <w:rPr>
                <w:sz w:val="24"/>
                <w:szCs w:val="24"/>
              </w:rPr>
            </w:pPr>
          </w:p>
        </w:tc>
      </w:tr>
      <w:tr w:rsidR="00AC0482" w:rsidRPr="00765BC5" w14:paraId="0B43E06B" w14:textId="63A63D25" w:rsidTr="5BAE2639">
        <w:tc>
          <w:tcPr>
            <w:tcW w:w="2671" w:type="dxa"/>
            <w:vAlign w:val="center"/>
          </w:tcPr>
          <w:p w14:paraId="2CF225EA" w14:textId="77777777" w:rsidR="00AC0482" w:rsidRPr="00765BC5" w:rsidRDefault="00AC0482">
            <w:pPr>
              <w:pStyle w:val="Heading3"/>
              <w:numPr>
                <w:ilvl w:val="0"/>
                <w:numId w:val="0"/>
              </w:numPr>
              <w:spacing w:after="120"/>
              <w:jc w:val="center"/>
              <w:rPr>
                <w:sz w:val="24"/>
                <w:szCs w:val="24"/>
              </w:rPr>
            </w:pPr>
            <w:r>
              <w:rPr>
                <w:sz w:val="24"/>
                <w:szCs w:val="24"/>
              </w:rPr>
              <w:t>7</w:t>
            </w:r>
          </w:p>
        </w:tc>
        <w:tc>
          <w:tcPr>
            <w:tcW w:w="2894" w:type="dxa"/>
            <w:vAlign w:val="center"/>
          </w:tcPr>
          <w:p w14:paraId="60A559BF" w14:textId="77777777" w:rsidR="00AC0482" w:rsidRDefault="00AC0482">
            <w:pPr>
              <w:pStyle w:val="Bodycopy"/>
            </w:pPr>
          </w:p>
          <w:p w14:paraId="4270E920" w14:textId="77777777" w:rsidR="00AC0482" w:rsidRDefault="00AC0482">
            <w:pPr>
              <w:pStyle w:val="Bodycopy"/>
              <w:rPr>
                <w:b/>
                <w:bCs/>
                <w:sz w:val="22"/>
                <w:szCs w:val="22"/>
              </w:rPr>
            </w:pPr>
          </w:p>
          <w:p w14:paraId="00AC4A51" w14:textId="77777777" w:rsidR="00AC0482" w:rsidRDefault="00AC0482">
            <w:pPr>
              <w:pStyle w:val="Bodycopy"/>
              <w:rPr>
                <w:b/>
                <w:bCs/>
                <w:sz w:val="22"/>
                <w:szCs w:val="22"/>
              </w:rPr>
            </w:pPr>
          </w:p>
          <w:p w14:paraId="6CABC929" w14:textId="77777777" w:rsidR="00AC0482" w:rsidRDefault="00AC0482">
            <w:pPr>
              <w:pStyle w:val="Bodycopy"/>
              <w:rPr>
                <w:b/>
                <w:bCs/>
                <w:sz w:val="22"/>
                <w:szCs w:val="22"/>
              </w:rPr>
            </w:pPr>
            <w:r>
              <w:rPr>
                <w:b/>
                <w:bCs/>
                <w:sz w:val="22"/>
                <w:szCs w:val="22"/>
              </w:rPr>
              <w:t xml:space="preserve">Final report / slide deck and associated </w:t>
            </w:r>
            <w:proofErr w:type="gramStart"/>
            <w:r>
              <w:rPr>
                <w:b/>
                <w:bCs/>
                <w:sz w:val="22"/>
                <w:szCs w:val="22"/>
              </w:rPr>
              <w:t>debrief</w:t>
            </w:r>
            <w:proofErr w:type="gramEnd"/>
            <w:r>
              <w:rPr>
                <w:b/>
                <w:bCs/>
                <w:sz w:val="22"/>
                <w:szCs w:val="22"/>
              </w:rPr>
              <w:t xml:space="preserve"> </w:t>
            </w:r>
          </w:p>
          <w:p w14:paraId="15510B88" w14:textId="77777777" w:rsidR="00AC0482" w:rsidRPr="00765BC5" w:rsidRDefault="00AC0482">
            <w:pPr>
              <w:pStyle w:val="Heading3"/>
              <w:numPr>
                <w:ilvl w:val="0"/>
                <w:numId w:val="0"/>
              </w:numPr>
              <w:spacing w:after="120"/>
              <w:jc w:val="left"/>
              <w:rPr>
                <w:sz w:val="24"/>
                <w:szCs w:val="24"/>
              </w:rPr>
            </w:pPr>
          </w:p>
        </w:tc>
        <w:tc>
          <w:tcPr>
            <w:tcW w:w="1905" w:type="dxa"/>
            <w:vAlign w:val="center"/>
          </w:tcPr>
          <w:p w14:paraId="61341322" w14:textId="77777777" w:rsidR="00AC0482" w:rsidRDefault="00AC0482">
            <w:pPr>
              <w:pStyle w:val="Heading3"/>
              <w:numPr>
                <w:ilvl w:val="0"/>
                <w:numId w:val="0"/>
              </w:numPr>
              <w:spacing w:after="120"/>
              <w:jc w:val="center"/>
              <w:rPr>
                <w:sz w:val="24"/>
                <w:szCs w:val="24"/>
              </w:rPr>
            </w:pPr>
          </w:p>
          <w:p w14:paraId="25CED812" w14:textId="23080F17" w:rsidR="00AC0482" w:rsidRPr="00765BC5" w:rsidRDefault="00C1570A">
            <w:pPr>
              <w:pStyle w:val="Heading3"/>
              <w:numPr>
                <w:ilvl w:val="0"/>
                <w:numId w:val="0"/>
              </w:numPr>
              <w:spacing w:after="120"/>
              <w:jc w:val="center"/>
              <w:rPr>
                <w:sz w:val="24"/>
                <w:szCs w:val="24"/>
              </w:rPr>
            </w:pPr>
            <w:r>
              <w:rPr>
                <w:sz w:val="24"/>
                <w:szCs w:val="24"/>
              </w:rPr>
              <w:t>March 2025</w:t>
            </w:r>
          </w:p>
        </w:tc>
        <w:tc>
          <w:tcPr>
            <w:tcW w:w="1549" w:type="dxa"/>
          </w:tcPr>
          <w:p w14:paraId="7B84B2EB" w14:textId="0A818DA6" w:rsidR="00AC0482" w:rsidRDefault="00907F05">
            <w:pPr>
              <w:pStyle w:val="Heading3"/>
              <w:numPr>
                <w:ilvl w:val="0"/>
                <w:numId w:val="0"/>
              </w:numPr>
              <w:spacing w:after="120"/>
              <w:jc w:val="center"/>
              <w:rPr>
                <w:sz w:val="24"/>
                <w:szCs w:val="24"/>
              </w:rPr>
            </w:pPr>
            <w:r>
              <w:rPr>
                <w:sz w:val="24"/>
                <w:szCs w:val="24"/>
              </w:rPr>
              <w:t>4</w:t>
            </w:r>
            <w:r w:rsidR="003E36BA">
              <w:rPr>
                <w:sz w:val="24"/>
                <w:szCs w:val="24"/>
              </w:rPr>
              <w:t>0%</w:t>
            </w:r>
          </w:p>
        </w:tc>
      </w:tr>
    </w:tbl>
    <w:p w14:paraId="4FBED1B2" w14:textId="77777777" w:rsidR="00A22F34" w:rsidRDefault="00A22F34" w:rsidP="00907F05">
      <w:pPr>
        <w:pStyle w:val="Normal1"/>
      </w:pPr>
    </w:p>
    <w:p w14:paraId="59EDE42C" w14:textId="77777777" w:rsidR="00907F05" w:rsidRDefault="00907F05" w:rsidP="00907F05">
      <w:pPr>
        <w:pStyle w:val="Normal1"/>
      </w:pPr>
    </w:p>
    <w:p w14:paraId="312C32A4" w14:textId="77777777" w:rsidR="00907F05" w:rsidRDefault="00907F05" w:rsidP="00907F05">
      <w:pPr>
        <w:pStyle w:val="Normal1"/>
      </w:pPr>
    </w:p>
    <w:p w14:paraId="6309BCEE" w14:textId="77777777" w:rsidR="00E83049" w:rsidRDefault="00E83049" w:rsidP="00907F05">
      <w:pPr>
        <w:pStyle w:val="Normal1"/>
      </w:pPr>
    </w:p>
    <w:p w14:paraId="6AA63342" w14:textId="77777777" w:rsidR="00E83049" w:rsidRDefault="00E83049" w:rsidP="00907F05">
      <w:pPr>
        <w:pStyle w:val="Normal1"/>
      </w:pPr>
    </w:p>
    <w:p w14:paraId="0BF489EC" w14:textId="77777777" w:rsidR="00907F05" w:rsidRDefault="00907F05" w:rsidP="00907F05">
      <w:pPr>
        <w:pStyle w:val="Normal1"/>
      </w:pPr>
    </w:p>
    <w:p w14:paraId="6B685A3F" w14:textId="50820D82" w:rsidR="00C101B2" w:rsidRDefault="00C101B2" w:rsidP="00334FF3">
      <w:pPr>
        <w:pStyle w:val="Heading1"/>
        <w:numPr>
          <w:ilvl w:val="0"/>
          <w:numId w:val="0"/>
        </w:numPr>
      </w:pPr>
      <w:bookmarkStart w:id="49" w:name="_Toc159329829"/>
      <w:r>
        <w:t xml:space="preserve">Annex </w:t>
      </w:r>
      <w:r w:rsidR="00E83049">
        <w:t>B</w:t>
      </w:r>
      <w:r>
        <w:t xml:space="preserve">: </w:t>
      </w:r>
      <w:r w:rsidR="00334FF3">
        <w:t>Hotspot Response Fund Guidance 24/25</w:t>
      </w:r>
      <w:bookmarkEnd w:id="49"/>
    </w:p>
    <w:p w14:paraId="1D5B16BA" w14:textId="77777777" w:rsidR="00C101B2" w:rsidRDefault="00C101B2" w:rsidP="00334FF3">
      <w:pPr>
        <w:pStyle w:val="Normal1"/>
        <w:rPr>
          <w:b/>
          <w:bCs/>
        </w:rPr>
      </w:pPr>
      <w:r w:rsidRPr="003536BF">
        <w:rPr>
          <w:b/>
          <w:bCs/>
        </w:rPr>
        <w:t xml:space="preserve">Hotspot Identification and Definition Requirements </w:t>
      </w:r>
    </w:p>
    <w:p w14:paraId="4A83B084" w14:textId="77777777" w:rsidR="00C101B2" w:rsidRDefault="00C101B2" w:rsidP="00C101B2">
      <w:pPr>
        <w:pStyle w:val="Mainbodytext-tight"/>
      </w:pPr>
      <w:r>
        <w:t xml:space="preserve">It is mandatory that all 43 force areas: </w:t>
      </w:r>
    </w:p>
    <w:p w14:paraId="391794B7" w14:textId="77777777" w:rsidR="00C101B2" w:rsidRDefault="00C101B2" w:rsidP="00C101B2">
      <w:pPr>
        <w:pStyle w:val="Mainbodytext-tight"/>
        <w:numPr>
          <w:ilvl w:val="0"/>
          <w:numId w:val="26"/>
        </w:numPr>
      </w:pPr>
      <w:r>
        <w:t xml:space="preserve">Use SV and ASB data to identify a single set of non-overlapping hot spots that cover the areas experiencing highest volumes of both SV/ASB relevant offences (frontline knowledge and local intelligence should also be used to supplement data where appropriate, particularly to inform ASB hotspot selection where data might be limited). Hotspots can be selected on the basis that they are among the highest for ASB or SV, but we would expect there to be a mix of both overall for each force area and there must be clear rationale for their selection. </w:t>
      </w:r>
    </w:p>
    <w:p w14:paraId="58B1055F" w14:textId="77777777" w:rsidR="00C101B2" w:rsidRPr="00124E66" w:rsidRDefault="00C101B2" w:rsidP="00C101B2">
      <w:pPr>
        <w:pStyle w:val="Mainbodytext-tight"/>
        <w:numPr>
          <w:ilvl w:val="0"/>
          <w:numId w:val="26"/>
        </w:numPr>
      </w:pPr>
      <w:r>
        <w:t xml:space="preserve">Map hotspots and share shapefiles that define the hotspot with the Home Office (HO). These will also be shared with the Supplier to inform evaluation delivery. </w:t>
      </w:r>
    </w:p>
    <w:p w14:paraId="1A280600" w14:textId="77777777" w:rsidR="00C101B2" w:rsidRDefault="00C101B2" w:rsidP="00C101B2">
      <w:pPr>
        <w:pStyle w:val="Mainbodytext-tight"/>
        <w:rPr>
          <w:rFonts w:eastAsia="Arial" w:cs="Arial"/>
          <w:bCs/>
          <w:color w:val="0B0B0B"/>
        </w:rPr>
      </w:pPr>
    </w:p>
    <w:p w14:paraId="0C7AE47A" w14:textId="77777777" w:rsidR="009F75A6" w:rsidRDefault="00C101B2" w:rsidP="009F75A6">
      <w:pPr>
        <w:pStyle w:val="Mainbodytext-tight"/>
      </w:pPr>
      <w:r>
        <w:t>It is recommended that all 43 force areas:</w:t>
      </w:r>
    </w:p>
    <w:p w14:paraId="619BD1D1" w14:textId="77777777" w:rsidR="00C101B2" w:rsidRPr="009F75A6" w:rsidRDefault="00C101B2" w:rsidP="009F75A6">
      <w:pPr>
        <w:pStyle w:val="Mainbodytext-tight"/>
        <w:numPr>
          <w:ilvl w:val="0"/>
          <w:numId w:val="61"/>
        </w:numPr>
      </w:pPr>
      <w:r>
        <w:t>Engage relevant local partners in the selection process at the earliest stage.</w:t>
      </w:r>
    </w:p>
    <w:p w14:paraId="31CD334A" w14:textId="77777777" w:rsidR="00C101B2" w:rsidRPr="00964697" w:rsidRDefault="00C101B2" w:rsidP="009F75A6">
      <w:pPr>
        <w:pStyle w:val="Mainbodytext-tight"/>
        <w:numPr>
          <w:ilvl w:val="0"/>
          <w:numId w:val="60"/>
        </w:numPr>
        <w:rPr>
          <w:rFonts w:eastAsia="Arial" w:cs="Arial"/>
          <w:bCs/>
          <w:color w:val="0B0B0B"/>
        </w:rPr>
      </w:pPr>
      <w:r>
        <w:t>Ensure that hotspots are not larger in size than Lower Super Output Area.</w:t>
      </w:r>
    </w:p>
    <w:p w14:paraId="28357B18" w14:textId="77777777" w:rsidR="00C101B2" w:rsidRPr="00964697" w:rsidRDefault="00C101B2" w:rsidP="009F75A6">
      <w:pPr>
        <w:pStyle w:val="Mainbodytext-tight"/>
        <w:numPr>
          <w:ilvl w:val="0"/>
          <w:numId w:val="60"/>
        </w:numPr>
        <w:rPr>
          <w:rFonts w:eastAsia="Arial" w:cs="Arial"/>
          <w:bCs/>
          <w:color w:val="0B0B0B"/>
        </w:rPr>
      </w:pPr>
      <w:r>
        <w:t>Ensure that each hotspot has at least 10% of days with a relevant offence.</w:t>
      </w:r>
    </w:p>
    <w:p w14:paraId="26C02010" w14:textId="77777777" w:rsidR="00C101B2" w:rsidRDefault="00C101B2" w:rsidP="009F75A6">
      <w:pPr>
        <w:pStyle w:val="Mainbodytext-tight"/>
        <w:numPr>
          <w:ilvl w:val="0"/>
          <w:numId w:val="60"/>
        </w:numPr>
        <w:rPr>
          <w:rFonts w:eastAsia="Arial" w:cs="Arial"/>
          <w:bCs/>
          <w:color w:val="0B0B0B"/>
        </w:rPr>
      </w:pPr>
      <w:r>
        <w:t>Ensure that once selected, treatment of hotspots is maintained for a minimum of 9 to 12 months, unless there is a very good operational reason why treatment of the hotspot is no longer viable. Any changes to hotspots identified for treatment should be discussed with the Home Office.</w:t>
      </w:r>
    </w:p>
    <w:p w14:paraId="339ABF35" w14:textId="77777777" w:rsidR="00C101B2" w:rsidRDefault="00C101B2" w:rsidP="00C101B2">
      <w:pPr>
        <w:pStyle w:val="ListParagraph"/>
        <w:rPr>
          <w:rFonts w:eastAsia="Arial" w:cs="Arial"/>
          <w:bCs/>
          <w:color w:val="0B0B0B"/>
        </w:rPr>
      </w:pPr>
    </w:p>
    <w:p w14:paraId="52A63356" w14:textId="77777777" w:rsidR="00C101B2" w:rsidRDefault="00C101B2" w:rsidP="00C101B2">
      <w:pPr>
        <w:pStyle w:val="Mainbodytext-tight"/>
      </w:pPr>
      <w:r>
        <w:t>It is mandatory that the 20 force areas previously in receipt of Grip funding:</w:t>
      </w:r>
    </w:p>
    <w:p w14:paraId="4D0C5756" w14:textId="77777777" w:rsidR="00C101B2" w:rsidRPr="00B122D1" w:rsidRDefault="00C101B2" w:rsidP="00C101B2">
      <w:pPr>
        <w:pStyle w:val="Mainbodytext-tight"/>
        <w:numPr>
          <w:ilvl w:val="0"/>
          <w:numId w:val="28"/>
        </w:numPr>
        <w:rPr>
          <w:rFonts w:eastAsia="Arial" w:cs="Arial"/>
          <w:bCs/>
          <w:color w:val="0B0B0B"/>
        </w:rPr>
      </w:pPr>
      <w:r>
        <w:t xml:space="preserve">Ensure that hotspots cumulatively cover at least 10% of force area total SV (violence/robbery). </w:t>
      </w:r>
    </w:p>
    <w:p w14:paraId="6D7F6A10" w14:textId="77777777" w:rsidR="00C101B2" w:rsidRDefault="00C101B2" w:rsidP="00C101B2">
      <w:pPr>
        <w:pStyle w:val="Mainbodytext-tight"/>
      </w:pPr>
    </w:p>
    <w:p w14:paraId="4C14D043" w14:textId="77777777" w:rsidR="00C101B2" w:rsidRDefault="00C101B2" w:rsidP="00C101B2">
      <w:pPr>
        <w:pStyle w:val="Mainbodytext-tight"/>
      </w:pPr>
      <w:r>
        <w:t>It is recommended that the 23 force areas not previously in receipt of Grip funding:</w:t>
      </w:r>
    </w:p>
    <w:p w14:paraId="55867C45" w14:textId="77777777" w:rsidR="00C101B2" w:rsidRDefault="00C101B2" w:rsidP="00C101B2">
      <w:pPr>
        <w:pStyle w:val="Mainbodytext-tight"/>
        <w:numPr>
          <w:ilvl w:val="0"/>
          <w:numId w:val="28"/>
        </w:numPr>
      </w:pPr>
      <w:r>
        <w:t xml:space="preserve">Ensure that hotspots selected cumulatively cover at least 10% of the force area’s total volume of recorded SV (which includes knife crime, GBH, robbery etc) </w:t>
      </w:r>
    </w:p>
    <w:p w14:paraId="235A4C6B" w14:textId="77777777" w:rsidR="00C101B2" w:rsidRPr="00964697" w:rsidRDefault="00C101B2" w:rsidP="00C101B2">
      <w:pPr>
        <w:pStyle w:val="Mainbodytext-tight"/>
        <w:rPr>
          <w:b/>
          <w:bCs/>
        </w:rPr>
      </w:pPr>
    </w:p>
    <w:p w14:paraId="5A32672E" w14:textId="77777777" w:rsidR="00C101B2" w:rsidRPr="00964697" w:rsidRDefault="00C101B2" w:rsidP="00C101B2">
      <w:pPr>
        <w:pStyle w:val="Mainbodytext-tight"/>
        <w:rPr>
          <w:b/>
          <w:bCs/>
        </w:rPr>
      </w:pPr>
      <w:r w:rsidRPr="00964697">
        <w:rPr>
          <w:b/>
          <w:bCs/>
        </w:rPr>
        <w:t xml:space="preserve">Cross-agency Working Requirements </w:t>
      </w:r>
    </w:p>
    <w:p w14:paraId="5AAD4665" w14:textId="77777777" w:rsidR="00C101B2" w:rsidRDefault="00C101B2" w:rsidP="00C101B2">
      <w:pPr>
        <w:pStyle w:val="Mainbodytext-tight"/>
      </w:pPr>
    </w:p>
    <w:p w14:paraId="4472861B" w14:textId="77777777" w:rsidR="00C101B2" w:rsidRDefault="00C101B2" w:rsidP="00C101B2">
      <w:pPr>
        <w:pStyle w:val="Mainbodytext-tight"/>
      </w:pPr>
      <w:r>
        <w:t xml:space="preserve">It is mandatory that all 43 force areas: </w:t>
      </w:r>
    </w:p>
    <w:p w14:paraId="788F857C" w14:textId="77777777" w:rsidR="00C101B2" w:rsidRDefault="00C101B2" w:rsidP="00C101B2">
      <w:pPr>
        <w:pStyle w:val="Mainbodytext-tight"/>
        <w:numPr>
          <w:ilvl w:val="0"/>
          <w:numId w:val="28"/>
        </w:numPr>
      </w:pPr>
      <w:r>
        <w:t xml:space="preserve">Consider which agency is best suited to undertake patrols at each day, time or location and present this rationale as part of their application. This could include the benefits of the agency’s specialist skills </w:t>
      </w:r>
      <w:proofErr w:type="gramStart"/>
      <w:r>
        <w:t>e.g.</w:t>
      </w:r>
      <w:proofErr w:type="gramEnd"/>
      <w:r>
        <w:t xml:space="preserve"> powers of arrest, abilities to divert and refer. </w:t>
      </w:r>
    </w:p>
    <w:p w14:paraId="3500D16C" w14:textId="77777777" w:rsidR="00C101B2" w:rsidRDefault="00C101B2" w:rsidP="00C101B2">
      <w:pPr>
        <w:pStyle w:val="Mainbodytext-tight"/>
      </w:pPr>
    </w:p>
    <w:p w14:paraId="7B6EDAF2" w14:textId="77777777" w:rsidR="00C101B2" w:rsidRDefault="00C101B2" w:rsidP="00C101B2">
      <w:pPr>
        <w:pStyle w:val="Mainbodytext-tight"/>
      </w:pPr>
      <w:r>
        <w:t>It is recommended that all 43 force areas:</w:t>
      </w:r>
    </w:p>
    <w:p w14:paraId="66D27763" w14:textId="77777777" w:rsidR="00C101B2" w:rsidRDefault="00C101B2" w:rsidP="00C101B2">
      <w:pPr>
        <w:pStyle w:val="Mainbodytext-tight"/>
        <w:numPr>
          <w:ilvl w:val="0"/>
          <w:numId w:val="28"/>
        </w:numPr>
      </w:pPr>
      <w:r>
        <w:lastRenderedPageBreak/>
        <w:t>Map available resource from different partners to ensure there is capacity to regular carry out the planned additional patrols.</w:t>
      </w:r>
    </w:p>
    <w:p w14:paraId="333B0C5F" w14:textId="77777777" w:rsidR="00C101B2" w:rsidRDefault="00C101B2" w:rsidP="00C101B2">
      <w:pPr>
        <w:pStyle w:val="Mainbodytext-tight"/>
        <w:numPr>
          <w:ilvl w:val="0"/>
          <w:numId w:val="28"/>
        </w:numPr>
      </w:pPr>
      <w:r>
        <w:t xml:space="preserve">Engage early with relevant partners to agree what additional resource will be required and take steps to arrange this </w:t>
      </w:r>
      <w:proofErr w:type="gramStart"/>
      <w:r>
        <w:t>e.g.</w:t>
      </w:r>
      <w:proofErr w:type="gramEnd"/>
      <w:r>
        <w:t xml:space="preserve"> recruitment as early as possible.</w:t>
      </w:r>
    </w:p>
    <w:p w14:paraId="7B567891" w14:textId="77777777" w:rsidR="00C101B2" w:rsidRDefault="00C101B2" w:rsidP="00C101B2">
      <w:pPr>
        <w:pStyle w:val="Mainbodytext-tight"/>
      </w:pPr>
    </w:p>
    <w:p w14:paraId="3F5C4DA2" w14:textId="77777777" w:rsidR="00C101B2" w:rsidRPr="00964697" w:rsidRDefault="00C101B2" w:rsidP="00C101B2">
      <w:pPr>
        <w:pStyle w:val="Mainbodytext-tight"/>
        <w:rPr>
          <w:b/>
          <w:bCs/>
        </w:rPr>
      </w:pPr>
      <w:r w:rsidRPr="00964697">
        <w:rPr>
          <w:b/>
          <w:bCs/>
        </w:rPr>
        <w:t xml:space="preserve">Patrol Requirements </w:t>
      </w:r>
    </w:p>
    <w:p w14:paraId="531B1C89" w14:textId="77777777" w:rsidR="00C101B2" w:rsidRDefault="00C101B2" w:rsidP="00C101B2">
      <w:pPr>
        <w:pStyle w:val="Mainbodytext-tight"/>
      </w:pPr>
    </w:p>
    <w:p w14:paraId="5222A80F" w14:textId="77777777" w:rsidR="00C101B2" w:rsidRDefault="00C101B2" w:rsidP="00C101B2">
      <w:pPr>
        <w:pStyle w:val="Mainbodytext-tight"/>
      </w:pPr>
      <w:r>
        <w:t>It is mandatory that all 43 force areas:</w:t>
      </w:r>
    </w:p>
    <w:p w14:paraId="16961DB2" w14:textId="77777777" w:rsidR="00C101B2" w:rsidRDefault="00C101B2" w:rsidP="00C101B2">
      <w:pPr>
        <w:pStyle w:val="Mainbodytext-tight"/>
        <w:numPr>
          <w:ilvl w:val="0"/>
          <w:numId w:val="29"/>
        </w:numPr>
      </w:pPr>
      <w:r>
        <w:t>As a minimum on average, deliver an eligible patrol at least once every three days, (unless agreed that the area is subject to a POP plan only, with no visible patrol included as part of planned activity to address the problems).</w:t>
      </w:r>
    </w:p>
    <w:p w14:paraId="17FDEBC4" w14:textId="77777777" w:rsidR="00C101B2" w:rsidRDefault="00C101B2" w:rsidP="00C101B2">
      <w:pPr>
        <w:pStyle w:val="Mainbodytext-tight"/>
        <w:numPr>
          <w:ilvl w:val="0"/>
          <w:numId w:val="29"/>
        </w:numPr>
      </w:pPr>
      <w:r>
        <w:t xml:space="preserve">Ensure patrols are not in direct response to a crime that has just occurred. They should be proactive based on long-term incident data or local intelligence. </w:t>
      </w:r>
    </w:p>
    <w:p w14:paraId="034A773A" w14:textId="77777777" w:rsidR="00C101B2" w:rsidRDefault="00C101B2" w:rsidP="00C101B2">
      <w:pPr>
        <w:pStyle w:val="Mainbodytext-tight"/>
        <w:numPr>
          <w:ilvl w:val="0"/>
          <w:numId w:val="29"/>
        </w:numPr>
      </w:pPr>
      <w:r>
        <w:t>Produce a proactive plan/schedule for patrols and share with HO.</w:t>
      </w:r>
    </w:p>
    <w:p w14:paraId="5ACCA850" w14:textId="77777777" w:rsidR="00C101B2" w:rsidRDefault="00C101B2" w:rsidP="00C101B2">
      <w:pPr>
        <w:pStyle w:val="Mainbodytext-tight"/>
        <w:numPr>
          <w:ilvl w:val="0"/>
          <w:numId w:val="29"/>
        </w:numPr>
      </w:pPr>
      <w:r>
        <w:t>Return data for all relevant patrols (irrespective of their duration</w:t>
      </w:r>
      <w:proofErr w:type="gramStart"/>
      <w:r>
        <w:t>), but</w:t>
      </w:r>
      <w:proofErr w:type="gramEnd"/>
      <w:r>
        <w:t xml:space="preserve"> accept that for a patrol to count as hotspot treatment, its duration cannot be less than 15 minutes and that it must involve provision of a visible presence (for example, police officers, Police Community Support Officers (PCSOs), or community safety wardens) for it to be eligible for funding. If you have / will adopt(ed) an automatic </w:t>
      </w:r>
      <w:proofErr w:type="gramStart"/>
      <w:r>
        <w:t>system</w:t>
      </w:r>
      <w:proofErr w:type="gramEnd"/>
      <w:r>
        <w:t xml:space="preserve"> it must have the capability to distinguish proactive hotspot response patrols from reactive entries.</w:t>
      </w:r>
    </w:p>
    <w:p w14:paraId="7861E066" w14:textId="77777777" w:rsidR="00C101B2" w:rsidRDefault="00C101B2" w:rsidP="00C101B2">
      <w:pPr>
        <w:pStyle w:val="Mainbodytext-tight"/>
        <w:numPr>
          <w:ilvl w:val="0"/>
          <w:numId w:val="29"/>
        </w:numPr>
      </w:pPr>
      <w:r>
        <w:t>Deploy only high-visibility patrols as eligible for funding. We will not consider plain-clothes patrols as eligible. We expect these to be on-foot but are open to force areas to treat hotspots impacted by vehicle based ASB with vehicle-based patrols with agreed appropriate rationale.</w:t>
      </w:r>
    </w:p>
    <w:p w14:paraId="5DEAAA01" w14:textId="77777777" w:rsidR="00C101B2" w:rsidRDefault="00C101B2" w:rsidP="00C101B2">
      <w:pPr>
        <w:pStyle w:val="Mainbodytext-tight"/>
        <w:numPr>
          <w:ilvl w:val="0"/>
          <w:numId w:val="29"/>
        </w:numPr>
      </w:pPr>
      <w:r>
        <w:t>Have sufficient analytical capability to support programme.</w:t>
      </w:r>
    </w:p>
    <w:p w14:paraId="0E88D96F" w14:textId="77777777" w:rsidR="00C101B2" w:rsidRDefault="00C101B2" w:rsidP="00C101B2">
      <w:pPr>
        <w:pStyle w:val="Mainbodytext-tight"/>
      </w:pPr>
    </w:p>
    <w:p w14:paraId="330A2E79" w14:textId="77777777" w:rsidR="00C101B2" w:rsidRDefault="00C101B2" w:rsidP="00C101B2">
      <w:pPr>
        <w:pStyle w:val="Mainbodytext-tight"/>
      </w:pPr>
      <w:r>
        <w:t>It is recommended that all 43 force areas:</w:t>
      </w:r>
    </w:p>
    <w:p w14:paraId="28A5A5CF" w14:textId="77777777" w:rsidR="00C101B2" w:rsidRDefault="00C101B2" w:rsidP="00C101B2">
      <w:pPr>
        <w:pStyle w:val="Mainbodytext-tight"/>
      </w:pPr>
    </w:p>
    <w:p w14:paraId="75D6C578" w14:textId="77777777" w:rsidR="00C101B2" w:rsidRDefault="00C101B2" w:rsidP="00C101B2">
      <w:pPr>
        <w:pStyle w:val="Mainbodytext-tight"/>
        <w:numPr>
          <w:ilvl w:val="0"/>
          <w:numId w:val="30"/>
        </w:numPr>
      </w:pPr>
      <w:r>
        <w:t>Ensure patrols are targeted at the hottest times and hottest segments within hot spots by providing this information to those patrolling.</w:t>
      </w:r>
    </w:p>
    <w:p w14:paraId="4B62938A" w14:textId="77777777" w:rsidR="00C101B2" w:rsidRDefault="00C101B2" w:rsidP="00C101B2">
      <w:pPr>
        <w:pStyle w:val="Mainbodytext-tight"/>
        <w:numPr>
          <w:ilvl w:val="0"/>
          <w:numId w:val="30"/>
        </w:numPr>
      </w:pPr>
      <w:r>
        <w:t>Randomise patrol days as part of the patrol plan. We are asking force areas to randomise by day where possible, but not by time. So, force areas should only proactively patrol on the days specified in their agreed (and preferably random) schedule. But within those days' patrols should occur at the times and at the places identified as most likely to have impact, which will of course be non-random. This could and sometimes should mean doing multiple patrols on the same day.</w:t>
      </w:r>
    </w:p>
    <w:p w14:paraId="1FC2F438" w14:textId="77777777" w:rsidR="00C101B2" w:rsidRDefault="00C101B2" w:rsidP="00C101B2">
      <w:pPr>
        <w:pStyle w:val="Mainbodytext-tight"/>
        <w:numPr>
          <w:ilvl w:val="0"/>
          <w:numId w:val="30"/>
        </w:numPr>
      </w:pPr>
      <w:r>
        <w:t>Have, or be working towards (by end of 24/25), a GPS tracking system for patrols which records automated entry/exit to a hotspot. Ideally, the GPS tracking system should accurately identify date of patrol, time of patrol start and finish, and number of officers involved.</w:t>
      </w:r>
    </w:p>
    <w:p w14:paraId="151FCF14" w14:textId="77777777" w:rsidR="00C101B2" w:rsidRDefault="00C101B2" w:rsidP="00C101B2">
      <w:pPr>
        <w:pStyle w:val="Mainbodytext-tight"/>
        <w:numPr>
          <w:ilvl w:val="0"/>
          <w:numId w:val="30"/>
        </w:numPr>
      </w:pPr>
      <w:r>
        <w:t>Consider whether they want to implement an academically supported Randomised Control Trial (RCT).</w:t>
      </w:r>
    </w:p>
    <w:p w14:paraId="0057F7BA" w14:textId="77777777" w:rsidR="00C101B2" w:rsidRDefault="00C101B2" w:rsidP="00C101B2">
      <w:pPr>
        <w:pStyle w:val="Mainbodytext-tight"/>
        <w:numPr>
          <w:ilvl w:val="0"/>
          <w:numId w:val="30"/>
        </w:numPr>
      </w:pPr>
      <w:r>
        <w:t>Encourage officers and delivery partners to engage with the community while on patrols. This could include resident forums.</w:t>
      </w:r>
    </w:p>
    <w:p w14:paraId="49C75CA8" w14:textId="77777777" w:rsidR="00C101B2" w:rsidRDefault="00C101B2" w:rsidP="00C101B2">
      <w:pPr>
        <w:pStyle w:val="Mainbodytext-tight"/>
        <w:numPr>
          <w:ilvl w:val="0"/>
          <w:numId w:val="30"/>
        </w:numPr>
      </w:pPr>
      <w:r>
        <w:lastRenderedPageBreak/>
        <w:t>Consider whether to advertise that patrols are taking place, for instance via the use of social media.</w:t>
      </w:r>
    </w:p>
    <w:p w14:paraId="003A7AD1" w14:textId="77777777" w:rsidR="00C101B2" w:rsidRDefault="00C101B2" w:rsidP="00C101B2">
      <w:pPr>
        <w:pStyle w:val="Mainbodytext-tight"/>
        <w:ind w:left="360"/>
      </w:pPr>
    </w:p>
    <w:p w14:paraId="5E86675C" w14:textId="77777777" w:rsidR="00C101B2" w:rsidRPr="00964697" w:rsidRDefault="00C101B2" w:rsidP="00C101B2">
      <w:pPr>
        <w:pStyle w:val="Mainbodytext-tight"/>
        <w:rPr>
          <w:b/>
          <w:bCs/>
        </w:rPr>
      </w:pPr>
      <w:r w:rsidRPr="00964697">
        <w:rPr>
          <w:b/>
          <w:bCs/>
        </w:rPr>
        <w:t xml:space="preserve">Problem Orientated Policing (POP) Requirements </w:t>
      </w:r>
    </w:p>
    <w:p w14:paraId="6538208B" w14:textId="77777777" w:rsidR="00C101B2" w:rsidRDefault="00C101B2" w:rsidP="00C101B2">
      <w:pPr>
        <w:pStyle w:val="Mainbodytext-tight"/>
      </w:pPr>
    </w:p>
    <w:p w14:paraId="354560D8" w14:textId="77777777" w:rsidR="00C101B2" w:rsidRDefault="00C101B2" w:rsidP="00C101B2">
      <w:pPr>
        <w:pStyle w:val="Mainbodytext-tight"/>
      </w:pPr>
      <w:r>
        <w:t>It is recommended that all 43 force areas:</w:t>
      </w:r>
    </w:p>
    <w:p w14:paraId="41A10AF9" w14:textId="77777777" w:rsidR="00C101B2" w:rsidRDefault="00C101B2" w:rsidP="00C101B2">
      <w:pPr>
        <w:pStyle w:val="Mainbodytext-tight"/>
        <w:numPr>
          <w:ilvl w:val="0"/>
          <w:numId w:val="31"/>
        </w:numPr>
      </w:pPr>
      <w:r>
        <w:t xml:space="preserve">Consider the implementation of POP alongside visible patrols to maximise the effectiveness of the hotspot response. However, before implementing POP they should also very carefully consider whether they are resourced to deliver this in addition to visible patrols. This is because all evidence indicates that effective delivery of hotspot responses is operationally challenging. Force areas that are newer to implementing hotspot responses consistent with College of Policing advice may want to initially focus purely on delivering a visible patrol response in hotspots. While both visible patrols and POP are known to be effective, visible patrols are somewhat easier to implement. Once visible patrols are operating effectively, POP can always be introduced to supplement patrols. </w:t>
      </w:r>
    </w:p>
    <w:p w14:paraId="5A2EB764" w14:textId="77777777" w:rsidR="00C101B2" w:rsidRDefault="00C101B2" w:rsidP="00C101B2">
      <w:pPr>
        <w:pStyle w:val="Mainbodytext-tight"/>
      </w:pPr>
    </w:p>
    <w:p w14:paraId="4D3E555D" w14:textId="77777777" w:rsidR="00C101B2" w:rsidRDefault="00C101B2" w:rsidP="00C101B2">
      <w:pPr>
        <w:pStyle w:val="Mainbodytext-tight"/>
      </w:pPr>
      <w:r>
        <w:t>It is mandatory that all 43 force areas:</w:t>
      </w:r>
    </w:p>
    <w:p w14:paraId="6B5DA90C" w14:textId="77777777" w:rsidR="00C101B2" w:rsidRDefault="00C101B2" w:rsidP="00C101B2">
      <w:pPr>
        <w:pStyle w:val="Mainbodytext-tight"/>
      </w:pPr>
    </w:p>
    <w:p w14:paraId="032B3084" w14:textId="77777777" w:rsidR="00C101B2" w:rsidRDefault="00C101B2" w:rsidP="00C101B2">
      <w:pPr>
        <w:pStyle w:val="Mainbodytext-tight"/>
        <w:numPr>
          <w:ilvl w:val="0"/>
          <w:numId w:val="31"/>
        </w:numPr>
      </w:pPr>
      <w:r>
        <w:t>Ensure that where a decision to treat a hotspot with POP has been taken, that POP activity does not commence until a proper SARA (Scanning, Analysis, Response and Assessment) plan has been developed and has been appropriately implemented.</w:t>
      </w:r>
    </w:p>
    <w:p w14:paraId="2AF0F4DF" w14:textId="77777777" w:rsidR="00C101B2" w:rsidRDefault="00C101B2" w:rsidP="00C101B2">
      <w:pPr>
        <w:pStyle w:val="Mainbodytext-tight"/>
        <w:numPr>
          <w:ilvl w:val="0"/>
          <w:numId w:val="31"/>
        </w:numPr>
      </w:pPr>
      <w:r>
        <w:t xml:space="preserve">Ensure that where a decision to treat a hotspot with POP has been taken, the Home Office is provided with data allowing it to identify each hotspot that is the subject of POP treatment, the date upon which POP activity in that hotspot commenced, and the types of crime the POP activity is targeting. </w:t>
      </w:r>
    </w:p>
    <w:p w14:paraId="78EEDC56" w14:textId="77777777" w:rsidR="00C101B2" w:rsidRPr="00964697" w:rsidRDefault="00C101B2" w:rsidP="00C101B2">
      <w:pPr>
        <w:pStyle w:val="Mainbodytext-tight"/>
        <w:rPr>
          <w:b/>
          <w:bCs/>
        </w:rPr>
      </w:pPr>
    </w:p>
    <w:p w14:paraId="7E87D177" w14:textId="77777777" w:rsidR="00C101B2" w:rsidRDefault="00C101B2" w:rsidP="00C101B2">
      <w:pPr>
        <w:pStyle w:val="Mainbodytext-tight"/>
      </w:pPr>
      <w:r w:rsidRPr="00964697">
        <w:rPr>
          <w:b/>
          <w:bCs/>
        </w:rPr>
        <w:t>Data Return /Sharing Requirements</w:t>
      </w:r>
      <w:r>
        <w:t xml:space="preserve"> </w:t>
      </w:r>
    </w:p>
    <w:p w14:paraId="3B7BB6BF" w14:textId="77777777" w:rsidR="00C101B2" w:rsidRDefault="00C101B2" w:rsidP="00C101B2">
      <w:pPr>
        <w:pStyle w:val="Mainbodytext-tight"/>
      </w:pPr>
    </w:p>
    <w:p w14:paraId="141E8240" w14:textId="77777777" w:rsidR="00C101B2" w:rsidRDefault="00C101B2" w:rsidP="00C101B2">
      <w:pPr>
        <w:pStyle w:val="Mainbodytext-tight"/>
      </w:pPr>
      <w:r>
        <w:t xml:space="preserve">PCCs should put in place arrangements to monitor the level of operational activity (including partner activity), ASB and crime in the identified hotspots and share hotspot operational activity and incident data with the Home Office. </w:t>
      </w:r>
    </w:p>
    <w:p w14:paraId="717781F3" w14:textId="77777777" w:rsidR="00C101B2" w:rsidRDefault="00C101B2" w:rsidP="00C101B2">
      <w:pPr>
        <w:pStyle w:val="Mainbodytext-tight"/>
      </w:pPr>
    </w:p>
    <w:p w14:paraId="10C14A08" w14:textId="77777777" w:rsidR="00C101B2" w:rsidRDefault="00C101B2" w:rsidP="00C101B2">
      <w:pPr>
        <w:pStyle w:val="Mainbodytext-tight"/>
      </w:pPr>
      <w:r>
        <w:t>It is mandatory that all 43 force areas:</w:t>
      </w:r>
    </w:p>
    <w:p w14:paraId="6241C708" w14:textId="77777777" w:rsidR="00C101B2" w:rsidRDefault="00C101B2" w:rsidP="00C101B2">
      <w:pPr>
        <w:pStyle w:val="Mainbodytext-tight"/>
      </w:pPr>
    </w:p>
    <w:p w14:paraId="107D6B9B" w14:textId="77777777" w:rsidR="00C101B2" w:rsidRDefault="00C101B2" w:rsidP="00C101B2">
      <w:pPr>
        <w:pStyle w:val="Mainbodytext-tight"/>
        <w:numPr>
          <w:ilvl w:val="0"/>
          <w:numId w:val="32"/>
        </w:numPr>
      </w:pPr>
      <w:r>
        <w:t xml:space="preserve">Comply with the existing Annual Data Requirements (ADR) requirement to return offence and geo-location data to the </w:t>
      </w:r>
      <w:proofErr w:type="gramStart"/>
      <w:r>
        <w:t>Home</w:t>
      </w:r>
      <w:proofErr w:type="gramEnd"/>
      <w:r>
        <w:t xml:space="preserve"> Office data hub as we will use this to estimate impact of the programme. Any force areas currently not returning offence and geo-location data via that route will need to provide this data via a bespoke alternative approach.</w:t>
      </w:r>
    </w:p>
    <w:p w14:paraId="3695C9CA" w14:textId="77777777" w:rsidR="00C101B2" w:rsidRDefault="00C101B2" w:rsidP="00C101B2">
      <w:pPr>
        <w:pStyle w:val="Mainbodytext-tight"/>
        <w:numPr>
          <w:ilvl w:val="0"/>
          <w:numId w:val="32"/>
        </w:numPr>
      </w:pPr>
      <w:r>
        <w:t xml:space="preserve">Provide record-level patrol data every quarter consisting of date, hotspot, time-in, time-out, number of officers, number of other-agency patrollers, type of other-agency </w:t>
      </w:r>
      <w:proofErr w:type="gramStart"/>
      <w:r>
        <w:t>patrolled</w:t>
      </w:r>
      <w:proofErr w:type="gramEnd"/>
    </w:p>
    <w:p w14:paraId="2B6B11DE" w14:textId="77777777" w:rsidR="00C101B2" w:rsidRDefault="00C101B2" w:rsidP="00C101B2">
      <w:pPr>
        <w:pStyle w:val="Mainbodytext-tight"/>
        <w:numPr>
          <w:ilvl w:val="0"/>
          <w:numId w:val="32"/>
        </w:numPr>
      </w:pPr>
      <w:r>
        <w:t xml:space="preserve">Provide record-level details of any POP activity delivered. This must be divided between additional visible uniformed activity (in the same format as core visible patrolling) and </w:t>
      </w:r>
      <w:r>
        <w:lastRenderedPageBreak/>
        <w:t xml:space="preserve">any other activity delivered, for example licensing visits, improved CCTV, cutting back undergrowth. </w:t>
      </w:r>
    </w:p>
    <w:p w14:paraId="45993010" w14:textId="77777777" w:rsidR="00C101B2" w:rsidRDefault="00C101B2" w:rsidP="00C101B2">
      <w:pPr>
        <w:pStyle w:val="Mainbodytext-tight"/>
        <w:numPr>
          <w:ilvl w:val="0"/>
          <w:numId w:val="32"/>
        </w:numPr>
      </w:pPr>
      <w:r>
        <w:t>For the latter we must be provided with a return which outlines the start date, the hot spot treated, and the crime type targeted. Further details on the exact format of these data returns will follow this guidance.</w:t>
      </w:r>
    </w:p>
    <w:p w14:paraId="20D5BB6B" w14:textId="77777777" w:rsidR="00C101B2" w:rsidRDefault="00C101B2" w:rsidP="00C101B2">
      <w:pPr>
        <w:pStyle w:val="Mainbodytext-tight"/>
        <w:numPr>
          <w:ilvl w:val="0"/>
          <w:numId w:val="32"/>
        </w:numPr>
      </w:pPr>
      <w:r>
        <w:t>Provide aggregated totals of weapons taken off the streets by quarter within identified hotspots, or if not possible, at force area level.</w:t>
      </w:r>
    </w:p>
    <w:p w14:paraId="4283B709" w14:textId="77777777" w:rsidR="00C101B2" w:rsidRDefault="00C101B2" w:rsidP="00C101B2">
      <w:pPr>
        <w:pStyle w:val="Mainbodytext-tight"/>
        <w:numPr>
          <w:ilvl w:val="0"/>
          <w:numId w:val="32"/>
        </w:numPr>
      </w:pPr>
      <w:r>
        <w:t>Provide a more frequent return of the ADR 150 stop and search data [6 monthly].</w:t>
      </w:r>
    </w:p>
    <w:p w14:paraId="5211B2D4" w14:textId="77777777" w:rsidR="00C101B2" w:rsidRDefault="00C101B2" w:rsidP="00C101B2">
      <w:pPr>
        <w:pStyle w:val="Mainbodytext-tight"/>
        <w:numPr>
          <w:ilvl w:val="0"/>
          <w:numId w:val="32"/>
        </w:numPr>
      </w:pPr>
      <w:r>
        <w:t xml:space="preserve"> Provide aggregated totals of arrests carried out in the hot spots [6 monthly].</w:t>
      </w:r>
    </w:p>
    <w:p w14:paraId="0C0651B3" w14:textId="77777777" w:rsidR="00C101B2" w:rsidRDefault="00C101B2" w:rsidP="00C101B2">
      <w:pPr>
        <w:pStyle w:val="Mainbodytext-tight"/>
        <w:numPr>
          <w:ilvl w:val="0"/>
          <w:numId w:val="32"/>
        </w:numPr>
      </w:pPr>
      <w:r>
        <w:t xml:space="preserve">Provide aggregated totals of ASB powers carried out in the hot spots [6 monthly]. </w:t>
      </w:r>
    </w:p>
    <w:p w14:paraId="6978FBF8" w14:textId="77777777" w:rsidR="00C101B2" w:rsidRDefault="00C101B2" w:rsidP="00C101B2">
      <w:pPr>
        <w:pStyle w:val="Mainbodytext-tight"/>
        <w:numPr>
          <w:ilvl w:val="0"/>
          <w:numId w:val="32"/>
        </w:numPr>
      </w:pPr>
      <w:r>
        <w:t xml:space="preserve">Provide aggregate totals of ASB incidents for each hot spot [6 monthly]. </w:t>
      </w:r>
    </w:p>
    <w:p w14:paraId="61673EEB" w14:textId="77777777" w:rsidR="00C101B2" w:rsidRDefault="00C101B2" w:rsidP="00C101B2">
      <w:pPr>
        <w:pStyle w:val="Mainbodytext-tight"/>
      </w:pPr>
    </w:p>
    <w:p w14:paraId="50E5B7CE" w14:textId="77777777" w:rsidR="00C101B2" w:rsidRDefault="00C101B2" w:rsidP="00C101B2">
      <w:pPr>
        <w:pStyle w:val="Mainbodytext-tight"/>
      </w:pPr>
      <w:r>
        <w:t>It is recommended that all 43 force areas:</w:t>
      </w:r>
    </w:p>
    <w:p w14:paraId="17C92C09" w14:textId="77777777" w:rsidR="00C101B2" w:rsidRDefault="00C101B2" w:rsidP="00C101B2">
      <w:pPr>
        <w:pStyle w:val="Mainbodytext-tight"/>
      </w:pPr>
    </w:p>
    <w:p w14:paraId="1BAB12B7" w14:textId="77777777" w:rsidR="00C101B2" w:rsidRDefault="00C101B2" w:rsidP="00C101B2">
      <w:pPr>
        <w:pStyle w:val="Mainbodytext-tight"/>
        <w:numPr>
          <w:ilvl w:val="0"/>
          <w:numId w:val="33"/>
        </w:numPr>
      </w:pPr>
      <w:r>
        <w:t>Share any internal evaluations and reports produced in relation to their hotspot response programmes. The Home Office strongly recommends using comparable control groups to assess impact.</w:t>
      </w:r>
    </w:p>
    <w:p w14:paraId="0CF9A7DD" w14:textId="77777777" w:rsidR="00C101B2" w:rsidRDefault="00C101B2" w:rsidP="00C101B2">
      <w:pPr>
        <w:pStyle w:val="Mainbodytext-tight"/>
        <w:numPr>
          <w:ilvl w:val="0"/>
          <w:numId w:val="33"/>
        </w:numPr>
      </w:pPr>
      <w:r>
        <w:t>should, where relevant, clearly define how they will engage with delivery partners,</w:t>
      </w:r>
    </w:p>
    <w:p w14:paraId="60A9714C" w14:textId="77777777" w:rsidR="00C101B2" w:rsidRDefault="00C101B2" w:rsidP="00C101B2">
      <w:pPr>
        <w:pStyle w:val="Mainbodytext-tight"/>
        <w:numPr>
          <w:ilvl w:val="0"/>
          <w:numId w:val="33"/>
        </w:numPr>
      </w:pPr>
      <w:r>
        <w:t xml:space="preserve">should set out clearly how delivery partners will share data, evaluations and </w:t>
      </w:r>
      <w:proofErr w:type="gramStart"/>
      <w:r>
        <w:t>findings</w:t>
      </w:r>
      <w:proofErr w:type="gramEnd"/>
      <w:r>
        <w:t xml:space="preserve"> </w:t>
      </w:r>
    </w:p>
    <w:p w14:paraId="5F6C4A4C" w14:textId="77777777" w:rsidR="00C101B2" w:rsidRDefault="00C101B2" w:rsidP="00C101B2">
      <w:pPr>
        <w:pStyle w:val="Mainbodytext-tight"/>
      </w:pPr>
    </w:p>
    <w:p w14:paraId="586B2FB5" w14:textId="77777777" w:rsidR="00C101B2" w:rsidRDefault="00C101B2" w:rsidP="00C101B2">
      <w:pPr>
        <w:pStyle w:val="Mainbodytext-tight"/>
      </w:pPr>
      <w:r>
        <w:t xml:space="preserve">We will provide templates for the data elements that are not already part of (ADR) collections. Generally, the templates will only be one possible method of returning the data. Grant recipients will also be free to return automated outputs directly from their systems, provided the form and format of these returns satisfies the criteria specified above and has been agreed in writing by the Home Office. </w:t>
      </w:r>
    </w:p>
    <w:p w14:paraId="23121463" w14:textId="77777777" w:rsidR="00C101B2" w:rsidRDefault="00C101B2" w:rsidP="00C101B2">
      <w:pPr>
        <w:pStyle w:val="Mainbodytext-tight"/>
      </w:pPr>
    </w:p>
    <w:p w14:paraId="07A4E772" w14:textId="77777777" w:rsidR="00C101B2" w:rsidRPr="004D0BC1" w:rsidRDefault="00C101B2" w:rsidP="00C101B2">
      <w:pPr>
        <w:pStyle w:val="Mainbodytext-tight"/>
        <w:rPr>
          <w:b/>
          <w:bCs/>
        </w:rPr>
      </w:pPr>
      <w:r w:rsidRPr="004D0BC1">
        <w:rPr>
          <w:b/>
          <w:bCs/>
        </w:rPr>
        <w:t xml:space="preserve">Project Progress Reports Requirements </w:t>
      </w:r>
    </w:p>
    <w:p w14:paraId="5C4FACD8" w14:textId="77777777" w:rsidR="00C101B2" w:rsidRDefault="00C101B2" w:rsidP="00C101B2">
      <w:pPr>
        <w:pStyle w:val="Mainbodytext-tight"/>
      </w:pPr>
    </w:p>
    <w:p w14:paraId="77A6CFA7" w14:textId="77777777" w:rsidR="00C101B2" w:rsidRDefault="00C101B2" w:rsidP="00C101B2">
      <w:pPr>
        <w:pStyle w:val="Mainbodytext-tight"/>
      </w:pPr>
      <w:r>
        <w:t>Project leads will be required to provide a single set of quarterly reports on the activity their force area has delivered with accompanying financial details.</w:t>
      </w:r>
    </w:p>
    <w:p w14:paraId="55793D2B" w14:textId="77777777" w:rsidR="00C101B2" w:rsidRDefault="00C101B2" w:rsidP="00C101B2">
      <w:pPr>
        <w:pStyle w:val="Mainbodytext-tight"/>
      </w:pPr>
    </w:p>
    <w:p w14:paraId="272C6C12" w14:textId="77777777" w:rsidR="00C101B2" w:rsidRDefault="00C101B2" w:rsidP="00C101B2">
      <w:pPr>
        <w:pStyle w:val="Mainbodytext-tight"/>
        <w:rPr>
          <w:b/>
          <w:bCs/>
        </w:rPr>
      </w:pPr>
      <w:r w:rsidRPr="004D0BC1">
        <w:rPr>
          <w:b/>
          <w:bCs/>
        </w:rPr>
        <w:t xml:space="preserve">Serious Violence and Anti-Social behaviour crime and incident types in scope </w:t>
      </w:r>
    </w:p>
    <w:p w14:paraId="6E3AB305" w14:textId="77777777" w:rsidR="00C101B2" w:rsidRDefault="00C101B2" w:rsidP="00C101B2">
      <w:pPr>
        <w:pStyle w:val="Mainbodytext-tight"/>
        <w:rPr>
          <w:b/>
          <w:bCs/>
        </w:rPr>
      </w:pPr>
    </w:p>
    <w:p w14:paraId="5CF2C7C4" w14:textId="77777777" w:rsidR="00C101B2" w:rsidRPr="004D0BC1" w:rsidRDefault="00C101B2" w:rsidP="00C101B2">
      <w:pPr>
        <w:pStyle w:val="Mainbodytext-tight"/>
        <w:rPr>
          <w:b/>
          <w:bCs/>
        </w:rPr>
      </w:pPr>
      <w:r>
        <w:rPr>
          <w:b/>
          <w:bCs/>
        </w:rPr>
        <w:t xml:space="preserve">Serious Violence </w:t>
      </w:r>
    </w:p>
    <w:p w14:paraId="68E69B45" w14:textId="77777777" w:rsidR="00C101B2" w:rsidRDefault="00C101B2" w:rsidP="00C101B2">
      <w:pPr>
        <w:pStyle w:val="Mainbodytext-tight"/>
      </w:pPr>
    </w:p>
    <w:p w14:paraId="71DF8393" w14:textId="77777777" w:rsidR="00C101B2" w:rsidRDefault="00C101B2" w:rsidP="00C101B2">
      <w:pPr>
        <w:pStyle w:val="Mainbodytext-tight"/>
      </w:pPr>
      <w:r>
        <w:t xml:space="preserve">Force areas must use Serious Violence data when identifying hotspots, but this does not need to match exactly the categories used by the Home Office for evaluation. </w:t>
      </w:r>
    </w:p>
    <w:p w14:paraId="26C7929E" w14:textId="77777777" w:rsidR="00C101B2" w:rsidRDefault="00C101B2" w:rsidP="00C101B2">
      <w:pPr>
        <w:pStyle w:val="Mainbodytext-tight"/>
      </w:pPr>
    </w:p>
    <w:p w14:paraId="515086BF" w14:textId="77777777" w:rsidR="00C101B2" w:rsidRDefault="00C101B2" w:rsidP="00C101B2">
      <w:pPr>
        <w:pStyle w:val="Mainbodytext-tight"/>
      </w:pPr>
      <w:r>
        <w:t>In identifying hotspots for preventing and reducing Serious Violence, all 43 areas should consider the following:</w:t>
      </w:r>
    </w:p>
    <w:p w14:paraId="194E34F1" w14:textId="77777777" w:rsidR="00C101B2" w:rsidRDefault="00C101B2" w:rsidP="00C101B2">
      <w:pPr>
        <w:pStyle w:val="Mainbodytext-tight"/>
        <w:numPr>
          <w:ilvl w:val="0"/>
          <w:numId w:val="34"/>
        </w:numPr>
      </w:pPr>
      <w:r>
        <w:t xml:space="preserve">Police recorded offences involving knives or sharp </w:t>
      </w:r>
      <w:proofErr w:type="gramStart"/>
      <w:r>
        <w:t>instruments</w:t>
      </w:r>
      <w:proofErr w:type="gramEnd"/>
    </w:p>
    <w:p w14:paraId="6851B613" w14:textId="77777777" w:rsidR="00C101B2" w:rsidRDefault="00C101B2" w:rsidP="00C101B2">
      <w:pPr>
        <w:pStyle w:val="Mainbodytext-tight"/>
        <w:numPr>
          <w:ilvl w:val="0"/>
          <w:numId w:val="34"/>
        </w:numPr>
      </w:pPr>
      <w:r>
        <w:lastRenderedPageBreak/>
        <w:t xml:space="preserve">Police recorded offences involving a </w:t>
      </w:r>
      <w:proofErr w:type="gramStart"/>
      <w:r>
        <w:t>firearm</w:t>
      </w:r>
      <w:proofErr w:type="gramEnd"/>
    </w:p>
    <w:p w14:paraId="21C2DD68" w14:textId="77777777" w:rsidR="00C101B2" w:rsidRDefault="00C101B2" w:rsidP="00C101B2">
      <w:pPr>
        <w:pStyle w:val="Mainbodytext-tight"/>
        <w:numPr>
          <w:ilvl w:val="0"/>
          <w:numId w:val="34"/>
        </w:numPr>
      </w:pPr>
      <w:r>
        <w:t xml:space="preserve">Police recorded offences, where offence group is robbery (against business and personal property) and violence against the person (resulting in injury). </w:t>
      </w:r>
    </w:p>
    <w:p w14:paraId="4BB4A4D7" w14:textId="77777777" w:rsidR="00C101B2" w:rsidRDefault="00C101B2" w:rsidP="00C101B2">
      <w:pPr>
        <w:pStyle w:val="Mainbodytext-tight"/>
      </w:pPr>
    </w:p>
    <w:p w14:paraId="6C249F93" w14:textId="77777777" w:rsidR="00C101B2" w:rsidRDefault="00C101B2" w:rsidP="00C101B2">
      <w:pPr>
        <w:pStyle w:val="Mainbodytext-tight"/>
      </w:pPr>
      <w:r>
        <w:t xml:space="preserve">For reference below is a list of crimes that have been used by </w:t>
      </w:r>
      <w:proofErr w:type="gramStart"/>
      <w:r>
        <w:t>Home</w:t>
      </w:r>
      <w:proofErr w:type="gramEnd"/>
      <w:r>
        <w:t xml:space="preserve"> Office analysts in the evaluation of the Grip programme: </w:t>
      </w:r>
    </w:p>
    <w:p w14:paraId="540AB194" w14:textId="77777777" w:rsidR="00C101B2" w:rsidRDefault="00C101B2" w:rsidP="00C101B2">
      <w:pPr>
        <w:pStyle w:val="Mainbodytext-tight"/>
      </w:pPr>
    </w:p>
    <w:p w14:paraId="394B5940" w14:textId="77777777" w:rsidR="00C101B2" w:rsidRDefault="00C101B2" w:rsidP="00C101B2">
      <w:pPr>
        <w:pStyle w:val="Mainbodytext-tight"/>
        <w:numPr>
          <w:ilvl w:val="0"/>
          <w:numId w:val="35"/>
        </w:numPr>
      </w:pPr>
      <w:r>
        <w:t>Robbery of personal property</w:t>
      </w:r>
    </w:p>
    <w:p w14:paraId="1AABC7F7" w14:textId="77777777" w:rsidR="00C101B2" w:rsidRDefault="00C101B2" w:rsidP="00C101B2">
      <w:pPr>
        <w:pStyle w:val="Mainbodytext-tight"/>
        <w:numPr>
          <w:ilvl w:val="0"/>
          <w:numId w:val="35"/>
        </w:numPr>
      </w:pPr>
      <w:r>
        <w:t>Robbery of business property</w:t>
      </w:r>
    </w:p>
    <w:p w14:paraId="4B230ECB" w14:textId="77777777" w:rsidR="00C101B2" w:rsidRDefault="00C101B2" w:rsidP="00C101B2">
      <w:pPr>
        <w:pStyle w:val="Mainbodytext-tight"/>
        <w:numPr>
          <w:ilvl w:val="0"/>
          <w:numId w:val="35"/>
        </w:numPr>
      </w:pPr>
      <w:r>
        <w:t xml:space="preserve">Assault with injury • Assault with intent to cause serious </w:t>
      </w:r>
      <w:proofErr w:type="gramStart"/>
      <w:r>
        <w:t>harm</w:t>
      </w:r>
      <w:proofErr w:type="gramEnd"/>
    </w:p>
    <w:p w14:paraId="1AFB6734" w14:textId="77777777" w:rsidR="00C101B2" w:rsidRDefault="00C101B2" w:rsidP="00C101B2">
      <w:pPr>
        <w:pStyle w:val="Mainbodytext-tight"/>
        <w:numPr>
          <w:ilvl w:val="0"/>
          <w:numId w:val="35"/>
        </w:numPr>
      </w:pPr>
      <w:r>
        <w:t>Assault without injury</w:t>
      </w:r>
    </w:p>
    <w:p w14:paraId="39B2E71F" w14:textId="77777777" w:rsidR="00C101B2" w:rsidRDefault="00C101B2" w:rsidP="00C101B2">
      <w:pPr>
        <w:pStyle w:val="Mainbodytext-tight"/>
        <w:numPr>
          <w:ilvl w:val="0"/>
          <w:numId w:val="35"/>
        </w:numPr>
      </w:pPr>
      <w:r>
        <w:t>Assaults on emergency workers (other than constables)</w:t>
      </w:r>
    </w:p>
    <w:p w14:paraId="1F5950B4" w14:textId="77777777" w:rsidR="00C101B2" w:rsidRDefault="00C101B2" w:rsidP="00C101B2">
      <w:pPr>
        <w:pStyle w:val="Mainbodytext-tight"/>
        <w:numPr>
          <w:ilvl w:val="0"/>
          <w:numId w:val="35"/>
        </w:numPr>
      </w:pPr>
      <w:r>
        <w:t>Attempted murder</w:t>
      </w:r>
    </w:p>
    <w:p w14:paraId="4079C4F5" w14:textId="77777777" w:rsidR="00C101B2" w:rsidRDefault="00C101B2" w:rsidP="00C101B2">
      <w:pPr>
        <w:pStyle w:val="Mainbodytext-tight"/>
        <w:numPr>
          <w:ilvl w:val="0"/>
          <w:numId w:val="35"/>
        </w:numPr>
      </w:pPr>
      <w:r>
        <w:t>Endangering life</w:t>
      </w:r>
    </w:p>
    <w:p w14:paraId="1A85D45B" w14:textId="77777777" w:rsidR="00C101B2" w:rsidRDefault="00C101B2" w:rsidP="00C101B2">
      <w:pPr>
        <w:pStyle w:val="Mainbodytext-tight"/>
        <w:numPr>
          <w:ilvl w:val="0"/>
          <w:numId w:val="35"/>
        </w:numPr>
      </w:pPr>
      <w:r>
        <w:t>Manslaughter</w:t>
      </w:r>
    </w:p>
    <w:p w14:paraId="1B30695F" w14:textId="77777777" w:rsidR="00C101B2" w:rsidRDefault="00C101B2" w:rsidP="00C101B2">
      <w:pPr>
        <w:pStyle w:val="Mainbodytext-tight"/>
        <w:numPr>
          <w:ilvl w:val="0"/>
          <w:numId w:val="35"/>
        </w:numPr>
      </w:pPr>
      <w:r>
        <w:t>Murder</w:t>
      </w:r>
      <w:r w:rsidRPr="004D0BC1">
        <w:t xml:space="preserve"> </w:t>
      </w:r>
    </w:p>
    <w:p w14:paraId="2B4731D6" w14:textId="77777777" w:rsidR="00C101B2" w:rsidRDefault="00C101B2" w:rsidP="00C101B2">
      <w:pPr>
        <w:pStyle w:val="Mainbodytext-tight"/>
        <w:numPr>
          <w:ilvl w:val="0"/>
          <w:numId w:val="35"/>
        </w:numPr>
      </w:pPr>
      <w:r>
        <w:t>Racially or religiously aggravated assault with injury</w:t>
      </w:r>
    </w:p>
    <w:p w14:paraId="654FADCA" w14:textId="77777777" w:rsidR="00C101B2" w:rsidRDefault="00C101B2" w:rsidP="00C101B2">
      <w:pPr>
        <w:pStyle w:val="Mainbodytext-tight"/>
        <w:numPr>
          <w:ilvl w:val="0"/>
          <w:numId w:val="35"/>
        </w:numPr>
      </w:pPr>
      <w:r>
        <w:t>Racially or religiously aggravated assault without injury</w:t>
      </w:r>
    </w:p>
    <w:p w14:paraId="3CCB106D" w14:textId="77777777" w:rsidR="00C101B2" w:rsidRDefault="00C101B2" w:rsidP="00C101B2">
      <w:pPr>
        <w:pStyle w:val="Mainbodytext-tight"/>
        <w:numPr>
          <w:ilvl w:val="0"/>
          <w:numId w:val="35"/>
        </w:numPr>
      </w:pPr>
      <w:r>
        <w:t xml:space="preserve">Threats to </w:t>
      </w:r>
      <w:proofErr w:type="gramStart"/>
      <w:r>
        <w:t>kill</w:t>
      </w:r>
      <w:proofErr w:type="gramEnd"/>
    </w:p>
    <w:p w14:paraId="5541EA9B" w14:textId="77777777" w:rsidR="00C101B2" w:rsidRPr="004D0BC1" w:rsidRDefault="00C101B2" w:rsidP="00C101B2">
      <w:pPr>
        <w:pStyle w:val="Mainbodytext-tight"/>
        <w:rPr>
          <w:b/>
          <w:bCs/>
        </w:rPr>
      </w:pPr>
    </w:p>
    <w:p w14:paraId="5CD2214F" w14:textId="77777777" w:rsidR="00C101B2" w:rsidRDefault="00C101B2" w:rsidP="00C101B2">
      <w:pPr>
        <w:pStyle w:val="Mainbodytext-tight"/>
        <w:rPr>
          <w:b/>
          <w:bCs/>
        </w:rPr>
      </w:pPr>
      <w:r w:rsidRPr="004D0BC1">
        <w:rPr>
          <w:b/>
          <w:bCs/>
        </w:rPr>
        <w:t xml:space="preserve">Anti-Social behaviour </w:t>
      </w:r>
    </w:p>
    <w:p w14:paraId="0454CE36" w14:textId="77777777" w:rsidR="00C101B2" w:rsidRDefault="00C101B2" w:rsidP="00C101B2">
      <w:pPr>
        <w:pStyle w:val="Mainbodytext-tight"/>
        <w:rPr>
          <w:b/>
          <w:bCs/>
        </w:rPr>
      </w:pPr>
    </w:p>
    <w:p w14:paraId="4477A06B" w14:textId="77777777" w:rsidR="00C101B2" w:rsidRDefault="00C101B2" w:rsidP="00C101B2">
      <w:pPr>
        <w:pStyle w:val="Mainbodytext-tight"/>
      </w:pPr>
      <w:r>
        <w:t xml:space="preserve">Recipients should identify data sources available to understand levels of ASB in their area, for example: police and partner ASB report and incident data, proxy crime data, perception / community surveys, and local partnership intelligence. </w:t>
      </w:r>
    </w:p>
    <w:p w14:paraId="3C52088E" w14:textId="77777777" w:rsidR="00C101B2" w:rsidRDefault="00C101B2" w:rsidP="00C101B2">
      <w:pPr>
        <w:pStyle w:val="Mainbodytext-tight"/>
      </w:pPr>
    </w:p>
    <w:p w14:paraId="321F07B4" w14:textId="77777777" w:rsidR="00C101B2" w:rsidRDefault="00C101B2" w:rsidP="00C101B2">
      <w:pPr>
        <w:pStyle w:val="Mainbodytext-tight"/>
      </w:pPr>
      <w:r>
        <w:t xml:space="preserve">The types of ASB in scope for a hotspot response are behaviours that fall within the definition in the Anti-social Behaviour, Crime and Policing Act 2014 legislation: “‘anti-social behaviour’ means— </w:t>
      </w:r>
    </w:p>
    <w:p w14:paraId="6B774F3E" w14:textId="77777777" w:rsidR="00C101B2" w:rsidRDefault="00C101B2" w:rsidP="00C101B2">
      <w:pPr>
        <w:pStyle w:val="Mainbodytext-tight"/>
      </w:pPr>
    </w:p>
    <w:p w14:paraId="5B27E8F8" w14:textId="77777777" w:rsidR="00C101B2" w:rsidRDefault="00C101B2" w:rsidP="00C101B2">
      <w:pPr>
        <w:pStyle w:val="Mainbodytext-tight"/>
      </w:pPr>
      <w:r>
        <w:t xml:space="preserve">(a) conduct that has caused, or is likely to cause, harassment, alarm, or distress to any person, </w:t>
      </w:r>
    </w:p>
    <w:p w14:paraId="25215E38" w14:textId="77777777" w:rsidR="00C101B2" w:rsidRDefault="00C101B2" w:rsidP="00C101B2">
      <w:pPr>
        <w:pStyle w:val="Mainbodytext-tight"/>
      </w:pPr>
      <w:r>
        <w:t xml:space="preserve">(b) conduct capable of causing nuisance or annoyance to a person in relation to that person’s occupation of residential premises, or </w:t>
      </w:r>
    </w:p>
    <w:p w14:paraId="0C2841F2" w14:textId="77777777" w:rsidR="00C101B2" w:rsidRDefault="00C101B2" w:rsidP="00C101B2">
      <w:pPr>
        <w:pStyle w:val="Mainbodytext-tight"/>
      </w:pPr>
      <w:r>
        <w:t xml:space="preserve">(c) conduct capable of causing housing-related nuisance or annoyance to any person.” </w:t>
      </w:r>
    </w:p>
    <w:p w14:paraId="7F768BD8" w14:textId="77777777" w:rsidR="00C101B2" w:rsidRDefault="00C101B2" w:rsidP="00C101B2">
      <w:pPr>
        <w:pStyle w:val="Mainbodytext-tight"/>
      </w:pPr>
    </w:p>
    <w:p w14:paraId="01DFE0BF" w14:textId="77777777" w:rsidR="00C101B2" w:rsidRDefault="00C101B2" w:rsidP="00C101B2">
      <w:pPr>
        <w:pStyle w:val="Mainbodytext-tight"/>
      </w:pPr>
      <w:r>
        <w:t>Types of ASB that the funding can be used to target are (non-exhaustive):</w:t>
      </w:r>
    </w:p>
    <w:p w14:paraId="04BDBBDC" w14:textId="77777777" w:rsidR="00C101B2" w:rsidRPr="00A447A9" w:rsidRDefault="00C101B2" w:rsidP="00C101B2">
      <w:pPr>
        <w:pStyle w:val="Mainbodytext-tight"/>
        <w:numPr>
          <w:ilvl w:val="0"/>
          <w:numId w:val="36"/>
        </w:numPr>
        <w:rPr>
          <w:b/>
          <w:bCs/>
        </w:rPr>
      </w:pPr>
      <w:r>
        <w:t xml:space="preserve">Regular street drinking or drunken </w:t>
      </w:r>
      <w:proofErr w:type="gramStart"/>
      <w:r>
        <w:t>behaviour;</w:t>
      </w:r>
      <w:proofErr w:type="gramEnd"/>
    </w:p>
    <w:p w14:paraId="7DDC8A70" w14:textId="77777777" w:rsidR="00C101B2" w:rsidRPr="00A447A9" w:rsidRDefault="00C101B2" w:rsidP="00C101B2">
      <w:pPr>
        <w:pStyle w:val="Mainbodytext-tight"/>
        <w:numPr>
          <w:ilvl w:val="0"/>
          <w:numId w:val="36"/>
        </w:numPr>
        <w:rPr>
          <w:b/>
          <w:bCs/>
        </w:rPr>
      </w:pPr>
      <w:r>
        <w:t xml:space="preserve">Environmental ASB, such as litter and fly-tipping, that is distressing </w:t>
      </w:r>
      <w:proofErr w:type="gramStart"/>
      <w:r>
        <w:t>residents;</w:t>
      </w:r>
      <w:proofErr w:type="gramEnd"/>
    </w:p>
    <w:p w14:paraId="10B7DF45" w14:textId="77777777" w:rsidR="00C101B2" w:rsidRPr="00A447A9" w:rsidRDefault="00C101B2" w:rsidP="00C101B2">
      <w:pPr>
        <w:pStyle w:val="Mainbodytext-tight"/>
        <w:numPr>
          <w:ilvl w:val="0"/>
          <w:numId w:val="36"/>
        </w:numPr>
        <w:rPr>
          <w:b/>
          <w:bCs/>
        </w:rPr>
      </w:pPr>
      <w:r>
        <w:lastRenderedPageBreak/>
        <w:t xml:space="preserve">Other forms of environmental ASB, such as vandalism, criminal damage, or graffiti to public buildings, vehicles, bus shelters or phone boxes, that is distressing residents and may be seen to be encouraging more serious types of </w:t>
      </w:r>
      <w:proofErr w:type="gramStart"/>
      <w:r>
        <w:t>crimes;</w:t>
      </w:r>
      <w:proofErr w:type="gramEnd"/>
    </w:p>
    <w:p w14:paraId="78FD16AE" w14:textId="77777777" w:rsidR="00C101B2" w:rsidRPr="00A447A9" w:rsidRDefault="00C101B2" w:rsidP="00C101B2">
      <w:pPr>
        <w:pStyle w:val="Mainbodytext-tight"/>
        <w:numPr>
          <w:ilvl w:val="0"/>
          <w:numId w:val="36"/>
        </w:numPr>
        <w:rPr>
          <w:b/>
          <w:bCs/>
        </w:rPr>
      </w:pPr>
      <w:r>
        <w:t>Inconsiderate and repeated nuisance behaviours (such as the inappropriate use of fireworks; cycling or skateboarding in pedestrianised areas</w:t>
      </w:r>
      <w:proofErr w:type="gramStart"/>
      <w:r>
        <w:t>);</w:t>
      </w:r>
      <w:proofErr w:type="gramEnd"/>
    </w:p>
    <w:p w14:paraId="205C0F64" w14:textId="77777777" w:rsidR="00C101B2" w:rsidRPr="00A447A9" w:rsidRDefault="00C101B2" w:rsidP="00C101B2">
      <w:pPr>
        <w:pStyle w:val="Mainbodytext-tight"/>
        <w:numPr>
          <w:ilvl w:val="0"/>
          <w:numId w:val="36"/>
        </w:numPr>
        <w:rPr>
          <w:b/>
          <w:bCs/>
        </w:rPr>
      </w:pPr>
      <w:r>
        <w:t>Repeated loud noises (such as loud music playing in public parks</w:t>
      </w:r>
      <w:proofErr w:type="gramStart"/>
      <w:r>
        <w:t>);</w:t>
      </w:r>
      <w:proofErr w:type="gramEnd"/>
    </w:p>
    <w:p w14:paraId="06C744AD" w14:textId="77777777" w:rsidR="00C101B2" w:rsidRPr="00A447A9" w:rsidRDefault="00C101B2" w:rsidP="00C101B2">
      <w:pPr>
        <w:pStyle w:val="Mainbodytext-tight"/>
        <w:numPr>
          <w:ilvl w:val="0"/>
          <w:numId w:val="36"/>
        </w:numPr>
        <w:rPr>
          <w:b/>
          <w:bCs/>
        </w:rPr>
      </w:pPr>
      <w:r>
        <w:t>People using or dealing drugs or evidence left of drugs (such as discarded needles or nitrous oxide canisters</w:t>
      </w:r>
      <w:proofErr w:type="gramStart"/>
      <w:r>
        <w:t>);</w:t>
      </w:r>
      <w:proofErr w:type="gramEnd"/>
    </w:p>
    <w:p w14:paraId="25A2500E" w14:textId="77777777" w:rsidR="00C101B2" w:rsidRPr="00A447A9" w:rsidRDefault="00C101B2" w:rsidP="00C101B2">
      <w:pPr>
        <w:pStyle w:val="Mainbodytext-tight"/>
        <w:numPr>
          <w:ilvl w:val="0"/>
          <w:numId w:val="36"/>
        </w:numPr>
        <w:rPr>
          <w:b/>
          <w:bCs/>
        </w:rPr>
      </w:pPr>
      <w:r>
        <w:t>People being repeatedly intimidated, threatened, verbally abused, or harassed (including where related to people’s race, religion, disability, sexual orientation, or another characteristic);</w:t>
      </w:r>
    </w:p>
    <w:p w14:paraId="5EE5ED32" w14:textId="77777777" w:rsidR="00C101B2" w:rsidRPr="00A447A9" w:rsidRDefault="00C101B2" w:rsidP="00C101B2">
      <w:pPr>
        <w:pStyle w:val="Mainbodytext-tight"/>
        <w:numPr>
          <w:ilvl w:val="0"/>
          <w:numId w:val="36"/>
        </w:numPr>
        <w:rPr>
          <w:b/>
          <w:bCs/>
        </w:rPr>
      </w:pPr>
      <w:r>
        <w:t>Persistent vehicle related ASB (such as repeated illegal parking, abandoned vehicles, speeding cars or motorcycles, joyriding</w:t>
      </w:r>
      <w:proofErr w:type="gramStart"/>
      <w:r>
        <w:t>);</w:t>
      </w:r>
      <w:proofErr w:type="gramEnd"/>
    </w:p>
    <w:p w14:paraId="35C97546" w14:textId="77777777" w:rsidR="00C101B2" w:rsidRPr="00A447A9" w:rsidRDefault="00C101B2" w:rsidP="00C101B2">
      <w:pPr>
        <w:pStyle w:val="Mainbodytext-tight"/>
        <w:numPr>
          <w:ilvl w:val="0"/>
          <w:numId w:val="36"/>
        </w:numPr>
        <w:rPr>
          <w:b/>
          <w:bCs/>
        </w:rPr>
      </w:pPr>
      <w:r>
        <w:t xml:space="preserve">Persistent sexually inappropriate </w:t>
      </w:r>
      <w:proofErr w:type="gramStart"/>
      <w:r>
        <w:t>acts;</w:t>
      </w:r>
      <w:proofErr w:type="gramEnd"/>
    </w:p>
    <w:p w14:paraId="0CA4DDAB" w14:textId="77777777" w:rsidR="00C101B2" w:rsidRPr="00A447A9" w:rsidRDefault="00C101B2" w:rsidP="00C101B2">
      <w:pPr>
        <w:pStyle w:val="Mainbodytext-tight"/>
        <w:numPr>
          <w:ilvl w:val="0"/>
          <w:numId w:val="36"/>
        </w:numPr>
        <w:rPr>
          <w:b/>
          <w:bCs/>
        </w:rPr>
      </w:pPr>
      <w:r>
        <w:t>Problems with out of control or dangerous dogs.</w:t>
      </w:r>
    </w:p>
    <w:p w14:paraId="2BD8976E" w14:textId="77777777" w:rsidR="00C101B2" w:rsidRPr="00A447A9" w:rsidRDefault="00C101B2" w:rsidP="00C101B2">
      <w:pPr>
        <w:pStyle w:val="Mainbodytext-tight"/>
        <w:numPr>
          <w:ilvl w:val="0"/>
          <w:numId w:val="36"/>
        </w:numPr>
        <w:rPr>
          <w:b/>
          <w:bCs/>
        </w:rPr>
      </w:pPr>
      <w:r>
        <w:t xml:space="preserve">Shoplifting-related ASB where it has a detrimental effect on a neighbourhood. </w:t>
      </w:r>
    </w:p>
    <w:p w14:paraId="2F36142E" w14:textId="77777777" w:rsidR="00C101B2" w:rsidRDefault="00C101B2" w:rsidP="00C101B2">
      <w:pPr>
        <w:pStyle w:val="Mainbodytext-tight"/>
      </w:pPr>
    </w:p>
    <w:p w14:paraId="542944C7" w14:textId="22EF20ED" w:rsidR="00C9758B" w:rsidRDefault="00C101B2" w:rsidP="00356382">
      <w:pPr>
        <w:pStyle w:val="Mainbodytext-tight"/>
      </w:pPr>
      <w:r>
        <w:t>This list is not exhaustive and PCCs may consider other types of ASB.</w:t>
      </w:r>
    </w:p>
    <w:p w14:paraId="53F73E5B" w14:textId="2410C05E" w:rsidR="00C9758B" w:rsidRDefault="00C9758B" w:rsidP="00C9758B">
      <w:pPr>
        <w:pStyle w:val="Heading1"/>
        <w:numPr>
          <w:ilvl w:val="0"/>
          <w:numId w:val="0"/>
        </w:numPr>
        <w:ind w:left="720" w:hanging="720"/>
      </w:pPr>
    </w:p>
    <w:p w14:paraId="31B0ACB1" w14:textId="77777777" w:rsidR="00C9758B" w:rsidRPr="009106C8" w:rsidRDefault="00C9758B" w:rsidP="00C9758B">
      <w:pPr>
        <w:pStyle w:val="Heading1"/>
        <w:numPr>
          <w:ilvl w:val="0"/>
          <w:numId w:val="0"/>
        </w:numPr>
        <w:ind w:left="720" w:hanging="720"/>
      </w:pPr>
    </w:p>
    <w:p w14:paraId="01C9AEC4" w14:textId="77777777" w:rsidR="002F7AA1" w:rsidRPr="00FD080D" w:rsidRDefault="002F7AA1" w:rsidP="002F7AA1">
      <w:pPr>
        <w:pStyle w:val="Heading2"/>
        <w:numPr>
          <w:ilvl w:val="0"/>
          <w:numId w:val="0"/>
        </w:numPr>
        <w:spacing w:after="120"/>
        <w:rPr>
          <w:highlight w:val="yellow"/>
        </w:rPr>
      </w:pPr>
    </w:p>
    <w:p w14:paraId="31424888" w14:textId="77777777" w:rsidR="002F7AA1" w:rsidRPr="002F4D97" w:rsidRDefault="002F7AA1" w:rsidP="002F7AA1">
      <w:pPr>
        <w:pStyle w:val="Heading1"/>
        <w:numPr>
          <w:ilvl w:val="0"/>
          <w:numId w:val="0"/>
        </w:numPr>
        <w:spacing w:after="120"/>
        <w:ind w:left="720"/>
      </w:pPr>
    </w:p>
    <w:p w14:paraId="56E54D25" w14:textId="77777777" w:rsidR="002F7AA1" w:rsidRPr="002F4D97" w:rsidRDefault="002F7AA1" w:rsidP="002F7AA1">
      <w:pPr>
        <w:pStyle w:val="Heading2"/>
        <w:numPr>
          <w:ilvl w:val="0"/>
          <w:numId w:val="0"/>
        </w:numPr>
        <w:spacing w:after="120"/>
      </w:pPr>
    </w:p>
    <w:p w14:paraId="21846EE4" w14:textId="77777777" w:rsidR="002F7AA1" w:rsidRDefault="002F7AA1" w:rsidP="007D431E">
      <w:pPr>
        <w:pStyle w:val="Heading1"/>
        <w:numPr>
          <w:ilvl w:val="0"/>
          <w:numId w:val="0"/>
        </w:numPr>
        <w:ind w:left="720" w:hanging="720"/>
      </w:pPr>
    </w:p>
    <w:p w14:paraId="0E531ACC" w14:textId="77777777" w:rsidR="00926958" w:rsidRPr="00A74FE3" w:rsidRDefault="00926958" w:rsidP="00AF2BB0">
      <w:pPr>
        <w:tabs>
          <w:tab w:val="left" w:pos="1392"/>
        </w:tabs>
        <w:rPr>
          <w:rFonts w:eastAsia="STZhongsong"/>
          <w:szCs w:val="20"/>
        </w:rPr>
      </w:pPr>
    </w:p>
    <w:sectPr w:rsidR="00926958" w:rsidRPr="00A74FE3" w:rsidSect="00985B4D">
      <w:headerReference w:type="default" r:id="rId14"/>
      <w:footerReference w:type="default" r:id="rId15"/>
      <w:endnotePr>
        <w:numFmt w:val="decimal"/>
      </w:endnotePr>
      <w:pgSz w:w="11909" w:h="16834" w:code="9"/>
      <w:pgMar w:top="1440" w:right="1440" w:bottom="1559" w:left="1440" w:header="425" w:footer="431"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BD3C1" w14:textId="77777777" w:rsidR="00AD07D0" w:rsidRDefault="00AD07D0">
      <w:pPr>
        <w:spacing w:line="20" w:lineRule="exact"/>
      </w:pPr>
    </w:p>
  </w:endnote>
  <w:endnote w:type="continuationSeparator" w:id="0">
    <w:p w14:paraId="2FB4126A" w14:textId="77777777" w:rsidR="00AD07D0" w:rsidRDefault="00AD07D0">
      <w:pPr>
        <w:spacing w:line="20" w:lineRule="exact"/>
      </w:pPr>
      <w:r>
        <w:t xml:space="preserve"> </w:t>
      </w:r>
    </w:p>
  </w:endnote>
  <w:endnote w:type="continuationNotice" w:id="1">
    <w:p w14:paraId="0CB9CF06" w14:textId="77777777" w:rsidR="00AD07D0" w:rsidRDefault="00AD07D0">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TZhongsong">
    <w:altName w:val="Microsoft YaHei"/>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713824"/>
      <w:docPartObj>
        <w:docPartGallery w:val="Page Numbers (Bottom of Page)"/>
        <w:docPartUnique/>
      </w:docPartObj>
    </w:sdtPr>
    <w:sdtEndPr>
      <w:rPr>
        <w:noProof/>
      </w:rPr>
    </w:sdtEndPr>
    <w:sdtContent>
      <w:p w14:paraId="5E3BDC75" w14:textId="030527A3" w:rsidR="00C52C2C" w:rsidRDefault="00C52C2C" w:rsidP="00985B4D">
        <w:pPr>
          <w:pStyle w:val="Footer"/>
          <w:jc w:val="center"/>
        </w:pPr>
        <w:r>
          <w:rPr>
            <w:noProof/>
            <w:lang w:eastAsia="en-GB"/>
          </w:rPr>
          <mc:AlternateContent>
            <mc:Choice Requires="wps">
              <w:drawing>
                <wp:anchor distT="0" distB="0" distL="114300" distR="114300" simplePos="0" relativeHeight="251667456" behindDoc="0" locked="0" layoutInCell="1" allowOverlap="1" wp14:anchorId="77CE4AA3" wp14:editId="0678E03F">
                  <wp:simplePos x="0" y="0"/>
                  <wp:positionH relativeFrom="column">
                    <wp:posOffset>-28575</wp:posOffset>
                  </wp:positionH>
                  <wp:positionV relativeFrom="paragraph">
                    <wp:posOffset>46355</wp:posOffset>
                  </wp:positionV>
                  <wp:extent cx="574357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574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39098C" id="Straight Connector 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65pt" to="450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" strokecolor="black [3040]"/>
              </w:pict>
            </mc:Fallback>
          </mc:AlternateContent>
        </w:r>
      </w:p>
      <w:p w14:paraId="6318F05F" w14:textId="7D58EDDF" w:rsidR="00C52C2C" w:rsidRPr="00985B4D" w:rsidRDefault="00C52C2C" w:rsidP="00985B4D">
        <w:pPr>
          <w:pStyle w:val="Footer"/>
          <w:jc w:val="center"/>
          <w:rPr>
            <w:sz w:val="20"/>
            <w:szCs w:val="20"/>
          </w:rPr>
        </w:pPr>
        <w:r w:rsidRPr="00985B4D">
          <w:rPr>
            <w:sz w:val="20"/>
            <w:szCs w:val="20"/>
          </w:rPr>
          <w:t>OFFICIAL</w:t>
        </w:r>
        <w:r w:rsidR="004E4967">
          <w:rPr>
            <w:sz w:val="20"/>
            <w:szCs w:val="20"/>
          </w:rPr>
          <w:t xml:space="preserve"> - </w:t>
        </w:r>
        <w:r w:rsidR="00002580">
          <w:rPr>
            <w:sz w:val="20"/>
            <w:szCs w:val="20"/>
          </w:rPr>
          <w:t>Sensitive</w:t>
        </w:r>
      </w:p>
      <w:p w14:paraId="7F67DA18" w14:textId="41347CC9" w:rsidR="00C52C2C" w:rsidRPr="00985B4D" w:rsidRDefault="005219BC">
        <w:pPr>
          <w:pStyle w:val="Footer"/>
          <w:rPr>
            <w:sz w:val="20"/>
            <w:szCs w:val="20"/>
          </w:rPr>
        </w:pPr>
        <w:r>
          <w:rPr>
            <w:sz w:val="20"/>
            <w:szCs w:val="20"/>
          </w:rPr>
          <w:t>A</w:t>
        </w:r>
        <w:r w:rsidR="00850299">
          <w:rPr>
            <w:sz w:val="20"/>
            <w:szCs w:val="20"/>
          </w:rPr>
          <w:t>ppendix B</w:t>
        </w:r>
        <w:r w:rsidR="00E443BB">
          <w:rPr>
            <w:sz w:val="20"/>
            <w:szCs w:val="20"/>
          </w:rPr>
          <w:t xml:space="preserve"> </w:t>
        </w:r>
        <w:r w:rsidR="00C52C2C" w:rsidRPr="00985B4D">
          <w:rPr>
            <w:sz w:val="20"/>
            <w:szCs w:val="20"/>
          </w:rPr>
          <w:t>– Statement of Requirements</w:t>
        </w:r>
      </w:p>
      <w:p w14:paraId="1CB7D5DC" w14:textId="19129C8E" w:rsidR="00C52C2C" w:rsidRPr="001A45DF" w:rsidRDefault="001A45DF">
        <w:pPr>
          <w:pStyle w:val="Footer"/>
          <w:rPr>
            <w:sz w:val="20"/>
            <w:szCs w:val="20"/>
          </w:rPr>
        </w:pPr>
        <w:r w:rsidRPr="001A45DF">
          <w:rPr>
            <w:rFonts w:cs="Arial"/>
            <w:color w:val="222222"/>
            <w:sz w:val="20"/>
            <w:szCs w:val="20"/>
            <w:shd w:val="clear" w:color="auto" w:fill="FFFFFF"/>
          </w:rPr>
          <w:t>© Crown copyright 2018</w:t>
        </w:r>
      </w:p>
      <w:p w14:paraId="42D6E6E6" w14:textId="14A7F088" w:rsidR="00C52C2C" w:rsidRPr="00985B4D" w:rsidRDefault="00E24EE7" w:rsidP="00985B4D">
        <w:pPr>
          <w:pStyle w:val="Footer"/>
          <w:jc w:val="right"/>
          <w:rPr>
            <w:sz w:val="20"/>
            <w:szCs w:val="20"/>
          </w:rPr>
        </w:pPr>
        <w:r>
          <w:rPr>
            <w:sz w:val="20"/>
            <w:szCs w:val="20"/>
          </w:rPr>
          <w:t xml:space="preserve">V1.0 </w:t>
        </w:r>
        <w:r w:rsidR="00C438E4" w:rsidRPr="00C438E4">
          <w:t>February 2024</w:t>
        </w:r>
      </w:p>
      <w:p w14:paraId="5214230D" w14:textId="4ECA52CA" w:rsidR="00C52C2C" w:rsidRDefault="00C52C2C" w:rsidP="00985B4D">
        <w:pPr>
          <w:pStyle w:val="Footer"/>
          <w:jc w:val="center"/>
        </w:pPr>
        <w:r w:rsidRPr="00985B4D">
          <w:rPr>
            <w:sz w:val="20"/>
            <w:szCs w:val="20"/>
          </w:rPr>
          <w:fldChar w:fldCharType="begin"/>
        </w:r>
        <w:r w:rsidRPr="00985B4D">
          <w:rPr>
            <w:sz w:val="20"/>
            <w:szCs w:val="20"/>
          </w:rPr>
          <w:instrText xml:space="preserve"> PAGE   \* MERGEFORMAT </w:instrText>
        </w:r>
        <w:r w:rsidRPr="00985B4D">
          <w:rPr>
            <w:sz w:val="20"/>
            <w:szCs w:val="20"/>
          </w:rPr>
          <w:fldChar w:fldCharType="separate"/>
        </w:r>
        <w:r w:rsidR="007E7B9A">
          <w:rPr>
            <w:noProof/>
            <w:sz w:val="20"/>
            <w:szCs w:val="20"/>
          </w:rPr>
          <w:t>1</w:t>
        </w:r>
        <w:r w:rsidRPr="00985B4D">
          <w:rPr>
            <w:noProof/>
            <w:sz w:val="20"/>
            <w:szCs w:val="20"/>
          </w:rPr>
          <w:fldChar w:fldCharType="end"/>
        </w:r>
      </w:p>
    </w:sdtContent>
  </w:sdt>
  <w:p w14:paraId="6CEF1DBF" w14:textId="77777777" w:rsidR="00C52C2C" w:rsidRPr="002933F8" w:rsidRDefault="00C52C2C" w:rsidP="002933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ACDE5" w14:textId="77777777" w:rsidR="00AD07D0" w:rsidRDefault="00AD07D0">
      <w:r>
        <w:separator/>
      </w:r>
    </w:p>
  </w:footnote>
  <w:footnote w:type="continuationSeparator" w:id="0">
    <w:p w14:paraId="076F2DCB" w14:textId="77777777" w:rsidR="00AD07D0" w:rsidRDefault="00AD07D0">
      <w:r>
        <w:continuationSeparator/>
      </w:r>
    </w:p>
  </w:footnote>
  <w:footnote w:type="continuationNotice" w:id="1">
    <w:p w14:paraId="5B984E80" w14:textId="77777777" w:rsidR="00AD07D0" w:rsidRDefault="00AD07D0"/>
  </w:footnote>
  <w:footnote w:id="2">
    <w:p w14:paraId="43000896" w14:textId="77777777" w:rsidR="00AF168C" w:rsidRDefault="00AF168C" w:rsidP="00AF168C">
      <w:pPr>
        <w:pStyle w:val="Bodycopy"/>
        <w:spacing w:line="276" w:lineRule="auto"/>
        <w:rPr>
          <w:sz w:val="22"/>
          <w:szCs w:val="22"/>
        </w:rPr>
      </w:pPr>
      <w:r w:rsidRPr="005A35B7">
        <w:rPr>
          <w:rStyle w:val="FootnoteReference"/>
          <w:sz w:val="18"/>
          <w:szCs w:val="18"/>
        </w:rPr>
        <w:footnoteRef/>
      </w:r>
      <w:r>
        <w:t xml:space="preserve"> </w:t>
      </w:r>
      <w:r w:rsidRPr="009E14EA">
        <w:rPr>
          <w:sz w:val="18"/>
          <w:szCs w:val="18"/>
        </w:rPr>
        <w:t xml:space="preserve">The relevant guidance may be found </w:t>
      </w:r>
      <w:hyperlink r:id="rId1" w:history="1">
        <w:r>
          <w:rPr>
            <w:rStyle w:val="Hyperlink"/>
            <w:sz w:val="18"/>
            <w:szCs w:val="18"/>
          </w:rPr>
          <w:t>here</w:t>
        </w:r>
      </w:hyperlink>
      <w:r w:rsidRPr="009E14EA">
        <w:rPr>
          <w:sz w:val="18"/>
          <w:szCs w:val="18"/>
        </w:rPr>
        <w:t>.</w:t>
      </w:r>
      <w:r>
        <w:rPr>
          <w:sz w:val="22"/>
          <w:szCs w:val="22"/>
        </w:rPr>
        <w:t xml:space="preserve"> </w:t>
      </w:r>
    </w:p>
    <w:p w14:paraId="7356380F" w14:textId="77777777" w:rsidR="00AF168C" w:rsidRDefault="00AF168C" w:rsidP="00AF168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9588B" w14:textId="434337A1" w:rsidR="00C52C2C" w:rsidRPr="00F44D62" w:rsidRDefault="00C52C2C" w:rsidP="00985B4D">
    <w:pPr>
      <w:tabs>
        <w:tab w:val="center" w:pos="4153"/>
        <w:tab w:val="right" w:pos="8306"/>
      </w:tabs>
      <w:ind w:left="720"/>
      <w:jc w:val="center"/>
      <w:rPr>
        <w:sz w:val="20"/>
        <w:szCs w:val="20"/>
      </w:rPr>
    </w:pPr>
    <w:r w:rsidRPr="00F44D62">
      <w:rPr>
        <w:sz w:val="20"/>
        <w:szCs w:val="20"/>
      </w:rPr>
      <w:t>OFFICIAL</w:t>
    </w:r>
  </w:p>
  <w:p w14:paraId="0BC6A7D6" w14:textId="28D2C202" w:rsidR="00C52C2C" w:rsidRDefault="00D16B91" w:rsidP="00985B4D">
    <w:pPr>
      <w:tabs>
        <w:tab w:val="center" w:pos="4153"/>
        <w:tab w:val="right" w:pos="8306"/>
      </w:tabs>
      <w:ind w:left="720"/>
      <w:jc w:val="center"/>
      <w:rPr>
        <w:sz w:val="20"/>
        <w:szCs w:val="20"/>
      </w:rPr>
    </w:pPr>
    <w:r>
      <w:rPr>
        <w:sz w:val="20"/>
        <w:szCs w:val="20"/>
      </w:rPr>
      <w:t>A</w:t>
    </w:r>
    <w:r w:rsidR="007A77DF">
      <w:rPr>
        <w:sz w:val="20"/>
        <w:szCs w:val="20"/>
      </w:rPr>
      <w:t>ppendix B</w:t>
    </w:r>
    <w:r w:rsidR="00C52C2C">
      <w:rPr>
        <w:sz w:val="20"/>
        <w:szCs w:val="20"/>
      </w:rPr>
      <w:t xml:space="preserve"> – Statement of Requirements</w:t>
    </w:r>
  </w:p>
  <w:p w14:paraId="2FFA1B3E" w14:textId="3B578A7A" w:rsidR="00C52C2C" w:rsidRPr="007A77DF" w:rsidRDefault="007A77DF" w:rsidP="005334EA">
    <w:pPr>
      <w:tabs>
        <w:tab w:val="center" w:pos="4153"/>
        <w:tab w:val="right" w:pos="8306"/>
      </w:tabs>
      <w:ind w:left="720"/>
      <w:jc w:val="center"/>
      <w:rPr>
        <w:rFonts w:cs="Arial"/>
        <w:sz w:val="20"/>
        <w:szCs w:val="20"/>
      </w:rPr>
    </w:pPr>
    <w:r w:rsidRPr="007A77DF">
      <w:rPr>
        <w:rFonts w:cs="Arial"/>
        <w:sz w:val="20"/>
        <w:szCs w:val="20"/>
      </w:rPr>
      <w:t>ASB Hot Spot Survey</w:t>
    </w:r>
  </w:p>
  <w:p w14:paraId="3CFCFA88" w14:textId="3F4E20DD" w:rsidR="00C52C2C" w:rsidRPr="001A45DF" w:rsidRDefault="00E24EE7" w:rsidP="005334EA">
    <w:pPr>
      <w:tabs>
        <w:tab w:val="center" w:pos="4153"/>
        <w:tab w:val="right" w:pos="8306"/>
      </w:tabs>
      <w:ind w:left="720"/>
      <w:jc w:val="center"/>
      <w:rPr>
        <w:sz w:val="20"/>
        <w:szCs w:val="20"/>
      </w:rPr>
    </w:pPr>
    <w:r w:rsidRPr="007A77DF">
      <w:rPr>
        <w:rFonts w:cs="Arial"/>
        <w:sz w:val="20"/>
        <w:szCs w:val="20"/>
      </w:rPr>
      <w:t xml:space="preserve">Contract Reference: </w:t>
    </w:r>
    <w:r w:rsidR="005F1A0E" w:rsidRPr="007A77DF">
      <w:t>C_54</w:t>
    </w:r>
  </w:p>
  <w:p w14:paraId="605B3446" w14:textId="1C5596A0" w:rsidR="00C52C2C" w:rsidRPr="009D0EAE" w:rsidRDefault="00C52C2C" w:rsidP="00F946AC">
    <w:pPr>
      <w:pStyle w:val="Header"/>
      <w:jc w:val="center"/>
      <w:rPr>
        <w:rFonts w:cs="Arial"/>
        <w:sz w:val="20"/>
        <w:szCs w:val="20"/>
        <w:highlight w:val="yellow"/>
      </w:rPr>
    </w:pPr>
  </w:p>
  <w:p w14:paraId="6F1572B1" w14:textId="45CD0517" w:rsidR="00C52C2C" w:rsidRPr="00074357" w:rsidRDefault="00C52C2C" w:rsidP="00074357">
    <w:pPr>
      <w:pStyle w:val="Header"/>
    </w:pPr>
    <w:r>
      <w:rPr>
        <w:noProof/>
        <w:lang w:eastAsia="en-GB"/>
      </w:rPr>
      <mc:AlternateContent>
        <mc:Choice Requires="wps">
          <w:drawing>
            <wp:anchor distT="0" distB="0" distL="114300" distR="114300" simplePos="0" relativeHeight="251658241" behindDoc="0" locked="0" layoutInCell="1" allowOverlap="1" wp14:anchorId="65490E35" wp14:editId="4D946F01">
              <wp:simplePos x="0" y="0"/>
              <wp:positionH relativeFrom="column">
                <wp:posOffset>-304801</wp:posOffset>
              </wp:positionH>
              <wp:positionV relativeFrom="paragraph">
                <wp:posOffset>98425</wp:posOffset>
              </wp:positionV>
              <wp:extent cx="60483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04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855F2E"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24pt,7.75pt" to="452.2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" strokecolor="black [3040]"/>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Vn828QNa" int2:invalidationBookmarkName="" int2:hashCode="vQKC/Sdt7w6ipz" int2:id="aLwcRfr2">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0835D61"/>
    <w:multiLevelType w:val="hybridMultilevel"/>
    <w:tmpl w:val="1876A96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6" w15:restartNumberingAfterBreak="0">
    <w:nsid w:val="021479FA"/>
    <w:multiLevelType w:val="hybridMultilevel"/>
    <w:tmpl w:val="66DC8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8" w15:restartNumberingAfterBreak="0">
    <w:nsid w:val="047D549D"/>
    <w:multiLevelType w:val="hybridMultilevel"/>
    <w:tmpl w:val="AE686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D4790B"/>
    <w:multiLevelType w:val="hybridMultilevel"/>
    <w:tmpl w:val="C10220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63B3F94"/>
    <w:multiLevelType w:val="hybridMultilevel"/>
    <w:tmpl w:val="7318BF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2"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A2445F8"/>
    <w:multiLevelType w:val="hybridMultilevel"/>
    <w:tmpl w:val="D9121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E7F5FFD"/>
    <w:multiLevelType w:val="hybridMultilevel"/>
    <w:tmpl w:val="EAEA95E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15:restartNumberingAfterBreak="0">
    <w:nsid w:val="0ECF4306"/>
    <w:multiLevelType w:val="hybridMultilevel"/>
    <w:tmpl w:val="DF488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7"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8"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5080085"/>
    <w:multiLevelType w:val="hybridMultilevel"/>
    <w:tmpl w:val="DF5C8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6E045C8"/>
    <w:multiLevelType w:val="hybridMultilevel"/>
    <w:tmpl w:val="B614A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7B23804"/>
    <w:multiLevelType w:val="hybridMultilevel"/>
    <w:tmpl w:val="767AAA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17DA4699"/>
    <w:multiLevelType w:val="hybridMultilevel"/>
    <w:tmpl w:val="1FCA0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192B414F"/>
    <w:multiLevelType w:val="hybridMultilevel"/>
    <w:tmpl w:val="624A2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9946A32"/>
    <w:multiLevelType w:val="hybridMultilevel"/>
    <w:tmpl w:val="8C309A3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15:restartNumberingAfterBreak="0">
    <w:nsid w:val="1ACD6DD7"/>
    <w:multiLevelType w:val="hybridMultilevel"/>
    <w:tmpl w:val="412C8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B7F1CCD"/>
    <w:multiLevelType w:val="hybridMultilevel"/>
    <w:tmpl w:val="24DED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B9E2664"/>
    <w:multiLevelType w:val="multilevel"/>
    <w:tmpl w:val="D7E4D1BE"/>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ascii="Arial Bold" w:hAnsi="Arial Bold" w:hint="default"/>
        <w:b/>
        <w:i w:val="0"/>
        <w:sz w:val="24"/>
      </w:rPr>
    </w:lvl>
    <w:lvl w:ilvl="2">
      <w:start w:val="1"/>
      <w:numFmt w:val="decimal"/>
      <w:lvlText w:val="%1.%2.%3"/>
      <w:lvlJc w:val="left"/>
      <w:pPr>
        <w:tabs>
          <w:tab w:val="num" w:pos="567"/>
        </w:tabs>
        <w:ind w:left="680" w:hanging="680"/>
      </w:pPr>
      <w:rPr>
        <w:rFonts w:ascii="Arial" w:hAnsi="Arial" w:hint="default"/>
        <w:b w:val="0"/>
        <w:i w:val="0"/>
        <w:color w:val="auto"/>
        <w:sz w:val="22"/>
      </w:rPr>
    </w:lvl>
    <w:lvl w:ilvl="3">
      <w:start w:val="1"/>
      <w:numFmt w:val="lowerLetter"/>
      <w:lvlText w:val="%4)"/>
      <w:lvlJc w:val="left"/>
      <w:pPr>
        <w:tabs>
          <w:tab w:val="num" w:pos="1134"/>
        </w:tabs>
        <w:ind w:left="1134" w:hanging="454"/>
      </w:pPr>
      <w:rPr>
        <w:rFonts w:hint="default"/>
      </w:rPr>
    </w:lvl>
    <w:lvl w:ilvl="4">
      <w:start w:val="1"/>
      <w:numFmt w:val="bullet"/>
      <w:lvlText w:val=""/>
      <w:lvlJc w:val="left"/>
      <w:pPr>
        <w:tabs>
          <w:tab w:val="num" w:pos="1531"/>
        </w:tabs>
        <w:ind w:left="1531" w:hanging="397"/>
      </w:pPr>
      <w:rPr>
        <w:rFonts w:ascii="Symbol" w:hAnsi="Symbol" w:hint="default"/>
        <w:b w:val="0"/>
        <w:i w:val="0"/>
        <w:sz w:val="22"/>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C731BAE"/>
    <w:multiLevelType w:val="hybridMultilevel"/>
    <w:tmpl w:val="179046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1D2015BE"/>
    <w:multiLevelType w:val="hybridMultilevel"/>
    <w:tmpl w:val="29FE7208"/>
    <w:lvl w:ilvl="0" w:tplc="BDDC1EA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22F12719"/>
    <w:multiLevelType w:val="hybridMultilevel"/>
    <w:tmpl w:val="3410AF6C"/>
    <w:lvl w:ilvl="0" w:tplc="3E8E3452">
      <w:start w:val="1"/>
      <w:numFmt w:val="bullet"/>
      <w:lvlText w:val="-"/>
      <w:lvlJc w:val="left"/>
      <w:pPr>
        <w:ind w:left="1080" w:hanging="360"/>
      </w:pPr>
      <w:rPr>
        <w:rFonts w:ascii="Calibri" w:eastAsiaTheme="minorHAnsi"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32"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33" w15:restartNumberingAfterBreak="0">
    <w:nsid w:val="281F68C1"/>
    <w:multiLevelType w:val="multilevel"/>
    <w:tmpl w:val="E1947840"/>
    <w:lvl w:ilvl="0">
      <w:start w:val="1"/>
      <w:numFmt w:val="decimal"/>
      <w:pStyle w:val="Martin1"/>
      <w:lvlText w:val="%1."/>
      <w:lvlJc w:val="left"/>
      <w:pPr>
        <w:ind w:left="567" w:hanging="567"/>
      </w:pPr>
      <w:rPr>
        <w:rFonts w:hint="default"/>
      </w:rPr>
    </w:lvl>
    <w:lvl w:ilvl="1">
      <w:start w:val="1"/>
      <w:numFmt w:val="decimal"/>
      <w:pStyle w:val="Martin2"/>
      <w:lvlText w:val="%1.%2."/>
      <w:lvlJc w:val="left"/>
      <w:pPr>
        <w:ind w:left="567" w:hanging="567"/>
      </w:pPr>
      <w:rPr>
        <w:rFonts w:hint="default"/>
        <w:b w:val="0"/>
      </w:rPr>
    </w:lvl>
    <w:lvl w:ilvl="2">
      <w:start w:val="1"/>
      <w:numFmt w:val="bullet"/>
      <w:lvlText w:val=""/>
      <w:lvlJc w:val="left"/>
      <w:pPr>
        <w:ind w:left="851" w:hanging="284"/>
      </w:pPr>
      <w:rPr>
        <w:rFonts w:ascii="Symbol" w:hAnsi="Symbol" w:hint="default"/>
      </w:rPr>
    </w:lvl>
    <w:lvl w:ilvl="3">
      <w:start w:val="1"/>
      <w:numFmt w:val="bullet"/>
      <w:lvlText w:val="o"/>
      <w:lvlJc w:val="left"/>
      <w:pPr>
        <w:ind w:left="1134" w:hanging="283"/>
      </w:pPr>
      <w:rPr>
        <w:rFonts w:ascii="Courier New" w:hAnsi="Courier New"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35" w15:restartNumberingAfterBreak="0">
    <w:nsid w:val="2B6D22D5"/>
    <w:multiLevelType w:val="hybridMultilevel"/>
    <w:tmpl w:val="03BED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D36366E"/>
    <w:multiLevelType w:val="hybridMultilevel"/>
    <w:tmpl w:val="D1E4BB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38" w15:restartNumberingAfterBreak="0">
    <w:nsid w:val="30142BA0"/>
    <w:multiLevelType w:val="hybridMultilevel"/>
    <w:tmpl w:val="CED8E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40"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41"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D582698"/>
    <w:multiLevelType w:val="hybridMultilevel"/>
    <w:tmpl w:val="34425248"/>
    <w:lvl w:ilvl="0" w:tplc="3E8E3452">
      <w:start w:val="1"/>
      <w:numFmt w:val="bullet"/>
      <w:lvlText w:val="-"/>
      <w:lvlJc w:val="left"/>
      <w:pPr>
        <w:ind w:left="1080" w:hanging="360"/>
      </w:pPr>
      <w:rPr>
        <w:rFonts w:ascii="Calibri" w:eastAsiaTheme="minorHAnsi"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3" w15:restartNumberingAfterBreak="0">
    <w:nsid w:val="3E9D47CC"/>
    <w:multiLevelType w:val="hybridMultilevel"/>
    <w:tmpl w:val="2F66BD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7497783"/>
    <w:multiLevelType w:val="hybridMultilevel"/>
    <w:tmpl w:val="06D694D4"/>
    <w:lvl w:ilvl="0" w:tplc="3E8E3452">
      <w:start w:val="1"/>
      <w:numFmt w:val="bullet"/>
      <w:lvlText w:val="-"/>
      <w:lvlJc w:val="left"/>
      <w:pPr>
        <w:ind w:left="1068"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4B6C2C5C"/>
    <w:multiLevelType w:val="multilevel"/>
    <w:tmpl w:val="1332CCD4"/>
    <w:name w:val="Plato Schedule Numbering List"/>
    <w:numStyleLink w:val="111111"/>
  </w:abstractNum>
  <w:abstractNum w:abstractNumId="47" w15:restartNumberingAfterBreak="0">
    <w:nsid w:val="4B780210"/>
    <w:multiLevelType w:val="hybridMultilevel"/>
    <w:tmpl w:val="B2C24E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0965CCA"/>
    <w:multiLevelType w:val="multilevel"/>
    <w:tmpl w:val="1332CCD4"/>
    <w:name w:val="Appendicies Heading List"/>
    <w:numStyleLink w:val="111111"/>
  </w:abstractNum>
  <w:abstractNum w:abstractNumId="49" w15:restartNumberingAfterBreak="0">
    <w:nsid w:val="51200365"/>
    <w:multiLevelType w:val="multilevel"/>
    <w:tmpl w:val="6B285866"/>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50" w15:restartNumberingAfterBreak="0">
    <w:nsid w:val="51B97DA7"/>
    <w:multiLevelType w:val="hybridMultilevel"/>
    <w:tmpl w:val="91AE2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2"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53"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684C0BFC"/>
    <w:multiLevelType w:val="hybridMultilevel"/>
    <w:tmpl w:val="90F44EB6"/>
    <w:lvl w:ilvl="0" w:tplc="3E8E3452">
      <w:start w:val="1"/>
      <w:numFmt w:val="bullet"/>
      <w:lvlText w:val="-"/>
      <w:lvlJc w:val="left"/>
      <w:pPr>
        <w:ind w:left="1080" w:hanging="360"/>
      </w:pPr>
      <w:rPr>
        <w:rFonts w:ascii="Calibri" w:eastAsiaTheme="minorHAnsi"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5" w15:restartNumberingAfterBreak="0">
    <w:nsid w:val="6CF136A0"/>
    <w:multiLevelType w:val="hybridMultilevel"/>
    <w:tmpl w:val="D1ECC23C"/>
    <w:lvl w:ilvl="0" w:tplc="08090001">
      <w:start w:val="1"/>
      <w:numFmt w:val="bullet"/>
      <w:lvlText w:val=""/>
      <w:lvlJc w:val="left"/>
      <w:pPr>
        <w:ind w:left="720" w:hanging="360"/>
      </w:pPr>
      <w:rPr>
        <w:rFonts w:ascii="Symbol" w:hAnsi="Symbol" w:hint="default"/>
      </w:rPr>
    </w:lvl>
    <w:lvl w:ilvl="1" w:tplc="2B328028">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EED5689"/>
    <w:multiLevelType w:val="hybridMultilevel"/>
    <w:tmpl w:val="25EAF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31C589B"/>
    <w:multiLevelType w:val="hybridMultilevel"/>
    <w:tmpl w:val="6B122D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735D11EB"/>
    <w:multiLevelType w:val="hybridMultilevel"/>
    <w:tmpl w:val="F7147616"/>
    <w:lvl w:ilvl="0" w:tplc="9A6E070C">
      <w:start w:val="1"/>
      <w:numFmt w:val="lowerRoman"/>
      <w:lvlText w:val="%1.)"/>
      <w:lvlJc w:val="right"/>
      <w:pPr>
        <w:ind w:left="1800" w:hanging="360"/>
      </w:pPr>
      <w:rPr>
        <w:rFonts w:ascii="Arial" w:eastAsia="Times New Roman" w:hAnsi="Arial" w:cs="Arial"/>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9" w15:restartNumberingAfterBreak="0">
    <w:nsid w:val="78546EBA"/>
    <w:multiLevelType w:val="hybridMultilevel"/>
    <w:tmpl w:val="AF48D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61"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abstractNum w:abstractNumId="62" w15:restartNumberingAfterBreak="0">
    <w:nsid w:val="7F733DE5"/>
    <w:multiLevelType w:val="hybridMultilevel"/>
    <w:tmpl w:val="6122AB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7FB520F2"/>
    <w:multiLevelType w:val="hybridMultilevel"/>
    <w:tmpl w:val="5B124C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40748786">
    <w:abstractNumId w:val="11"/>
  </w:num>
  <w:num w:numId="2" w16cid:durableId="1379161045">
    <w:abstractNumId w:val="49"/>
  </w:num>
  <w:num w:numId="3" w16cid:durableId="508524481">
    <w:abstractNumId w:val="34"/>
  </w:num>
  <w:num w:numId="4" w16cid:durableId="1621184596">
    <w:abstractNumId w:val="37"/>
  </w:num>
  <w:num w:numId="5" w16cid:durableId="131989887">
    <w:abstractNumId w:val="7"/>
  </w:num>
  <w:num w:numId="6" w16cid:durableId="1108507132">
    <w:abstractNumId w:val="45"/>
  </w:num>
  <w:num w:numId="7" w16cid:durableId="119539773">
    <w:abstractNumId w:val="40"/>
  </w:num>
  <w:num w:numId="8" w16cid:durableId="9183554">
    <w:abstractNumId w:val="32"/>
  </w:num>
  <w:num w:numId="9" w16cid:durableId="1749577222">
    <w:abstractNumId w:val="4"/>
  </w:num>
  <w:num w:numId="10" w16cid:durableId="1335910486">
    <w:abstractNumId w:val="3"/>
  </w:num>
  <w:num w:numId="11" w16cid:durableId="1212116883">
    <w:abstractNumId w:val="2"/>
  </w:num>
  <w:num w:numId="12" w16cid:durableId="845435603">
    <w:abstractNumId w:val="1"/>
  </w:num>
  <w:num w:numId="13" w16cid:durableId="1428387010">
    <w:abstractNumId w:val="0"/>
  </w:num>
  <w:num w:numId="14" w16cid:durableId="589779310">
    <w:abstractNumId w:val="60"/>
  </w:num>
  <w:num w:numId="15" w16cid:durableId="936908007">
    <w:abstractNumId w:val="17"/>
  </w:num>
  <w:num w:numId="16" w16cid:durableId="21055379">
    <w:abstractNumId w:val="53"/>
  </w:num>
  <w:num w:numId="17" w16cid:durableId="156191255">
    <w:abstractNumId w:val="16"/>
  </w:num>
  <w:num w:numId="18" w16cid:durableId="674459244">
    <w:abstractNumId w:val="41"/>
  </w:num>
  <w:num w:numId="19" w16cid:durableId="281347614">
    <w:abstractNumId w:val="39"/>
  </w:num>
  <w:num w:numId="20" w16cid:durableId="254365627">
    <w:abstractNumId w:val="51"/>
  </w:num>
  <w:num w:numId="21" w16cid:durableId="1066683002">
    <w:abstractNumId w:val="31"/>
  </w:num>
  <w:num w:numId="22" w16cid:durableId="35353152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10523252">
    <w:abstractNumId w:val="14"/>
  </w:num>
  <w:num w:numId="24" w16cid:durableId="947349217">
    <w:abstractNumId w:val="63"/>
  </w:num>
  <w:num w:numId="25" w16cid:durableId="419450104">
    <w:abstractNumId w:val="9"/>
  </w:num>
  <w:num w:numId="26" w16cid:durableId="738746563">
    <w:abstractNumId w:val="57"/>
  </w:num>
  <w:num w:numId="27" w16cid:durableId="240602688">
    <w:abstractNumId w:val="43"/>
  </w:num>
  <w:num w:numId="28" w16cid:durableId="361904858">
    <w:abstractNumId w:val="10"/>
  </w:num>
  <w:num w:numId="29" w16cid:durableId="2043048874">
    <w:abstractNumId w:val="22"/>
  </w:num>
  <w:num w:numId="30" w16cid:durableId="1757744269">
    <w:abstractNumId w:val="36"/>
  </w:num>
  <w:num w:numId="31" w16cid:durableId="297691333">
    <w:abstractNumId w:val="21"/>
  </w:num>
  <w:num w:numId="32" w16cid:durableId="1379473866">
    <w:abstractNumId w:val="28"/>
  </w:num>
  <w:num w:numId="33" w16cid:durableId="233129404">
    <w:abstractNumId w:val="62"/>
  </w:num>
  <w:num w:numId="34" w16cid:durableId="1796562113">
    <w:abstractNumId w:val="24"/>
  </w:num>
  <w:num w:numId="35" w16cid:durableId="1456941955">
    <w:abstractNumId w:val="56"/>
  </w:num>
  <w:num w:numId="36" w16cid:durableId="722022479">
    <w:abstractNumId w:val="13"/>
  </w:num>
  <w:num w:numId="37" w16cid:durableId="457991349">
    <w:abstractNumId w:val="38"/>
  </w:num>
  <w:num w:numId="38" w16cid:durableId="1592472478">
    <w:abstractNumId w:val="29"/>
  </w:num>
  <w:num w:numId="39" w16cid:durableId="1077632586">
    <w:abstractNumId w:val="59"/>
  </w:num>
  <w:num w:numId="40" w16cid:durableId="929432471">
    <w:abstractNumId w:val="50"/>
  </w:num>
  <w:num w:numId="41" w16cid:durableId="1762606007">
    <w:abstractNumId w:val="6"/>
  </w:num>
  <w:num w:numId="42" w16cid:durableId="1893039600">
    <w:abstractNumId w:val="35"/>
  </w:num>
  <w:num w:numId="43" w16cid:durableId="644314945">
    <w:abstractNumId w:val="47"/>
  </w:num>
  <w:num w:numId="44" w16cid:durableId="2129541384">
    <w:abstractNumId w:val="26"/>
  </w:num>
  <w:num w:numId="45" w16cid:durableId="1693417007">
    <w:abstractNumId w:val="20"/>
  </w:num>
  <w:num w:numId="46" w16cid:durableId="489954247">
    <w:abstractNumId w:val="15"/>
  </w:num>
  <w:num w:numId="47" w16cid:durableId="635794481">
    <w:abstractNumId w:val="49"/>
    <w:lvlOverride w:ilvl="0">
      <w:startOverride w:val="4"/>
    </w:lvlOverride>
    <w:lvlOverride w:ilvl="1">
      <w:startOverride w:val="2"/>
    </w:lvlOverride>
    <w:lvlOverride w:ilvl="2">
      <w:startOverride w:val="1"/>
    </w:lvlOverride>
  </w:num>
  <w:num w:numId="48" w16cid:durableId="667169285">
    <w:abstractNumId w:val="19"/>
  </w:num>
  <w:num w:numId="49" w16cid:durableId="218396801">
    <w:abstractNumId w:val="44"/>
  </w:num>
  <w:num w:numId="50" w16cid:durableId="1055205051">
    <w:abstractNumId w:val="42"/>
  </w:num>
  <w:num w:numId="51" w16cid:durableId="1838954337">
    <w:abstractNumId w:val="54"/>
  </w:num>
  <w:num w:numId="52" w16cid:durableId="878322850">
    <w:abstractNumId w:val="30"/>
  </w:num>
  <w:num w:numId="53" w16cid:durableId="2015065859">
    <w:abstractNumId w:val="33"/>
  </w:num>
  <w:num w:numId="54" w16cid:durableId="1685864678">
    <w:abstractNumId w:val="27"/>
  </w:num>
  <w:num w:numId="55" w16cid:durableId="1740402076">
    <w:abstractNumId w:val="5"/>
  </w:num>
  <w:num w:numId="56" w16cid:durableId="606304449">
    <w:abstractNumId w:val="58"/>
  </w:num>
  <w:num w:numId="57" w16cid:durableId="887838794">
    <w:abstractNumId w:val="12"/>
  </w:num>
  <w:num w:numId="58" w16cid:durableId="1811243674">
    <w:abstractNumId w:val="55"/>
  </w:num>
  <w:num w:numId="59" w16cid:durableId="1788811369">
    <w:abstractNumId w:val="25"/>
  </w:num>
  <w:num w:numId="60" w16cid:durableId="1106191765">
    <w:abstractNumId w:val="8"/>
  </w:num>
  <w:num w:numId="61" w16cid:durableId="1863863698">
    <w:abstractNumId w:val="2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436"/>
    <w:rsid w:val="000000C2"/>
    <w:rsid w:val="00000B96"/>
    <w:rsid w:val="00000F92"/>
    <w:rsid w:val="00001043"/>
    <w:rsid w:val="000014F8"/>
    <w:rsid w:val="00001B74"/>
    <w:rsid w:val="00002580"/>
    <w:rsid w:val="000025B2"/>
    <w:rsid w:val="00002A5E"/>
    <w:rsid w:val="000033C6"/>
    <w:rsid w:val="000033CA"/>
    <w:rsid w:val="00004A15"/>
    <w:rsid w:val="00004DDC"/>
    <w:rsid w:val="0000639C"/>
    <w:rsid w:val="000067FA"/>
    <w:rsid w:val="000074EA"/>
    <w:rsid w:val="00007A30"/>
    <w:rsid w:val="00010F82"/>
    <w:rsid w:val="000110CC"/>
    <w:rsid w:val="00011988"/>
    <w:rsid w:val="00012987"/>
    <w:rsid w:val="00013264"/>
    <w:rsid w:val="0001386E"/>
    <w:rsid w:val="0001408F"/>
    <w:rsid w:val="00014A44"/>
    <w:rsid w:val="0001614A"/>
    <w:rsid w:val="00016E24"/>
    <w:rsid w:val="00020569"/>
    <w:rsid w:val="00020611"/>
    <w:rsid w:val="000209FA"/>
    <w:rsid w:val="0002117B"/>
    <w:rsid w:val="000213ED"/>
    <w:rsid w:val="00022304"/>
    <w:rsid w:val="0002302C"/>
    <w:rsid w:val="0002409B"/>
    <w:rsid w:val="00024AE7"/>
    <w:rsid w:val="00024B2F"/>
    <w:rsid w:val="00026CBD"/>
    <w:rsid w:val="00026E28"/>
    <w:rsid w:val="00027C05"/>
    <w:rsid w:val="000318CA"/>
    <w:rsid w:val="00031A5D"/>
    <w:rsid w:val="0003289F"/>
    <w:rsid w:val="00033596"/>
    <w:rsid w:val="00033742"/>
    <w:rsid w:val="00035A45"/>
    <w:rsid w:val="00037923"/>
    <w:rsid w:val="00037CB6"/>
    <w:rsid w:val="00040A60"/>
    <w:rsid w:val="000459DD"/>
    <w:rsid w:val="00050ABB"/>
    <w:rsid w:val="00051303"/>
    <w:rsid w:val="00052A65"/>
    <w:rsid w:val="00053DF7"/>
    <w:rsid w:val="0005414E"/>
    <w:rsid w:val="00056A52"/>
    <w:rsid w:val="00056F7F"/>
    <w:rsid w:val="00060D0E"/>
    <w:rsid w:val="0006317B"/>
    <w:rsid w:val="000645CC"/>
    <w:rsid w:val="00066022"/>
    <w:rsid w:val="00066D70"/>
    <w:rsid w:val="00067B91"/>
    <w:rsid w:val="0007040F"/>
    <w:rsid w:val="00070E21"/>
    <w:rsid w:val="000717BE"/>
    <w:rsid w:val="0007280F"/>
    <w:rsid w:val="00072D38"/>
    <w:rsid w:val="00072EBA"/>
    <w:rsid w:val="00074357"/>
    <w:rsid w:val="00074D97"/>
    <w:rsid w:val="00074DC0"/>
    <w:rsid w:val="000763EA"/>
    <w:rsid w:val="00076448"/>
    <w:rsid w:val="0007706E"/>
    <w:rsid w:val="000812AE"/>
    <w:rsid w:val="00081421"/>
    <w:rsid w:val="0008330B"/>
    <w:rsid w:val="00090D6B"/>
    <w:rsid w:val="000910A7"/>
    <w:rsid w:val="00092145"/>
    <w:rsid w:val="00092C56"/>
    <w:rsid w:val="00094E2D"/>
    <w:rsid w:val="00095BEC"/>
    <w:rsid w:val="00096F76"/>
    <w:rsid w:val="00097EBA"/>
    <w:rsid w:val="000A0BB0"/>
    <w:rsid w:val="000A0C5F"/>
    <w:rsid w:val="000A0D22"/>
    <w:rsid w:val="000A1031"/>
    <w:rsid w:val="000A462F"/>
    <w:rsid w:val="000A5E95"/>
    <w:rsid w:val="000A65D6"/>
    <w:rsid w:val="000A65E5"/>
    <w:rsid w:val="000A72F8"/>
    <w:rsid w:val="000B0C44"/>
    <w:rsid w:val="000B12A9"/>
    <w:rsid w:val="000B1C66"/>
    <w:rsid w:val="000B29B2"/>
    <w:rsid w:val="000B4297"/>
    <w:rsid w:val="000B4955"/>
    <w:rsid w:val="000B5A10"/>
    <w:rsid w:val="000B5C9F"/>
    <w:rsid w:val="000B66AF"/>
    <w:rsid w:val="000B7E75"/>
    <w:rsid w:val="000C1D0A"/>
    <w:rsid w:val="000C2484"/>
    <w:rsid w:val="000C2E05"/>
    <w:rsid w:val="000C68BF"/>
    <w:rsid w:val="000C6BD6"/>
    <w:rsid w:val="000C7C2B"/>
    <w:rsid w:val="000D3719"/>
    <w:rsid w:val="000D3888"/>
    <w:rsid w:val="000D4605"/>
    <w:rsid w:val="000D4BCF"/>
    <w:rsid w:val="000D651F"/>
    <w:rsid w:val="000D735D"/>
    <w:rsid w:val="000D77F3"/>
    <w:rsid w:val="000D787F"/>
    <w:rsid w:val="000E031B"/>
    <w:rsid w:val="000E4C53"/>
    <w:rsid w:val="000E6052"/>
    <w:rsid w:val="000F232D"/>
    <w:rsid w:val="000F3348"/>
    <w:rsid w:val="000F3500"/>
    <w:rsid w:val="000F3A04"/>
    <w:rsid w:val="000F3E1D"/>
    <w:rsid w:val="000F52E6"/>
    <w:rsid w:val="000F5C14"/>
    <w:rsid w:val="00100B77"/>
    <w:rsid w:val="0010318E"/>
    <w:rsid w:val="00103509"/>
    <w:rsid w:val="001040CE"/>
    <w:rsid w:val="0010453E"/>
    <w:rsid w:val="0010577C"/>
    <w:rsid w:val="00105FBC"/>
    <w:rsid w:val="00106F24"/>
    <w:rsid w:val="001105EA"/>
    <w:rsid w:val="00110B76"/>
    <w:rsid w:val="00110F67"/>
    <w:rsid w:val="00113459"/>
    <w:rsid w:val="00113CF2"/>
    <w:rsid w:val="00116862"/>
    <w:rsid w:val="0011712C"/>
    <w:rsid w:val="001173D2"/>
    <w:rsid w:val="001223EC"/>
    <w:rsid w:val="00122891"/>
    <w:rsid w:val="00123FAD"/>
    <w:rsid w:val="001245F5"/>
    <w:rsid w:val="00124E66"/>
    <w:rsid w:val="001256D9"/>
    <w:rsid w:val="0012683D"/>
    <w:rsid w:val="001313AB"/>
    <w:rsid w:val="00131AF8"/>
    <w:rsid w:val="00131F9E"/>
    <w:rsid w:val="001321F1"/>
    <w:rsid w:val="00133ADF"/>
    <w:rsid w:val="00133FC1"/>
    <w:rsid w:val="001345B2"/>
    <w:rsid w:val="00134C60"/>
    <w:rsid w:val="00135690"/>
    <w:rsid w:val="001360AB"/>
    <w:rsid w:val="001368D7"/>
    <w:rsid w:val="00136BDD"/>
    <w:rsid w:val="00136D23"/>
    <w:rsid w:val="0013718C"/>
    <w:rsid w:val="0013771E"/>
    <w:rsid w:val="00140AED"/>
    <w:rsid w:val="00141017"/>
    <w:rsid w:val="00144867"/>
    <w:rsid w:val="00144F3B"/>
    <w:rsid w:val="00145725"/>
    <w:rsid w:val="001478C6"/>
    <w:rsid w:val="00147DA6"/>
    <w:rsid w:val="001548AC"/>
    <w:rsid w:val="00156231"/>
    <w:rsid w:val="0015696A"/>
    <w:rsid w:val="00156E2F"/>
    <w:rsid w:val="00157D99"/>
    <w:rsid w:val="001609CA"/>
    <w:rsid w:val="00161A2F"/>
    <w:rsid w:val="0016322B"/>
    <w:rsid w:val="0016383C"/>
    <w:rsid w:val="00164F66"/>
    <w:rsid w:val="00166299"/>
    <w:rsid w:val="00167FE3"/>
    <w:rsid w:val="0017017C"/>
    <w:rsid w:val="00170C67"/>
    <w:rsid w:val="0017225B"/>
    <w:rsid w:val="00173352"/>
    <w:rsid w:val="0017368C"/>
    <w:rsid w:val="00176CBE"/>
    <w:rsid w:val="00176DF8"/>
    <w:rsid w:val="0018020B"/>
    <w:rsid w:val="001802DD"/>
    <w:rsid w:val="00181D58"/>
    <w:rsid w:val="00181E75"/>
    <w:rsid w:val="001838F8"/>
    <w:rsid w:val="00183DAF"/>
    <w:rsid w:val="00183EB0"/>
    <w:rsid w:val="001842F4"/>
    <w:rsid w:val="00184673"/>
    <w:rsid w:val="001863E6"/>
    <w:rsid w:val="001866C8"/>
    <w:rsid w:val="001870F9"/>
    <w:rsid w:val="0018756A"/>
    <w:rsid w:val="0019373E"/>
    <w:rsid w:val="001939F7"/>
    <w:rsid w:val="00193FB5"/>
    <w:rsid w:val="001962E6"/>
    <w:rsid w:val="001A1780"/>
    <w:rsid w:val="001A3C4D"/>
    <w:rsid w:val="001A45DF"/>
    <w:rsid w:val="001A78F6"/>
    <w:rsid w:val="001A7AB1"/>
    <w:rsid w:val="001B0587"/>
    <w:rsid w:val="001B2EA8"/>
    <w:rsid w:val="001B3C1C"/>
    <w:rsid w:val="001B485F"/>
    <w:rsid w:val="001B4B79"/>
    <w:rsid w:val="001B4D39"/>
    <w:rsid w:val="001B52D8"/>
    <w:rsid w:val="001B62DA"/>
    <w:rsid w:val="001B6F32"/>
    <w:rsid w:val="001B7109"/>
    <w:rsid w:val="001B7657"/>
    <w:rsid w:val="001C01FF"/>
    <w:rsid w:val="001C210F"/>
    <w:rsid w:val="001C2D04"/>
    <w:rsid w:val="001C4CDC"/>
    <w:rsid w:val="001C54FB"/>
    <w:rsid w:val="001C609B"/>
    <w:rsid w:val="001C63F8"/>
    <w:rsid w:val="001D0473"/>
    <w:rsid w:val="001D0D12"/>
    <w:rsid w:val="001D1ADF"/>
    <w:rsid w:val="001D1C5A"/>
    <w:rsid w:val="001D3018"/>
    <w:rsid w:val="001D54F2"/>
    <w:rsid w:val="001D5C65"/>
    <w:rsid w:val="001D6212"/>
    <w:rsid w:val="001E0CA1"/>
    <w:rsid w:val="001E13B3"/>
    <w:rsid w:val="001E1496"/>
    <w:rsid w:val="001E16EA"/>
    <w:rsid w:val="001E378F"/>
    <w:rsid w:val="001E3BC9"/>
    <w:rsid w:val="001E49D6"/>
    <w:rsid w:val="001E55C0"/>
    <w:rsid w:val="001F0B69"/>
    <w:rsid w:val="001F13E1"/>
    <w:rsid w:val="001F2926"/>
    <w:rsid w:val="001F2F1C"/>
    <w:rsid w:val="001F300D"/>
    <w:rsid w:val="001F3B05"/>
    <w:rsid w:val="001F4B65"/>
    <w:rsid w:val="0020036A"/>
    <w:rsid w:val="002014DC"/>
    <w:rsid w:val="002021CA"/>
    <w:rsid w:val="00202978"/>
    <w:rsid w:val="00202DAB"/>
    <w:rsid w:val="00204498"/>
    <w:rsid w:val="00205CD6"/>
    <w:rsid w:val="00206015"/>
    <w:rsid w:val="0021164B"/>
    <w:rsid w:val="00211F0A"/>
    <w:rsid w:val="0021202C"/>
    <w:rsid w:val="00213444"/>
    <w:rsid w:val="002136EC"/>
    <w:rsid w:val="00215015"/>
    <w:rsid w:val="0022047E"/>
    <w:rsid w:val="00220ACA"/>
    <w:rsid w:val="002222F1"/>
    <w:rsid w:val="002229A8"/>
    <w:rsid w:val="002235BF"/>
    <w:rsid w:val="00224CFC"/>
    <w:rsid w:val="00224FFC"/>
    <w:rsid w:val="0022513D"/>
    <w:rsid w:val="00225865"/>
    <w:rsid w:val="0022592F"/>
    <w:rsid w:val="002262A5"/>
    <w:rsid w:val="002268D4"/>
    <w:rsid w:val="0022721A"/>
    <w:rsid w:val="00233206"/>
    <w:rsid w:val="00234955"/>
    <w:rsid w:val="0023537B"/>
    <w:rsid w:val="00235462"/>
    <w:rsid w:val="00236AF1"/>
    <w:rsid w:val="00241853"/>
    <w:rsid w:val="00243547"/>
    <w:rsid w:val="00245B30"/>
    <w:rsid w:val="00246795"/>
    <w:rsid w:val="00250446"/>
    <w:rsid w:val="00251900"/>
    <w:rsid w:val="00252FFC"/>
    <w:rsid w:val="00255F6A"/>
    <w:rsid w:val="00257039"/>
    <w:rsid w:val="00257F38"/>
    <w:rsid w:val="002600C6"/>
    <w:rsid w:val="002608F4"/>
    <w:rsid w:val="00260EF5"/>
    <w:rsid w:val="0026119D"/>
    <w:rsid w:val="002630FA"/>
    <w:rsid w:val="002634FE"/>
    <w:rsid w:val="002645A3"/>
    <w:rsid w:val="002649FC"/>
    <w:rsid w:val="0027062E"/>
    <w:rsid w:val="002723EE"/>
    <w:rsid w:val="00273E03"/>
    <w:rsid w:val="00274391"/>
    <w:rsid w:val="00274416"/>
    <w:rsid w:val="00277524"/>
    <w:rsid w:val="00277534"/>
    <w:rsid w:val="00280B5B"/>
    <w:rsid w:val="002826D7"/>
    <w:rsid w:val="002848C1"/>
    <w:rsid w:val="0028697F"/>
    <w:rsid w:val="00286F62"/>
    <w:rsid w:val="002876FE"/>
    <w:rsid w:val="00287C83"/>
    <w:rsid w:val="002907D2"/>
    <w:rsid w:val="00291584"/>
    <w:rsid w:val="002915AA"/>
    <w:rsid w:val="002933F8"/>
    <w:rsid w:val="002943ED"/>
    <w:rsid w:val="002949E1"/>
    <w:rsid w:val="00294A4D"/>
    <w:rsid w:val="00297D77"/>
    <w:rsid w:val="002A0137"/>
    <w:rsid w:val="002A08BF"/>
    <w:rsid w:val="002A5258"/>
    <w:rsid w:val="002A6B5D"/>
    <w:rsid w:val="002A78F1"/>
    <w:rsid w:val="002A7D10"/>
    <w:rsid w:val="002A7DA6"/>
    <w:rsid w:val="002B1E1B"/>
    <w:rsid w:val="002B3644"/>
    <w:rsid w:val="002B407C"/>
    <w:rsid w:val="002B43BE"/>
    <w:rsid w:val="002B4FD0"/>
    <w:rsid w:val="002B55ED"/>
    <w:rsid w:val="002B5AEB"/>
    <w:rsid w:val="002B5C29"/>
    <w:rsid w:val="002B6278"/>
    <w:rsid w:val="002B6FD7"/>
    <w:rsid w:val="002B744B"/>
    <w:rsid w:val="002C0A5B"/>
    <w:rsid w:val="002C1AF6"/>
    <w:rsid w:val="002C1DE8"/>
    <w:rsid w:val="002C2D54"/>
    <w:rsid w:val="002C3316"/>
    <w:rsid w:val="002C3E25"/>
    <w:rsid w:val="002C4729"/>
    <w:rsid w:val="002C519F"/>
    <w:rsid w:val="002C538F"/>
    <w:rsid w:val="002C671C"/>
    <w:rsid w:val="002D268A"/>
    <w:rsid w:val="002D2841"/>
    <w:rsid w:val="002D3A27"/>
    <w:rsid w:val="002D3D16"/>
    <w:rsid w:val="002D7AC9"/>
    <w:rsid w:val="002E05A6"/>
    <w:rsid w:val="002E5436"/>
    <w:rsid w:val="002E6400"/>
    <w:rsid w:val="002F0E28"/>
    <w:rsid w:val="002F0F3C"/>
    <w:rsid w:val="002F13FD"/>
    <w:rsid w:val="002F1F7F"/>
    <w:rsid w:val="002F27D0"/>
    <w:rsid w:val="002F3129"/>
    <w:rsid w:val="002F3CE0"/>
    <w:rsid w:val="002F42F4"/>
    <w:rsid w:val="002F7AA1"/>
    <w:rsid w:val="0030038A"/>
    <w:rsid w:val="003011A1"/>
    <w:rsid w:val="0030185A"/>
    <w:rsid w:val="0030285B"/>
    <w:rsid w:val="0030439A"/>
    <w:rsid w:val="003047E0"/>
    <w:rsid w:val="0030606A"/>
    <w:rsid w:val="0031268A"/>
    <w:rsid w:val="00315091"/>
    <w:rsid w:val="00315163"/>
    <w:rsid w:val="00315C76"/>
    <w:rsid w:val="003169C9"/>
    <w:rsid w:val="0032065B"/>
    <w:rsid w:val="00320751"/>
    <w:rsid w:val="00323541"/>
    <w:rsid w:val="00323EAA"/>
    <w:rsid w:val="003273DE"/>
    <w:rsid w:val="00330C5C"/>
    <w:rsid w:val="00331152"/>
    <w:rsid w:val="00331523"/>
    <w:rsid w:val="003316AA"/>
    <w:rsid w:val="00332C70"/>
    <w:rsid w:val="00333D28"/>
    <w:rsid w:val="003341DC"/>
    <w:rsid w:val="00334FF3"/>
    <w:rsid w:val="0033596D"/>
    <w:rsid w:val="00336059"/>
    <w:rsid w:val="003415D2"/>
    <w:rsid w:val="00341D13"/>
    <w:rsid w:val="00341DDE"/>
    <w:rsid w:val="0034369B"/>
    <w:rsid w:val="003438D3"/>
    <w:rsid w:val="00343C78"/>
    <w:rsid w:val="00344509"/>
    <w:rsid w:val="00344B00"/>
    <w:rsid w:val="00346A23"/>
    <w:rsid w:val="00347685"/>
    <w:rsid w:val="0034799C"/>
    <w:rsid w:val="00347DB3"/>
    <w:rsid w:val="00352261"/>
    <w:rsid w:val="00353191"/>
    <w:rsid w:val="003536BF"/>
    <w:rsid w:val="00353EC0"/>
    <w:rsid w:val="003550DB"/>
    <w:rsid w:val="00356382"/>
    <w:rsid w:val="00357E6F"/>
    <w:rsid w:val="003627B1"/>
    <w:rsid w:val="00362A29"/>
    <w:rsid w:val="00362E9E"/>
    <w:rsid w:val="0036309A"/>
    <w:rsid w:val="003631FE"/>
    <w:rsid w:val="00363D74"/>
    <w:rsid w:val="00364FCA"/>
    <w:rsid w:val="0036523B"/>
    <w:rsid w:val="0036555C"/>
    <w:rsid w:val="0036574F"/>
    <w:rsid w:val="003660F6"/>
    <w:rsid w:val="00366F85"/>
    <w:rsid w:val="003700A3"/>
    <w:rsid w:val="003729F0"/>
    <w:rsid w:val="00373076"/>
    <w:rsid w:val="00373767"/>
    <w:rsid w:val="0037496E"/>
    <w:rsid w:val="0037526E"/>
    <w:rsid w:val="00375AE9"/>
    <w:rsid w:val="00376922"/>
    <w:rsid w:val="00376FF7"/>
    <w:rsid w:val="003770F8"/>
    <w:rsid w:val="00377483"/>
    <w:rsid w:val="0038049D"/>
    <w:rsid w:val="003833FD"/>
    <w:rsid w:val="00383796"/>
    <w:rsid w:val="003838D9"/>
    <w:rsid w:val="00384FB1"/>
    <w:rsid w:val="003862C4"/>
    <w:rsid w:val="00386338"/>
    <w:rsid w:val="003863AB"/>
    <w:rsid w:val="00386706"/>
    <w:rsid w:val="003873D7"/>
    <w:rsid w:val="003874EB"/>
    <w:rsid w:val="003908EB"/>
    <w:rsid w:val="00390BC3"/>
    <w:rsid w:val="0039193D"/>
    <w:rsid w:val="0039473B"/>
    <w:rsid w:val="00395674"/>
    <w:rsid w:val="00396B62"/>
    <w:rsid w:val="003A0CDA"/>
    <w:rsid w:val="003A199A"/>
    <w:rsid w:val="003A21C8"/>
    <w:rsid w:val="003A2C48"/>
    <w:rsid w:val="003A4CF8"/>
    <w:rsid w:val="003A4DD7"/>
    <w:rsid w:val="003A6F09"/>
    <w:rsid w:val="003B0599"/>
    <w:rsid w:val="003B4727"/>
    <w:rsid w:val="003B4B25"/>
    <w:rsid w:val="003B74BC"/>
    <w:rsid w:val="003C1CB5"/>
    <w:rsid w:val="003C2CC8"/>
    <w:rsid w:val="003C4094"/>
    <w:rsid w:val="003C4135"/>
    <w:rsid w:val="003C54C9"/>
    <w:rsid w:val="003C7811"/>
    <w:rsid w:val="003D0625"/>
    <w:rsid w:val="003D0A36"/>
    <w:rsid w:val="003D1E1C"/>
    <w:rsid w:val="003D1F3B"/>
    <w:rsid w:val="003D2039"/>
    <w:rsid w:val="003D22B8"/>
    <w:rsid w:val="003D2902"/>
    <w:rsid w:val="003D2F60"/>
    <w:rsid w:val="003D4366"/>
    <w:rsid w:val="003D4F07"/>
    <w:rsid w:val="003D52B7"/>
    <w:rsid w:val="003D6D0B"/>
    <w:rsid w:val="003D7778"/>
    <w:rsid w:val="003E36BA"/>
    <w:rsid w:val="003E37F8"/>
    <w:rsid w:val="003E3E8C"/>
    <w:rsid w:val="003E4FA3"/>
    <w:rsid w:val="003E7509"/>
    <w:rsid w:val="003F06FF"/>
    <w:rsid w:val="003F1C5D"/>
    <w:rsid w:val="003F4A88"/>
    <w:rsid w:val="003F626A"/>
    <w:rsid w:val="00400F7C"/>
    <w:rsid w:val="00401C86"/>
    <w:rsid w:val="00402F0D"/>
    <w:rsid w:val="00404F9C"/>
    <w:rsid w:val="0040508D"/>
    <w:rsid w:val="00405A77"/>
    <w:rsid w:val="0041085A"/>
    <w:rsid w:val="004112EE"/>
    <w:rsid w:val="004126C0"/>
    <w:rsid w:val="004128DA"/>
    <w:rsid w:val="00413A43"/>
    <w:rsid w:val="004147A7"/>
    <w:rsid w:val="00415016"/>
    <w:rsid w:val="0041576D"/>
    <w:rsid w:val="00416045"/>
    <w:rsid w:val="00422823"/>
    <w:rsid w:val="0042353D"/>
    <w:rsid w:val="004239D7"/>
    <w:rsid w:val="0042602C"/>
    <w:rsid w:val="00426AB4"/>
    <w:rsid w:val="0042706C"/>
    <w:rsid w:val="00427A64"/>
    <w:rsid w:val="00430054"/>
    <w:rsid w:val="004300D8"/>
    <w:rsid w:val="0043067F"/>
    <w:rsid w:val="004324B4"/>
    <w:rsid w:val="00433761"/>
    <w:rsid w:val="004342A8"/>
    <w:rsid w:val="004401D5"/>
    <w:rsid w:val="00442EDE"/>
    <w:rsid w:val="004445ED"/>
    <w:rsid w:val="00446FD1"/>
    <w:rsid w:val="00447F11"/>
    <w:rsid w:val="004516D6"/>
    <w:rsid w:val="0045279B"/>
    <w:rsid w:val="00452EA2"/>
    <w:rsid w:val="00453EE6"/>
    <w:rsid w:val="0045425C"/>
    <w:rsid w:val="00454ABC"/>
    <w:rsid w:val="00456D72"/>
    <w:rsid w:val="00461688"/>
    <w:rsid w:val="00462365"/>
    <w:rsid w:val="00462E6A"/>
    <w:rsid w:val="00470A2A"/>
    <w:rsid w:val="00470F92"/>
    <w:rsid w:val="004722DA"/>
    <w:rsid w:val="0047251D"/>
    <w:rsid w:val="0047321C"/>
    <w:rsid w:val="00476F39"/>
    <w:rsid w:val="004771C4"/>
    <w:rsid w:val="00477C7D"/>
    <w:rsid w:val="00480506"/>
    <w:rsid w:val="00480E50"/>
    <w:rsid w:val="004819F9"/>
    <w:rsid w:val="00484ACF"/>
    <w:rsid w:val="004900A1"/>
    <w:rsid w:val="004909B0"/>
    <w:rsid w:val="0049625F"/>
    <w:rsid w:val="00497D0E"/>
    <w:rsid w:val="004A1567"/>
    <w:rsid w:val="004A225E"/>
    <w:rsid w:val="004A2D0B"/>
    <w:rsid w:val="004A2E7B"/>
    <w:rsid w:val="004A31F5"/>
    <w:rsid w:val="004A3BE6"/>
    <w:rsid w:val="004A4371"/>
    <w:rsid w:val="004A48ED"/>
    <w:rsid w:val="004B14BA"/>
    <w:rsid w:val="004B279B"/>
    <w:rsid w:val="004B3BB3"/>
    <w:rsid w:val="004B4E34"/>
    <w:rsid w:val="004B5E53"/>
    <w:rsid w:val="004B61E8"/>
    <w:rsid w:val="004B6951"/>
    <w:rsid w:val="004B7B71"/>
    <w:rsid w:val="004C0636"/>
    <w:rsid w:val="004C0D9F"/>
    <w:rsid w:val="004C1460"/>
    <w:rsid w:val="004C50CD"/>
    <w:rsid w:val="004C5A51"/>
    <w:rsid w:val="004C5C6B"/>
    <w:rsid w:val="004C62BB"/>
    <w:rsid w:val="004D0392"/>
    <w:rsid w:val="004D0A59"/>
    <w:rsid w:val="004D0BC1"/>
    <w:rsid w:val="004D1EED"/>
    <w:rsid w:val="004D22DF"/>
    <w:rsid w:val="004D267E"/>
    <w:rsid w:val="004D2D01"/>
    <w:rsid w:val="004D34B9"/>
    <w:rsid w:val="004D4D43"/>
    <w:rsid w:val="004D4E92"/>
    <w:rsid w:val="004D5500"/>
    <w:rsid w:val="004E1F9F"/>
    <w:rsid w:val="004E445C"/>
    <w:rsid w:val="004E469A"/>
    <w:rsid w:val="004E4967"/>
    <w:rsid w:val="004E6FB0"/>
    <w:rsid w:val="004E70A8"/>
    <w:rsid w:val="004E78BC"/>
    <w:rsid w:val="004F20A3"/>
    <w:rsid w:val="004F2229"/>
    <w:rsid w:val="004F2D68"/>
    <w:rsid w:val="004F4E7F"/>
    <w:rsid w:val="004F6B43"/>
    <w:rsid w:val="004F6EE0"/>
    <w:rsid w:val="0050062B"/>
    <w:rsid w:val="005009A0"/>
    <w:rsid w:val="0050116C"/>
    <w:rsid w:val="00502279"/>
    <w:rsid w:val="00502D0E"/>
    <w:rsid w:val="00502DB6"/>
    <w:rsid w:val="0050537E"/>
    <w:rsid w:val="00505473"/>
    <w:rsid w:val="005054EC"/>
    <w:rsid w:val="00512E32"/>
    <w:rsid w:val="005147FE"/>
    <w:rsid w:val="00515D51"/>
    <w:rsid w:val="00517904"/>
    <w:rsid w:val="00517A5B"/>
    <w:rsid w:val="0052086C"/>
    <w:rsid w:val="005209A0"/>
    <w:rsid w:val="005219BC"/>
    <w:rsid w:val="00522AAC"/>
    <w:rsid w:val="0052343D"/>
    <w:rsid w:val="0052365A"/>
    <w:rsid w:val="0052487A"/>
    <w:rsid w:val="00527040"/>
    <w:rsid w:val="00531417"/>
    <w:rsid w:val="0053220D"/>
    <w:rsid w:val="005334EA"/>
    <w:rsid w:val="00533F76"/>
    <w:rsid w:val="005364E3"/>
    <w:rsid w:val="00537395"/>
    <w:rsid w:val="00540713"/>
    <w:rsid w:val="00544DE3"/>
    <w:rsid w:val="005458F6"/>
    <w:rsid w:val="0055006C"/>
    <w:rsid w:val="005506F9"/>
    <w:rsid w:val="00551203"/>
    <w:rsid w:val="00551397"/>
    <w:rsid w:val="00553996"/>
    <w:rsid w:val="00555653"/>
    <w:rsid w:val="005571B2"/>
    <w:rsid w:val="005604C7"/>
    <w:rsid w:val="00561AE0"/>
    <w:rsid w:val="00561BB6"/>
    <w:rsid w:val="005627E4"/>
    <w:rsid w:val="00563F76"/>
    <w:rsid w:val="00564CCA"/>
    <w:rsid w:val="00565C0E"/>
    <w:rsid w:val="0056660C"/>
    <w:rsid w:val="005676F9"/>
    <w:rsid w:val="00571F5E"/>
    <w:rsid w:val="00572D3B"/>
    <w:rsid w:val="005750D7"/>
    <w:rsid w:val="005750F5"/>
    <w:rsid w:val="005759DD"/>
    <w:rsid w:val="00576C34"/>
    <w:rsid w:val="00580AB1"/>
    <w:rsid w:val="00581887"/>
    <w:rsid w:val="005821EF"/>
    <w:rsid w:val="0058297A"/>
    <w:rsid w:val="0058409F"/>
    <w:rsid w:val="00586640"/>
    <w:rsid w:val="00586CC2"/>
    <w:rsid w:val="00590FFC"/>
    <w:rsid w:val="005924FF"/>
    <w:rsid w:val="00593334"/>
    <w:rsid w:val="00593474"/>
    <w:rsid w:val="00593CFF"/>
    <w:rsid w:val="00597B02"/>
    <w:rsid w:val="005A137B"/>
    <w:rsid w:val="005A1F60"/>
    <w:rsid w:val="005A387F"/>
    <w:rsid w:val="005A49EA"/>
    <w:rsid w:val="005A7A0F"/>
    <w:rsid w:val="005B228D"/>
    <w:rsid w:val="005B28B1"/>
    <w:rsid w:val="005B2BA5"/>
    <w:rsid w:val="005B466A"/>
    <w:rsid w:val="005B4A89"/>
    <w:rsid w:val="005B63E1"/>
    <w:rsid w:val="005C0826"/>
    <w:rsid w:val="005C1C4B"/>
    <w:rsid w:val="005C2951"/>
    <w:rsid w:val="005C2A6B"/>
    <w:rsid w:val="005C2A84"/>
    <w:rsid w:val="005C330D"/>
    <w:rsid w:val="005C3871"/>
    <w:rsid w:val="005C3B95"/>
    <w:rsid w:val="005C5975"/>
    <w:rsid w:val="005C6291"/>
    <w:rsid w:val="005C6503"/>
    <w:rsid w:val="005D1196"/>
    <w:rsid w:val="005D1C07"/>
    <w:rsid w:val="005D2362"/>
    <w:rsid w:val="005D5736"/>
    <w:rsid w:val="005D68DA"/>
    <w:rsid w:val="005E00DA"/>
    <w:rsid w:val="005E2029"/>
    <w:rsid w:val="005E29A1"/>
    <w:rsid w:val="005E4205"/>
    <w:rsid w:val="005E4793"/>
    <w:rsid w:val="005E4B73"/>
    <w:rsid w:val="005E4F6C"/>
    <w:rsid w:val="005E5DD9"/>
    <w:rsid w:val="005E77ED"/>
    <w:rsid w:val="005E7C19"/>
    <w:rsid w:val="005F03AB"/>
    <w:rsid w:val="005F11AF"/>
    <w:rsid w:val="005F162D"/>
    <w:rsid w:val="005F1A0E"/>
    <w:rsid w:val="005F2A14"/>
    <w:rsid w:val="005F2F66"/>
    <w:rsid w:val="005F3867"/>
    <w:rsid w:val="005F3E1B"/>
    <w:rsid w:val="005F52F5"/>
    <w:rsid w:val="005F6E6D"/>
    <w:rsid w:val="005F79C0"/>
    <w:rsid w:val="005F7CB3"/>
    <w:rsid w:val="00600D97"/>
    <w:rsid w:val="00600EA9"/>
    <w:rsid w:val="0060374B"/>
    <w:rsid w:val="00604AB1"/>
    <w:rsid w:val="00605194"/>
    <w:rsid w:val="006054F0"/>
    <w:rsid w:val="006061D3"/>
    <w:rsid w:val="0060633E"/>
    <w:rsid w:val="006072D7"/>
    <w:rsid w:val="00610600"/>
    <w:rsid w:val="0061104D"/>
    <w:rsid w:val="006121F2"/>
    <w:rsid w:val="00613AA1"/>
    <w:rsid w:val="00613C61"/>
    <w:rsid w:val="00616BD2"/>
    <w:rsid w:val="00617027"/>
    <w:rsid w:val="0062247B"/>
    <w:rsid w:val="006231D2"/>
    <w:rsid w:val="0062367A"/>
    <w:rsid w:val="00627B4B"/>
    <w:rsid w:val="00627D1B"/>
    <w:rsid w:val="0063134B"/>
    <w:rsid w:val="00631699"/>
    <w:rsid w:val="00631AE2"/>
    <w:rsid w:val="00632838"/>
    <w:rsid w:val="00632EE5"/>
    <w:rsid w:val="00635B31"/>
    <w:rsid w:val="00636209"/>
    <w:rsid w:val="00636E2D"/>
    <w:rsid w:val="006373DB"/>
    <w:rsid w:val="00637530"/>
    <w:rsid w:val="00641ACD"/>
    <w:rsid w:val="0064354C"/>
    <w:rsid w:val="00644149"/>
    <w:rsid w:val="00644EFA"/>
    <w:rsid w:val="006455A0"/>
    <w:rsid w:val="0064629E"/>
    <w:rsid w:val="00646588"/>
    <w:rsid w:val="00646B4C"/>
    <w:rsid w:val="00646DC8"/>
    <w:rsid w:val="006502CE"/>
    <w:rsid w:val="00650B3E"/>
    <w:rsid w:val="00653D40"/>
    <w:rsid w:val="00654173"/>
    <w:rsid w:val="006549BE"/>
    <w:rsid w:val="00657DE2"/>
    <w:rsid w:val="006600A8"/>
    <w:rsid w:val="00660CA8"/>
    <w:rsid w:val="00660E0B"/>
    <w:rsid w:val="00661683"/>
    <w:rsid w:val="006622E3"/>
    <w:rsid w:val="006641E1"/>
    <w:rsid w:val="006645BF"/>
    <w:rsid w:val="00667FE2"/>
    <w:rsid w:val="00671798"/>
    <w:rsid w:val="00671C2E"/>
    <w:rsid w:val="006754B9"/>
    <w:rsid w:val="006772C0"/>
    <w:rsid w:val="00680C72"/>
    <w:rsid w:val="006813ED"/>
    <w:rsid w:val="00681F94"/>
    <w:rsid w:val="00682677"/>
    <w:rsid w:val="00683380"/>
    <w:rsid w:val="006849F7"/>
    <w:rsid w:val="00684CF6"/>
    <w:rsid w:val="00684FF6"/>
    <w:rsid w:val="0068585D"/>
    <w:rsid w:val="00685E8D"/>
    <w:rsid w:val="0068678A"/>
    <w:rsid w:val="0069053C"/>
    <w:rsid w:val="00690E13"/>
    <w:rsid w:val="00692295"/>
    <w:rsid w:val="0069239F"/>
    <w:rsid w:val="00693308"/>
    <w:rsid w:val="006940AD"/>
    <w:rsid w:val="0069520A"/>
    <w:rsid w:val="00696711"/>
    <w:rsid w:val="006968E6"/>
    <w:rsid w:val="006A0E9A"/>
    <w:rsid w:val="006A385C"/>
    <w:rsid w:val="006A3DBC"/>
    <w:rsid w:val="006A3F51"/>
    <w:rsid w:val="006A4316"/>
    <w:rsid w:val="006A4943"/>
    <w:rsid w:val="006A7D75"/>
    <w:rsid w:val="006B1F15"/>
    <w:rsid w:val="006B32CD"/>
    <w:rsid w:val="006B3676"/>
    <w:rsid w:val="006B4F77"/>
    <w:rsid w:val="006B556B"/>
    <w:rsid w:val="006B5A7E"/>
    <w:rsid w:val="006B62D2"/>
    <w:rsid w:val="006C0291"/>
    <w:rsid w:val="006C0828"/>
    <w:rsid w:val="006C0A96"/>
    <w:rsid w:val="006C2069"/>
    <w:rsid w:val="006C3BF0"/>
    <w:rsid w:val="006C3FE6"/>
    <w:rsid w:val="006C466F"/>
    <w:rsid w:val="006C52F7"/>
    <w:rsid w:val="006C7377"/>
    <w:rsid w:val="006D0B91"/>
    <w:rsid w:val="006D2324"/>
    <w:rsid w:val="006D3910"/>
    <w:rsid w:val="006D50D6"/>
    <w:rsid w:val="006D5BAD"/>
    <w:rsid w:val="006D5F97"/>
    <w:rsid w:val="006D6196"/>
    <w:rsid w:val="006D64A7"/>
    <w:rsid w:val="006D7362"/>
    <w:rsid w:val="006E0740"/>
    <w:rsid w:val="006E13AE"/>
    <w:rsid w:val="006E28A2"/>
    <w:rsid w:val="006E5B51"/>
    <w:rsid w:val="006E5FFB"/>
    <w:rsid w:val="006E7C2D"/>
    <w:rsid w:val="006F0804"/>
    <w:rsid w:val="006F098A"/>
    <w:rsid w:val="006F0C06"/>
    <w:rsid w:val="006F299C"/>
    <w:rsid w:val="006F46DC"/>
    <w:rsid w:val="006F490F"/>
    <w:rsid w:val="006F5CE9"/>
    <w:rsid w:val="006F6878"/>
    <w:rsid w:val="006F6F85"/>
    <w:rsid w:val="007003CC"/>
    <w:rsid w:val="00702C1F"/>
    <w:rsid w:val="007032C6"/>
    <w:rsid w:val="00704A4D"/>
    <w:rsid w:val="00706FCC"/>
    <w:rsid w:val="007110A9"/>
    <w:rsid w:val="007116AE"/>
    <w:rsid w:val="007145F1"/>
    <w:rsid w:val="0072081F"/>
    <w:rsid w:val="007217F8"/>
    <w:rsid w:val="00724885"/>
    <w:rsid w:val="00730BCA"/>
    <w:rsid w:val="00733ACF"/>
    <w:rsid w:val="007346DB"/>
    <w:rsid w:val="0073540C"/>
    <w:rsid w:val="00735596"/>
    <w:rsid w:val="00735D7F"/>
    <w:rsid w:val="00740B2E"/>
    <w:rsid w:val="007411D4"/>
    <w:rsid w:val="00741A50"/>
    <w:rsid w:val="007435B9"/>
    <w:rsid w:val="00743726"/>
    <w:rsid w:val="00744A5B"/>
    <w:rsid w:val="00745FE8"/>
    <w:rsid w:val="0075008F"/>
    <w:rsid w:val="00750591"/>
    <w:rsid w:val="0075111C"/>
    <w:rsid w:val="00753744"/>
    <w:rsid w:val="00753ABE"/>
    <w:rsid w:val="0075444C"/>
    <w:rsid w:val="00755A73"/>
    <w:rsid w:val="00756064"/>
    <w:rsid w:val="007569B8"/>
    <w:rsid w:val="00760038"/>
    <w:rsid w:val="007603EE"/>
    <w:rsid w:val="00760E17"/>
    <w:rsid w:val="0076283B"/>
    <w:rsid w:val="007632E6"/>
    <w:rsid w:val="0076417D"/>
    <w:rsid w:val="00764A65"/>
    <w:rsid w:val="0076508A"/>
    <w:rsid w:val="00765BC5"/>
    <w:rsid w:val="00765FFB"/>
    <w:rsid w:val="007667BD"/>
    <w:rsid w:val="00766F7A"/>
    <w:rsid w:val="0077082E"/>
    <w:rsid w:val="00770938"/>
    <w:rsid w:val="00770F75"/>
    <w:rsid w:val="007712BF"/>
    <w:rsid w:val="0077138F"/>
    <w:rsid w:val="00772062"/>
    <w:rsid w:val="007723BF"/>
    <w:rsid w:val="007734F9"/>
    <w:rsid w:val="00773C5A"/>
    <w:rsid w:val="007742BD"/>
    <w:rsid w:val="0078132F"/>
    <w:rsid w:val="00781B53"/>
    <w:rsid w:val="00781F72"/>
    <w:rsid w:val="007838E0"/>
    <w:rsid w:val="00784548"/>
    <w:rsid w:val="00787575"/>
    <w:rsid w:val="00787E24"/>
    <w:rsid w:val="007902CE"/>
    <w:rsid w:val="00791568"/>
    <w:rsid w:val="00791F7F"/>
    <w:rsid w:val="00792660"/>
    <w:rsid w:val="00792A76"/>
    <w:rsid w:val="00792F41"/>
    <w:rsid w:val="00793CFE"/>
    <w:rsid w:val="007957E7"/>
    <w:rsid w:val="00797375"/>
    <w:rsid w:val="007A1EDB"/>
    <w:rsid w:val="007A2649"/>
    <w:rsid w:val="007A4212"/>
    <w:rsid w:val="007A43B9"/>
    <w:rsid w:val="007A5C92"/>
    <w:rsid w:val="007A6776"/>
    <w:rsid w:val="007A761B"/>
    <w:rsid w:val="007A77DF"/>
    <w:rsid w:val="007A7E53"/>
    <w:rsid w:val="007B04BA"/>
    <w:rsid w:val="007B22E8"/>
    <w:rsid w:val="007B3FCD"/>
    <w:rsid w:val="007B5019"/>
    <w:rsid w:val="007B52CD"/>
    <w:rsid w:val="007B7B17"/>
    <w:rsid w:val="007C33F9"/>
    <w:rsid w:val="007C389F"/>
    <w:rsid w:val="007C59BE"/>
    <w:rsid w:val="007C69BD"/>
    <w:rsid w:val="007C79FC"/>
    <w:rsid w:val="007D04CE"/>
    <w:rsid w:val="007D1C75"/>
    <w:rsid w:val="007D3566"/>
    <w:rsid w:val="007D4124"/>
    <w:rsid w:val="007D431E"/>
    <w:rsid w:val="007D4AF7"/>
    <w:rsid w:val="007D5356"/>
    <w:rsid w:val="007D5C41"/>
    <w:rsid w:val="007D6207"/>
    <w:rsid w:val="007D7EEC"/>
    <w:rsid w:val="007E1C0F"/>
    <w:rsid w:val="007E3BEA"/>
    <w:rsid w:val="007E4D19"/>
    <w:rsid w:val="007E4F1D"/>
    <w:rsid w:val="007E581E"/>
    <w:rsid w:val="007E5ED3"/>
    <w:rsid w:val="007E69D2"/>
    <w:rsid w:val="007E7B9A"/>
    <w:rsid w:val="007F062B"/>
    <w:rsid w:val="007F255C"/>
    <w:rsid w:val="007F48F8"/>
    <w:rsid w:val="007F521C"/>
    <w:rsid w:val="007F5255"/>
    <w:rsid w:val="007F7312"/>
    <w:rsid w:val="007F78F3"/>
    <w:rsid w:val="007F7976"/>
    <w:rsid w:val="007F7DC3"/>
    <w:rsid w:val="00800097"/>
    <w:rsid w:val="0080204D"/>
    <w:rsid w:val="00802735"/>
    <w:rsid w:val="00803909"/>
    <w:rsid w:val="00804229"/>
    <w:rsid w:val="008042A5"/>
    <w:rsid w:val="0080626B"/>
    <w:rsid w:val="00806CB2"/>
    <w:rsid w:val="00806DC0"/>
    <w:rsid w:val="008073BC"/>
    <w:rsid w:val="0081061A"/>
    <w:rsid w:val="00811C30"/>
    <w:rsid w:val="0081457C"/>
    <w:rsid w:val="00814C1F"/>
    <w:rsid w:val="008174FC"/>
    <w:rsid w:val="008208FB"/>
    <w:rsid w:val="00821734"/>
    <w:rsid w:val="00822196"/>
    <w:rsid w:val="008227FE"/>
    <w:rsid w:val="0082305E"/>
    <w:rsid w:val="0082468F"/>
    <w:rsid w:val="00824B74"/>
    <w:rsid w:val="00825DD7"/>
    <w:rsid w:val="0082702F"/>
    <w:rsid w:val="008278FA"/>
    <w:rsid w:val="00827E8F"/>
    <w:rsid w:val="00830EA9"/>
    <w:rsid w:val="008311F8"/>
    <w:rsid w:val="0083566B"/>
    <w:rsid w:val="008367F3"/>
    <w:rsid w:val="008424BC"/>
    <w:rsid w:val="00842735"/>
    <w:rsid w:val="008431C5"/>
    <w:rsid w:val="00843256"/>
    <w:rsid w:val="008433A5"/>
    <w:rsid w:val="00843A06"/>
    <w:rsid w:val="00843CA8"/>
    <w:rsid w:val="00843FCC"/>
    <w:rsid w:val="00845DE9"/>
    <w:rsid w:val="00846256"/>
    <w:rsid w:val="008465F9"/>
    <w:rsid w:val="00850299"/>
    <w:rsid w:val="0085196A"/>
    <w:rsid w:val="008519A1"/>
    <w:rsid w:val="00851A3E"/>
    <w:rsid w:val="00851CCF"/>
    <w:rsid w:val="0085331D"/>
    <w:rsid w:val="0085436D"/>
    <w:rsid w:val="00854513"/>
    <w:rsid w:val="008556F2"/>
    <w:rsid w:val="00861441"/>
    <w:rsid w:val="00861D08"/>
    <w:rsid w:val="00862C72"/>
    <w:rsid w:val="00862E1D"/>
    <w:rsid w:val="008633FF"/>
    <w:rsid w:val="0086572F"/>
    <w:rsid w:val="00866B79"/>
    <w:rsid w:val="00867A48"/>
    <w:rsid w:val="00867F30"/>
    <w:rsid w:val="00871033"/>
    <w:rsid w:val="00873E83"/>
    <w:rsid w:val="00874062"/>
    <w:rsid w:val="008742F4"/>
    <w:rsid w:val="0087463E"/>
    <w:rsid w:val="00874B74"/>
    <w:rsid w:val="00874ED6"/>
    <w:rsid w:val="00877AA1"/>
    <w:rsid w:val="00880C0D"/>
    <w:rsid w:val="00881157"/>
    <w:rsid w:val="0088161D"/>
    <w:rsid w:val="00882465"/>
    <w:rsid w:val="00885474"/>
    <w:rsid w:val="00890886"/>
    <w:rsid w:val="008916A4"/>
    <w:rsid w:val="00891EE8"/>
    <w:rsid w:val="00892FBC"/>
    <w:rsid w:val="00897DB5"/>
    <w:rsid w:val="008A004A"/>
    <w:rsid w:val="008A17B5"/>
    <w:rsid w:val="008A20B1"/>
    <w:rsid w:val="008A3F1A"/>
    <w:rsid w:val="008A3FCF"/>
    <w:rsid w:val="008A41ED"/>
    <w:rsid w:val="008A5EAC"/>
    <w:rsid w:val="008A74AE"/>
    <w:rsid w:val="008A7C5C"/>
    <w:rsid w:val="008B02A9"/>
    <w:rsid w:val="008B2760"/>
    <w:rsid w:val="008B3DC8"/>
    <w:rsid w:val="008B4EC5"/>
    <w:rsid w:val="008B5210"/>
    <w:rsid w:val="008B7859"/>
    <w:rsid w:val="008B7AF5"/>
    <w:rsid w:val="008C05F1"/>
    <w:rsid w:val="008C077C"/>
    <w:rsid w:val="008C1183"/>
    <w:rsid w:val="008C218B"/>
    <w:rsid w:val="008C2D10"/>
    <w:rsid w:val="008C45A5"/>
    <w:rsid w:val="008C59EE"/>
    <w:rsid w:val="008C6917"/>
    <w:rsid w:val="008C6DD8"/>
    <w:rsid w:val="008C717C"/>
    <w:rsid w:val="008C764B"/>
    <w:rsid w:val="008D01FD"/>
    <w:rsid w:val="008D0383"/>
    <w:rsid w:val="008D09BC"/>
    <w:rsid w:val="008D112E"/>
    <w:rsid w:val="008D17C0"/>
    <w:rsid w:val="008D1AFC"/>
    <w:rsid w:val="008D1F53"/>
    <w:rsid w:val="008D28A6"/>
    <w:rsid w:val="008D2A54"/>
    <w:rsid w:val="008D66D4"/>
    <w:rsid w:val="008D752C"/>
    <w:rsid w:val="008D7794"/>
    <w:rsid w:val="008E0B8A"/>
    <w:rsid w:val="008E4F86"/>
    <w:rsid w:val="008E5B1C"/>
    <w:rsid w:val="008E5D54"/>
    <w:rsid w:val="008E61ED"/>
    <w:rsid w:val="008E6D8C"/>
    <w:rsid w:val="008E7681"/>
    <w:rsid w:val="008E7734"/>
    <w:rsid w:val="008E77CC"/>
    <w:rsid w:val="008E7D6B"/>
    <w:rsid w:val="008F0B3A"/>
    <w:rsid w:val="008F0B5B"/>
    <w:rsid w:val="008F0F5B"/>
    <w:rsid w:val="008F190D"/>
    <w:rsid w:val="008F3470"/>
    <w:rsid w:val="008F48B8"/>
    <w:rsid w:val="008F4F1E"/>
    <w:rsid w:val="008F75D3"/>
    <w:rsid w:val="008F7730"/>
    <w:rsid w:val="00900BFA"/>
    <w:rsid w:val="00900E71"/>
    <w:rsid w:val="009021F5"/>
    <w:rsid w:val="009023D0"/>
    <w:rsid w:val="0090447A"/>
    <w:rsid w:val="00905BFB"/>
    <w:rsid w:val="009064EA"/>
    <w:rsid w:val="009066E0"/>
    <w:rsid w:val="00907F05"/>
    <w:rsid w:val="009106C8"/>
    <w:rsid w:val="00910C56"/>
    <w:rsid w:val="00911C93"/>
    <w:rsid w:val="0091292B"/>
    <w:rsid w:val="00912B1E"/>
    <w:rsid w:val="00912C42"/>
    <w:rsid w:val="00913DDC"/>
    <w:rsid w:val="009141BA"/>
    <w:rsid w:val="0091531E"/>
    <w:rsid w:val="00915583"/>
    <w:rsid w:val="009175F3"/>
    <w:rsid w:val="0092078F"/>
    <w:rsid w:val="00921514"/>
    <w:rsid w:val="00922A4C"/>
    <w:rsid w:val="00923A8C"/>
    <w:rsid w:val="00923ACC"/>
    <w:rsid w:val="00924CCA"/>
    <w:rsid w:val="00926277"/>
    <w:rsid w:val="00926958"/>
    <w:rsid w:val="00926AFD"/>
    <w:rsid w:val="009317B0"/>
    <w:rsid w:val="00932346"/>
    <w:rsid w:val="00932452"/>
    <w:rsid w:val="0093247C"/>
    <w:rsid w:val="00932D6C"/>
    <w:rsid w:val="00933B50"/>
    <w:rsid w:val="00934359"/>
    <w:rsid w:val="009372EF"/>
    <w:rsid w:val="00941079"/>
    <w:rsid w:val="00943815"/>
    <w:rsid w:val="009448C5"/>
    <w:rsid w:val="0094512F"/>
    <w:rsid w:val="00945F68"/>
    <w:rsid w:val="009509D8"/>
    <w:rsid w:val="00951437"/>
    <w:rsid w:val="00951FEC"/>
    <w:rsid w:val="00953FE8"/>
    <w:rsid w:val="00954815"/>
    <w:rsid w:val="00956450"/>
    <w:rsid w:val="009572E2"/>
    <w:rsid w:val="00961026"/>
    <w:rsid w:val="00961123"/>
    <w:rsid w:val="009613D7"/>
    <w:rsid w:val="0096314B"/>
    <w:rsid w:val="00964697"/>
    <w:rsid w:val="00964906"/>
    <w:rsid w:val="00965F55"/>
    <w:rsid w:val="00966DA0"/>
    <w:rsid w:val="00970943"/>
    <w:rsid w:val="00970C86"/>
    <w:rsid w:val="00971A11"/>
    <w:rsid w:val="009726EF"/>
    <w:rsid w:val="009738CD"/>
    <w:rsid w:val="0097525F"/>
    <w:rsid w:val="0097705B"/>
    <w:rsid w:val="0098237E"/>
    <w:rsid w:val="0098285D"/>
    <w:rsid w:val="00983991"/>
    <w:rsid w:val="00983AEF"/>
    <w:rsid w:val="009850CF"/>
    <w:rsid w:val="00985750"/>
    <w:rsid w:val="00985B4D"/>
    <w:rsid w:val="00986DDB"/>
    <w:rsid w:val="00990E3F"/>
    <w:rsid w:val="00993750"/>
    <w:rsid w:val="00995562"/>
    <w:rsid w:val="00995864"/>
    <w:rsid w:val="00996944"/>
    <w:rsid w:val="009979AD"/>
    <w:rsid w:val="00997A9A"/>
    <w:rsid w:val="009A041A"/>
    <w:rsid w:val="009A0DA6"/>
    <w:rsid w:val="009A13FD"/>
    <w:rsid w:val="009A28B5"/>
    <w:rsid w:val="009A37CD"/>
    <w:rsid w:val="009B059A"/>
    <w:rsid w:val="009B0A14"/>
    <w:rsid w:val="009B0A8A"/>
    <w:rsid w:val="009B0E63"/>
    <w:rsid w:val="009B31CE"/>
    <w:rsid w:val="009C1684"/>
    <w:rsid w:val="009C2B62"/>
    <w:rsid w:val="009C3578"/>
    <w:rsid w:val="009C3DAF"/>
    <w:rsid w:val="009C3E01"/>
    <w:rsid w:val="009C426E"/>
    <w:rsid w:val="009D08E6"/>
    <w:rsid w:val="009D12CD"/>
    <w:rsid w:val="009D4394"/>
    <w:rsid w:val="009D737E"/>
    <w:rsid w:val="009D7801"/>
    <w:rsid w:val="009E1BA0"/>
    <w:rsid w:val="009E2289"/>
    <w:rsid w:val="009E22EF"/>
    <w:rsid w:val="009E2B2D"/>
    <w:rsid w:val="009E3739"/>
    <w:rsid w:val="009E38B3"/>
    <w:rsid w:val="009E405B"/>
    <w:rsid w:val="009E46E8"/>
    <w:rsid w:val="009E59B8"/>
    <w:rsid w:val="009E7CA6"/>
    <w:rsid w:val="009F0B88"/>
    <w:rsid w:val="009F0C3F"/>
    <w:rsid w:val="009F0C62"/>
    <w:rsid w:val="009F0DAB"/>
    <w:rsid w:val="009F2E12"/>
    <w:rsid w:val="009F2F55"/>
    <w:rsid w:val="009F44CA"/>
    <w:rsid w:val="009F75A6"/>
    <w:rsid w:val="00A04242"/>
    <w:rsid w:val="00A04C25"/>
    <w:rsid w:val="00A055F2"/>
    <w:rsid w:val="00A061A4"/>
    <w:rsid w:val="00A06EEA"/>
    <w:rsid w:val="00A07797"/>
    <w:rsid w:val="00A0798B"/>
    <w:rsid w:val="00A07BA2"/>
    <w:rsid w:val="00A11943"/>
    <w:rsid w:val="00A120C0"/>
    <w:rsid w:val="00A126CF"/>
    <w:rsid w:val="00A13177"/>
    <w:rsid w:val="00A150ED"/>
    <w:rsid w:val="00A163C2"/>
    <w:rsid w:val="00A203DA"/>
    <w:rsid w:val="00A22F34"/>
    <w:rsid w:val="00A2442D"/>
    <w:rsid w:val="00A2522F"/>
    <w:rsid w:val="00A26DB5"/>
    <w:rsid w:val="00A26F67"/>
    <w:rsid w:val="00A27147"/>
    <w:rsid w:val="00A27A35"/>
    <w:rsid w:val="00A30043"/>
    <w:rsid w:val="00A3180D"/>
    <w:rsid w:val="00A326AA"/>
    <w:rsid w:val="00A32EAE"/>
    <w:rsid w:val="00A331FA"/>
    <w:rsid w:val="00A33F0B"/>
    <w:rsid w:val="00A35E41"/>
    <w:rsid w:val="00A3630D"/>
    <w:rsid w:val="00A363DA"/>
    <w:rsid w:val="00A366AE"/>
    <w:rsid w:val="00A37384"/>
    <w:rsid w:val="00A4055F"/>
    <w:rsid w:val="00A425FC"/>
    <w:rsid w:val="00A447A9"/>
    <w:rsid w:val="00A44C94"/>
    <w:rsid w:val="00A46AE8"/>
    <w:rsid w:val="00A51226"/>
    <w:rsid w:val="00A520BB"/>
    <w:rsid w:val="00A53C90"/>
    <w:rsid w:val="00A544DF"/>
    <w:rsid w:val="00A54C8F"/>
    <w:rsid w:val="00A5594A"/>
    <w:rsid w:val="00A55D22"/>
    <w:rsid w:val="00A57890"/>
    <w:rsid w:val="00A57B4E"/>
    <w:rsid w:val="00A604ED"/>
    <w:rsid w:val="00A61283"/>
    <w:rsid w:val="00A6144B"/>
    <w:rsid w:val="00A6219D"/>
    <w:rsid w:val="00A6222B"/>
    <w:rsid w:val="00A63F3F"/>
    <w:rsid w:val="00A646DE"/>
    <w:rsid w:val="00A65887"/>
    <w:rsid w:val="00A72352"/>
    <w:rsid w:val="00A72AE0"/>
    <w:rsid w:val="00A73E58"/>
    <w:rsid w:val="00A74FE3"/>
    <w:rsid w:val="00A75016"/>
    <w:rsid w:val="00A81243"/>
    <w:rsid w:val="00A81AF1"/>
    <w:rsid w:val="00A845EC"/>
    <w:rsid w:val="00A852B4"/>
    <w:rsid w:val="00A90772"/>
    <w:rsid w:val="00A913D3"/>
    <w:rsid w:val="00A91BED"/>
    <w:rsid w:val="00A93E74"/>
    <w:rsid w:val="00A949A8"/>
    <w:rsid w:val="00A959B8"/>
    <w:rsid w:val="00A9628B"/>
    <w:rsid w:val="00A96390"/>
    <w:rsid w:val="00A9694D"/>
    <w:rsid w:val="00A97BB0"/>
    <w:rsid w:val="00AA03D7"/>
    <w:rsid w:val="00AA196D"/>
    <w:rsid w:val="00AA220C"/>
    <w:rsid w:val="00AA31FA"/>
    <w:rsid w:val="00AA341B"/>
    <w:rsid w:val="00AA3952"/>
    <w:rsid w:val="00AA4950"/>
    <w:rsid w:val="00AA4F8E"/>
    <w:rsid w:val="00AA5E7B"/>
    <w:rsid w:val="00AA7115"/>
    <w:rsid w:val="00AB0220"/>
    <w:rsid w:val="00AB1D5F"/>
    <w:rsid w:val="00AB262A"/>
    <w:rsid w:val="00AB2C25"/>
    <w:rsid w:val="00AB2F0F"/>
    <w:rsid w:val="00AB4B48"/>
    <w:rsid w:val="00AB4FFF"/>
    <w:rsid w:val="00AB55DE"/>
    <w:rsid w:val="00AB5FCE"/>
    <w:rsid w:val="00AB656C"/>
    <w:rsid w:val="00AB65D2"/>
    <w:rsid w:val="00AB66B3"/>
    <w:rsid w:val="00AB6CFB"/>
    <w:rsid w:val="00AC0482"/>
    <w:rsid w:val="00AC0CBA"/>
    <w:rsid w:val="00AC26AB"/>
    <w:rsid w:val="00AC28DE"/>
    <w:rsid w:val="00AC4A36"/>
    <w:rsid w:val="00AC5219"/>
    <w:rsid w:val="00AC61EA"/>
    <w:rsid w:val="00AC6A1B"/>
    <w:rsid w:val="00AC6CBD"/>
    <w:rsid w:val="00AD0085"/>
    <w:rsid w:val="00AD047E"/>
    <w:rsid w:val="00AD07D0"/>
    <w:rsid w:val="00AD3355"/>
    <w:rsid w:val="00AD376A"/>
    <w:rsid w:val="00AD54FB"/>
    <w:rsid w:val="00AD5F2B"/>
    <w:rsid w:val="00AD6003"/>
    <w:rsid w:val="00AD6C7F"/>
    <w:rsid w:val="00AD7BB0"/>
    <w:rsid w:val="00AE0361"/>
    <w:rsid w:val="00AE169A"/>
    <w:rsid w:val="00AE1C64"/>
    <w:rsid w:val="00AE2742"/>
    <w:rsid w:val="00AE2E10"/>
    <w:rsid w:val="00AE3547"/>
    <w:rsid w:val="00AE36E5"/>
    <w:rsid w:val="00AE3C65"/>
    <w:rsid w:val="00AE6F6D"/>
    <w:rsid w:val="00AF0BC0"/>
    <w:rsid w:val="00AF168C"/>
    <w:rsid w:val="00AF21E6"/>
    <w:rsid w:val="00AF2BB0"/>
    <w:rsid w:val="00AF5152"/>
    <w:rsid w:val="00AF5288"/>
    <w:rsid w:val="00AF5D31"/>
    <w:rsid w:val="00AF655B"/>
    <w:rsid w:val="00AF75E2"/>
    <w:rsid w:val="00AF77EB"/>
    <w:rsid w:val="00AF7A09"/>
    <w:rsid w:val="00AF7B04"/>
    <w:rsid w:val="00B008C0"/>
    <w:rsid w:val="00B0302C"/>
    <w:rsid w:val="00B06365"/>
    <w:rsid w:val="00B06DC2"/>
    <w:rsid w:val="00B1155E"/>
    <w:rsid w:val="00B116CA"/>
    <w:rsid w:val="00B122D1"/>
    <w:rsid w:val="00B1289A"/>
    <w:rsid w:val="00B12987"/>
    <w:rsid w:val="00B13340"/>
    <w:rsid w:val="00B13763"/>
    <w:rsid w:val="00B166EB"/>
    <w:rsid w:val="00B238B0"/>
    <w:rsid w:val="00B240CE"/>
    <w:rsid w:val="00B25132"/>
    <w:rsid w:val="00B2520D"/>
    <w:rsid w:val="00B25BB6"/>
    <w:rsid w:val="00B262F8"/>
    <w:rsid w:val="00B27A67"/>
    <w:rsid w:val="00B316A1"/>
    <w:rsid w:val="00B319BF"/>
    <w:rsid w:val="00B31D68"/>
    <w:rsid w:val="00B31E1A"/>
    <w:rsid w:val="00B3459B"/>
    <w:rsid w:val="00B35BFC"/>
    <w:rsid w:val="00B366A1"/>
    <w:rsid w:val="00B37052"/>
    <w:rsid w:val="00B40CCC"/>
    <w:rsid w:val="00B42707"/>
    <w:rsid w:val="00B42FC5"/>
    <w:rsid w:val="00B432A0"/>
    <w:rsid w:val="00B46D5E"/>
    <w:rsid w:val="00B4720A"/>
    <w:rsid w:val="00B50716"/>
    <w:rsid w:val="00B50FC5"/>
    <w:rsid w:val="00B52A32"/>
    <w:rsid w:val="00B55F78"/>
    <w:rsid w:val="00B561E8"/>
    <w:rsid w:val="00B57549"/>
    <w:rsid w:val="00B60A7D"/>
    <w:rsid w:val="00B60B88"/>
    <w:rsid w:val="00B61FAB"/>
    <w:rsid w:val="00B63BFC"/>
    <w:rsid w:val="00B64C19"/>
    <w:rsid w:val="00B65A2C"/>
    <w:rsid w:val="00B67970"/>
    <w:rsid w:val="00B67996"/>
    <w:rsid w:val="00B720D3"/>
    <w:rsid w:val="00B7286F"/>
    <w:rsid w:val="00B72C7B"/>
    <w:rsid w:val="00B7431E"/>
    <w:rsid w:val="00B74806"/>
    <w:rsid w:val="00B74E47"/>
    <w:rsid w:val="00B768E2"/>
    <w:rsid w:val="00B769AD"/>
    <w:rsid w:val="00B81025"/>
    <w:rsid w:val="00B81D11"/>
    <w:rsid w:val="00B82F46"/>
    <w:rsid w:val="00B84A95"/>
    <w:rsid w:val="00B905EC"/>
    <w:rsid w:val="00B90C10"/>
    <w:rsid w:val="00B90FF8"/>
    <w:rsid w:val="00B919C4"/>
    <w:rsid w:val="00B9252C"/>
    <w:rsid w:val="00B92752"/>
    <w:rsid w:val="00B92A35"/>
    <w:rsid w:val="00B93305"/>
    <w:rsid w:val="00B9498B"/>
    <w:rsid w:val="00B951B1"/>
    <w:rsid w:val="00B96277"/>
    <w:rsid w:val="00B979BD"/>
    <w:rsid w:val="00B97A23"/>
    <w:rsid w:val="00BA02EE"/>
    <w:rsid w:val="00BA4A84"/>
    <w:rsid w:val="00BA4C9A"/>
    <w:rsid w:val="00BA53B5"/>
    <w:rsid w:val="00BA68DB"/>
    <w:rsid w:val="00BA75CF"/>
    <w:rsid w:val="00BA7ABE"/>
    <w:rsid w:val="00BB0A71"/>
    <w:rsid w:val="00BB16B4"/>
    <w:rsid w:val="00BB201E"/>
    <w:rsid w:val="00BB3E2D"/>
    <w:rsid w:val="00BB3E77"/>
    <w:rsid w:val="00BB5C1E"/>
    <w:rsid w:val="00BB6DF6"/>
    <w:rsid w:val="00BB7A3F"/>
    <w:rsid w:val="00BB7AA8"/>
    <w:rsid w:val="00BC0359"/>
    <w:rsid w:val="00BC0CE2"/>
    <w:rsid w:val="00BC1EBF"/>
    <w:rsid w:val="00BC242D"/>
    <w:rsid w:val="00BC2E68"/>
    <w:rsid w:val="00BC44B6"/>
    <w:rsid w:val="00BC5C8E"/>
    <w:rsid w:val="00BC79C0"/>
    <w:rsid w:val="00BD0283"/>
    <w:rsid w:val="00BD1D37"/>
    <w:rsid w:val="00BD212B"/>
    <w:rsid w:val="00BD42DB"/>
    <w:rsid w:val="00BD49C5"/>
    <w:rsid w:val="00BD6245"/>
    <w:rsid w:val="00BE03F7"/>
    <w:rsid w:val="00BE1049"/>
    <w:rsid w:val="00BE1341"/>
    <w:rsid w:val="00BE17A9"/>
    <w:rsid w:val="00BE231E"/>
    <w:rsid w:val="00BE3468"/>
    <w:rsid w:val="00BE37C2"/>
    <w:rsid w:val="00BE407A"/>
    <w:rsid w:val="00BE595A"/>
    <w:rsid w:val="00BE5FEF"/>
    <w:rsid w:val="00BE6689"/>
    <w:rsid w:val="00BF1413"/>
    <w:rsid w:val="00BF19C4"/>
    <w:rsid w:val="00BF3BAD"/>
    <w:rsid w:val="00BF3CBD"/>
    <w:rsid w:val="00BF411A"/>
    <w:rsid w:val="00BF423A"/>
    <w:rsid w:val="00BF4C2E"/>
    <w:rsid w:val="00C00B5F"/>
    <w:rsid w:val="00C00D58"/>
    <w:rsid w:val="00C020DA"/>
    <w:rsid w:val="00C02A15"/>
    <w:rsid w:val="00C02C4F"/>
    <w:rsid w:val="00C0327F"/>
    <w:rsid w:val="00C0366D"/>
    <w:rsid w:val="00C0387E"/>
    <w:rsid w:val="00C03D2B"/>
    <w:rsid w:val="00C04DD3"/>
    <w:rsid w:val="00C101B2"/>
    <w:rsid w:val="00C11163"/>
    <w:rsid w:val="00C1570A"/>
    <w:rsid w:val="00C1747F"/>
    <w:rsid w:val="00C178B9"/>
    <w:rsid w:val="00C20E79"/>
    <w:rsid w:val="00C226E8"/>
    <w:rsid w:val="00C233B8"/>
    <w:rsid w:val="00C23F89"/>
    <w:rsid w:val="00C2569F"/>
    <w:rsid w:val="00C25BEE"/>
    <w:rsid w:val="00C26F1C"/>
    <w:rsid w:val="00C32462"/>
    <w:rsid w:val="00C3280C"/>
    <w:rsid w:val="00C351C5"/>
    <w:rsid w:val="00C356C1"/>
    <w:rsid w:val="00C35E26"/>
    <w:rsid w:val="00C36C28"/>
    <w:rsid w:val="00C3701E"/>
    <w:rsid w:val="00C40B37"/>
    <w:rsid w:val="00C41F19"/>
    <w:rsid w:val="00C4233A"/>
    <w:rsid w:val="00C438E4"/>
    <w:rsid w:val="00C44DC2"/>
    <w:rsid w:val="00C50014"/>
    <w:rsid w:val="00C50E68"/>
    <w:rsid w:val="00C52C2C"/>
    <w:rsid w:val="00C537A3"/>
    <w:rsid w:val="00C53D11"/>
    <w:rsid w:val="00C5443A"/>
    <w:rsid w:val="00C56788"/>
    <w:rsid w:val="00C569A3"/>
    <w:rsid w:val="00C60FF1"/>
    <w:rsid w:val="00C613B7"/>
    <w:rsid w:val="00C61512"/>
    <w:rsid w:val="00C61DC5"/>
    <w:rsid w:val="00C61ED0"/>
    <w:rsid w:val="00C6353E"/>
    <w:rsid w:val="00C644A6"/>
    <w:rsid w:val="00C64CE8"/>
    <w:rsid w:val="00C65E9D"/>
    <w:rsid w:val="00C67D1A"/>
    <w:rsid w:val="00C704B7"/>
    <w:rsid w:val="00C71D94"/>
    <w:rsid w:val="00C73155"/>
    <w:rsid w:val="00C7447E"/>
    <w:rsid w:val="00C74C5F"/>
    <w:rsid w:val="00C7580E"/>
    <w:rsid w:val="00C75B3B"/>
    <w:rsid w:val="00C76852"/>
    <w:rsid w:val="00C77067"/>
    <w:rsid w:val="00C7767B"/>
    <w:rsid w:val="00C77D9C"/>
    <w:rsid w:val="00C81EC7"/>
    <w:rsid w:val="00C82BA4"/>
    <w:rsid w:val="00C84145"/>
    <w:rsid w:val="00C847AF"/>
    <w:rsid w:val="00C860DD"/>
    <w:rsid w:val="00C8752E"/>
    <w:rsid w:val="00C901B4"/>
    <w:rsid w:val="00C91900"/>
    <w:rsid w:val="00C92F49"/>
    <w:rsid w:val="00C93BDA"/>
    <w:rsid w:val="00C944BE"/>
    <w:rsid w:val="00C945B2"/>
    <w:rsid w:val="00C953F9"/>
    <w:rsid w:val="00C959C7"/>
    <w:rsid w:val="00C9758B"/>
    <w:rsid w:val="00CA2595"/>
    <w:rsid w:val="00CA3052"/>
    <w:rsid w:val="00CA3130"/>
    <w:rsid w:val="00CA3806"/>
    <w:rsid w:val="00CA69F1"/>
    <w:rsid w:val="00CB0B3E"/>
    <w:rsid w:val="00CB14F9"/>
    <w:rsid w:val="00CB1680"/>
    <w:rsid w:val="00CB3318"/>
    <w:rsid w:val="00CB6C6D"/>
    <w:rsid w:val="00CC05D0"/>
    <w:rsid w:val="00CC2078"/>
    <w:rsid w:val="00CC22EF"/>
    <w:rsid w:val="00CC5006"/>
    <w:rsid w:val="00CC5CB2"/>
    <w:rsid w:val="00CD10B1"/>
    <w:rsid w:val="00CD1359"/>
    <w:rsid w:val="00CD13CF"/>
    <w:rsid w:val="00CD38F0"/>
    <w:rsid w:val="00CD3EE5"/>
    <w:rsid w:val="00CD4D5D"/>
    <w:rsid w:val="00CD5018"/>
    <w:rsid w:val="00CD6BBE"/>
    <w:rsid w:val="00CD7168"/>
    <w:rsid w:val="00CD7355"/>
    <w:rsid w:val="00CE0116"/>
    <w:rsid w:val="00CE0AE1"/>
    <w:rsid w:val="00CE0E02"/>
    <w:rsid w:val="00CE1265"/>
    <w:rsid w:val="00CE267D"/>
    <w:rsid w:val="00CE285C"/>
    <w:rsid w:val="00CE2942"/>
    <w:rsid w:val="00CE2B78"/>
    <w:rsid w:val="00CE43E0"/>
    <w:rsid w:val="00CE44DA"/>
    <w:rsid w:val="00CE4E8F"/>
    <w:rsid w:val="00CE5D7B"/>
    <w:rsid w:val="00CE7792"/>
    <w:rsid w:val="00CF09E4"/>
    <w:rsid w:val="00CF0F7A"/>
    <w:rsid w:val="00CF199D"/>
    <w:rsid w:val="00CF1AA8"/>
    <w:rsid w:val="00CF1E1D"/>
    <w:rsid w:val="00CF53F5"/>
    <w:rsid w:val="00CF5885"/>
    <w:rsid w:val="00CF7A5C"/>
    <w:rsid w:val="00CF7B6A"/>
    <w:rsid w:val="00CF7DAD"/>
    <w:rsid w:val="00D01126"/>
    <w:rsid w:val="00D012D3"/>
    <w:rsid w:val="00D02587"/>
    <w:rsid w:val="00D02BAF"/>
    <w:rsid w:val="00D03382"/>
    <w:rsid w:val="00D038AC"/>
    <w:rsid w:val="00D056A2"/>
    <w:rsid w:val="00D10BD3"/>
    <w:rsid w:val="00D12A9F"/>
    <w:rsid w:val="00D13A4B"/>
    <w:rsid w:val="00D15017"/>
    <w:rsid w:val="00D15A47"/>
    <w:rsid w:val="00D16593"/>
    <w:rsid w:val="00D16B91"/>
    <w:rsid w:val="00D17764"/>
    <w:rsid w:val="00D178E0"/>
    <w:rsid w:val="00D20C5C"/>
    <w:rsid w:val="00D21E06"/>
    <w:rsid w:val="00D23214"/>
    <w:rsid w:val="00D255CC"/>
    <w:rsid w:val="00D25E4D"/>
    <w:rsid w:val="00D26A0C"/>
    <w:rsid w:val="00D2700C"/>
    <w:rsid w:val="00D3029D"/>
    <w:rsid w:val="00D32B32"/>
    <w:rsid w:val="00D336B8"/>
    <w:rsid w:val="00D353B7"/>
    <w:rsid w:val="00D35708"/>
    <w:rsid w:val="00D3647B"/>
    <w:rsid w:val="00D37365"/>
    <w:rsid w:val="00D3778B"/>
    <w:rsid w:val="00D37F0C"/>
    <w:rsid w:val="00D4133C"/>
    <w:rsid w:val="00D41935"/>
    <w:rsid w:val="00D42A06"/>
    <w:rsid w:val="00D42F8A"/>
    <w:rsid w:val="00D440C9"/>
    <w:rsid w:val="00D44A45"/>
    <w:rsid w:val="00D47B67"/>
    <w:rsid w:val="00D47FEF"/>
    <w:rsid w:val="00D5114F"/>
    <w:rsid w:val="00D517CB"/>
    <w:rsid w:val="00D53F84"/>
    <w:rsid w:val="00D551DF"/>
    <w:rsid w:val="00D56944"/>
    <w:rsid w:val="00D56954"/>
    <w:rsid w:val="00D62E47"/>
    <w:rsid w:val="00D63D85"/>
    <w:rsid w:val="00D67B47"/>
    <w:rsid w:val="00D70A58"/>
    <w:rsid w:val="00D7211C"/>
    <w:rsid w:val="00D74BF3"/>
    <w:rsid w:val="00D74C4C"/>
    <w:rsid w:val="00D750C4"/>
    <w:rsid w:val="00D75C1C"/>
    <w:rsid w:val="00D77094"/>
    <w:rsid w:val="00D80252"/>
    <w:rsid w:val="00D8251C"/>
    <w:rsid w:val="00D82A24"/>
    <w:rsid w:val="00D82DB4"/>
    <w:rsid w:val="00D83B95"/>
    <w:rsid w:val="00D846CA"/>
    <w:rsid w:val="00D84A3C"/>
    <w:rsid w:val="00D92179"/>
    <w:rsid w:val="00D9222E"/>
    <w:rsid w:val="00D94567"/>
    <w:rsid w:val="00D9647E"/>
    <w:rsid w:val="00D9778E"/>
    <w:rsid w:val="00DA2CFC"/>
    <w:rsid w:val="00DA5C32"/>
    <w:rsid w:val="00DA6D7B"/>
    <w:rsid w:val="00DA770E"/>
    <w:rsid w:val="00DA797A"/>
    <w:rsid w:val="00DB0BF5"/>
    <w:rsid w:val="00DB0CEC"/>
    <w:rsid w:val="00DB1185"/>
    <w:rsid w:val="00DB3C6E"/>
    <w:rsid w:val="00DB3D51"/>
    <w:rsid w:val="00DB4281"/>
    <w:rsid w:val="00DB7133"/>
    <w:rsid w:val="00DC0208"/>
    <w:rsid w:val="00DC29A0"/>
    <w:rsid w:val="00DC2BAA"/>
    <w:rsid w:val="00DC40AE"/>
    <w:rsid w:val="00DC465C"/>
    <w:rsid w:val="00DC4F6F"/>
    <w:rsid w:val="00DC6E1E"/>
    <w:rsid w:val="00DD28B8"/>
    <w:rsid w:val="00DD29AF"/>
    <w:rsid w:val="00DD4374"/>
    <w:rsid w:val="00DD6502"/>
    <w:rsid w:val="00DD6E07"/>
    <w:rsid w:val="00DD714C"/>
    <w:rsid w:val="00DE0CDD"/>
    <w:rsid w:val="00DE1254"/>
    <w:rsid w:val="00DE29D7"/>
    <w:rsid w:val="00DE3681"/>
    <w:rsid w:val="00DE47F2"/>
    <w:rsid w:val="00DE4B4B"/>
    <w:rsid w:val="00DE4B85"/>
    <w:rsid w:val="00DE4F6C"/>
    <w:rsid w:val="00DE75A7"/>
    <w:rsid w:val="00DF55DF"/>
    <w:rsid w:val="00DF5A32"/>
    <w:rsid w:val="00DF61D8"/>
    <w:rsid w:val="00DF6E28"/>
    <w:rsid w:val="00E0083E"/>
    <w:rsid w:val="00E024D2"/>
    <w:rsid w:val="00E02B8A"/>
    <w:rsid w:val="00E030C9"/>
    <w:rsid w:val="00E05439"/>
    <w:rsid w:val="00E05F1D"/>
    <w:rsid w:val="00E10534"/>
    <w:rsid w:val="00E10E97"/>
    <w:rsid w:val="00E12851"/>
    <w:rsid w:val="00E1338F"/>
    <w:rsid w:val="00E13CFC"/>
    <w:rsid w:val="00E14310"/>
    <w:rsid w:val="00E158BE"/>
    <w:rsid w:val="00E17771"/>
    <w:rsid w:val="00E20D35"/>
    <w:rsid w:val="00E22084"/>
    <w:rsid w:val="00E22767"/>
    <w:rsid w:val="00E245A6"/>
    <w:rsid w:val="00E24B39"/>
    <w:rsid w:val="00E24EE7"/>
    <w:rsid w:val="00E25C2D"/>
    <w:rsid w:val="00E2647B"/>
    <w:rsid w:val="00E2791D"/>
    <w:rsid w:val="00E32A1D"/>
    <w:rsid w:val="00E33788"/>
    <w:rsid w:val="00E3410E"/>
    <w:rsid w:val="00E36021"/>
    <w:rsid w:val="00E4045B"/>
    <w:rsid w:val="00E41D60"/>
    <w:rsid w:val="00E420B0"/>
    <w:rsid w:val="00E42A3E"/>
    <w:rsid w:val="00E43C3E"/>
    <w:rsid w:val="00E443BB"/>
    <w:rsid w:val="00E450B0"/>
    <w:rsid w:val="00E45D14"/>
    <w:rsid w:val="00E505DE"/>
    <w:rsid w:val="00E50B0C"/>
    <w:rsid w:val="00E53E5F"/>
    <w:rsid w:val="00E54B57"/>
    <w:rsid w:val="00E56EE5"/>
    <w:rsid w:val="00E57A45"/>
    <w:rsid w:val="00E613F6"/>
    <w:rsid w:val="00E63261"/>
    <w:rsid w:val="00E63306"/>
    <w:rsid w:val="00E63383"/>
    <w:rsid w:val="00E63412"/>
    <w:rsid w:val="00E6347A"/>
    <w:rsid w:val="00E63E21"/>
    <w:rsid w:val="00E66849"/>
    <w:rsid w:val="00E7010B"/>
    <w:rsid w:val="00E70BA3"/>
    <w:rsid w:val="00E7139A"/>
    <w:rsid w:val="00E7148B"/>
    <w:rsid w:val="00E71513"/>
    <w:rsid w:val="00E8003D"/>
    <w:rsid w:val="00E82087"/>
    <w:rsid w:val="00E83049"/>
    <w:rsid w:val="00E83567"/>
    <w:rsid w:val="00E84FBC"/>
    <w:rsid w:val="00E8578F"/>
    <w:rsid w:val="00E85A6E"/>
    <w:rsid w:val="00E876BF"/>
    <w:rsid w:val="00E90397"/>
    <w:rsid w:val="00E90B97"/>
    <w:rsid w:val="00E90BDB"/>
    <w:rsid w:val="00E9160D"/>
    <w:rsid w:val="00E91B23"/>
    <w:rsid w:val="00E92407"/>
    <w:rsid w:val="00E9262A"/>
    <w:rsid w:val="00E927E9"/>
    <w:rsid w:val="00E92BDB"/>
    <w:rsid w:val="00EA0A6E"/>
    <w:rsid w:val="00EA3CBF"/>
    <w:rsid w:val="00EA49EF"/>
    <w:rsid w:val="00EA6A93"/>
    <w:rsid w:val="00EB1275"/>
    <w:rsid w:val="00EB35A5"/>
    <w:rsid w:val="00EB3DA4"/>
    <w:rsid w:val="00EB512C"/>
    <w:rsid w:val="00EB5CE0"/>
    <w:rsid w:val="00EB6DB1"/>
    <w:rsid w:val="00EC1B98"/>
    <w:rsid w:val="00EC212C"/>
    <w:rsid w:val="00EC2EB2"/>
    <w:rsid w:val="00EC3A14"/>
    <w:rsid w:val="00EC542B"/>
    <w:rsid w:val="00EC6507"/>
    <w:rsid w:val="00ED08E0"/>
    <w:rsid w:val="00ED0A35"/>
    <w:rsid w:val="00ED0E52"/>
    <w:rsid w:val="00ED208B"/>
    <w:rsid w:val="00ED2129"/>
    <w:rsid w:val="00ED3242"/>
    <w:rsid w:val="00ED33BA"/>
    <w:rsid w:val="00ED3ECF"/>
    <w:rsid w:val="00ED627A"/>
    <w:rsid w:val="00ED6352"/>
    <w:rsid w:val="00ED6D4F"/>
    <w:rsid w:val="00EE03B4"/>
    <w:rsid w:val="00EE077F"/>
    <w:rsid w:val="00EE0917"/>
    <w:rsid w:val="00EE1061"/>
    <w:rsid w:val="00EE1368"/>
    <w:rsid w:val="00EE2602"/>
    <w:rsid w:val="00EE2DA4"/>
    <w:rsid w:val="00EE3490"/>
    <w:rsid w:val="00EE3CAE"/>
    <w:rsid w:val="00EE4132"/>
    <w:rsid w:val="00EE4206"/>
    <w:rsid w:val="00EE5864"/>
    <w:rsid w:val="00EE6DC8"/>
    <w:rsid w:val="00EE7705"/>
    <w:rsid w:val="00EE7827"/>
    <w:rsid w:val="00EF0368"/>
    <w:rsid w:val="00EF1231"/>
    <w:rsid w:val="00EF14C7"/>
    <w:rsid w:val="00EF5B11"/>
    <w:rsid w:val="00EF644A"/>
    <w:rsid w:val="00EF7DA7"/>
    <w:rsid w:val="00F00060"/>
    <w:rsid w:val="00F000D3"/>
    <w:rsid w:val="00F0016A"/>
    <w:rsid w:val="00F015C6"/>
    <w:rsid w:val="00F0311A"/>
    <w:rsid w:val="00F072DE"/>
    <w:rsid w:val="00F07323"/>
    <w:rsid w:val="00F0772F"/>
    <w:rsid w:val="00F10B2A"/>
    <w:rsid w:val="00F10E1E"/>
    <w:rsid w:val="00F1110B"/>
    <w:rsid w:val="00F1374E"/>
    <w:rsid w:val="00F1392B"/>
    <w:rsid w:val="00F15160"/>
    <w:rsid w:val="00F16205"/>
    <w:rsid w:val="00F1633B"/>
    <w:rsid w:val="00F172D8"/>
    <w:rsid w:val="00F17D6E"/>
    <w:rsid w:val="00F2043B"/>
    <w:rsid w:val="00F21DC2"/>
    <w:rsid w:val="00F242C1"/>
    <w:rsid w:val="00F24825"/>
    <w:rsid w:val="00F24DC4"/>
    <w:rsid w:val="00F26236"/>
    <w:rsid w:val="00F26367"/>
    <w:rsid w:val="00F267CA"/>
    <w:rsid w:val="00F27193"/>
    <w:rsid w:val="00F2778E"/>
    <w:rsid w:val="00F30696"/>
    <w:rsid w:val="00F3442E"/>
    <w:rsid w:val="00F34D03"/>
    <w:rsid w:val="00F34D5F"/>
    <w:rsid w:val="00F3576A"/>
    <w:rsid w:val="00F35B2B"/>
    <w:rsid w:val="00F3601E"/>
    <w:rsid w:val="00F37B26"/>
    <w:rsid w:val="00F40B47"/>
    <w:rsid w:val="00F41A28"/>
    <w:rsid w:val="00F439AD"/>
    <w:rsid w:val="00F44D62"/>
    <w:rsid w:val="00F45A2A"/>
    <w:rsid w:val="00F4664B"/>
    <w:rsid w:val="00F468FE"/>
    <w:rsid w:val="00F476A1"/>
    <w:rsid w:val="00F533A3"/>
    <w:rsid w:val="00F53D41"/>
    <w:rsid w:val="00F54DC6"/>
    <w:rsid w:val="00F576F1"/>
    <w:rsid w:val="00F57F09"/>
    <w:rsid w:val="00F6047B"/>
    <w:rsid w:val="00F62DC9"/>
    <w:rsid w:val="00F6463B"/>
    <w:rsid w:val="00F656D5"/>
    <w:rsid w:val="00F65C1B"/>
    <w:rsid w:val="00F718BA"/>
    <w:rsid w:val="00F71D56"/>
    <w:rsid w:val="00F722CD"/>
    <w:rsid w:val="00F74FEB"/>
    <w:rsid w:val="00F7526B"/>
    <w:rsid w:val="00F80355"/>
    <w:rsid w:val="00F809A6"/>
    <w:rsid w:val="00F8179A"/>
    <w:rsid w:val="00F8366A"/>
    <w:rsid w:val="00F8387B"/>
    <w:rsid w:val="00F83AC3"/>
    <w:rsid w:val="00F85C06"/>
    <w:rsid w:val="00F87597"/>
    <w:rsid w:val="00F911CC"/>
    <w:rsid w:val="00F92F1F"/>
    <w:rsid w:val="00F937C4"/>
    <w:rsid w:val="00F93BA4"/>
    <w:rsid w:val="00F946AC"/>
    <w:rsid w:val="00F950A3"/>
    <w:rsid w:val="00F966AF"/>
    <w:rsid w:val="00FA0C0A"/>
    <w:rsid w:val="00FA0E10"/>
    <w:rsid w:val="00FA11A4"/>
    <w:rsid w:val="00FA27DB"/>
    <w:rsid w:val="00FA27DF"/>
    <w:rsid w:val="00FA283F"/>
    <w:rsid w:val="00FA43B4"/>
    <w:rsid w:val="00FA44A9"/>
    <w:rsid w:val="00FA5C55"/>
    <w:rsid w:val="00FA79DC"/>
    <w:rsid w:val="00FB04DB"/>
    <w:rsid w:val="00FB1A3D"/>
    <w:rsid w:val="00FB1E81"/>
    <w:rsid w:val="00FB2431"/>
    <w:rsid w:val="00FB29B7"/>
    <w:rsid w:val="00FB6844"/>
    <w:rsid w:val="00FC0100"/>
    <w:rsid w:val="00FC0183"/>
    <w:rsid w:val="00FC0D7C"/>
    <w:rsid w:val="00FC0E45"/>
    <w:rsid w:val="00FC1558"/>
    <w:rsid w:val="00FC1A5A"/>
    <w:rsid w:val="00FC21ED"/>
    <w:rsid w:val="00FC38BB"/>
    <w:rsid w:val="00FC3A1F"/>
    <w:rsid w:val="00FC5948"/>
    <w:rsid w:val="00FC7CF2"/>
    <w:rsid w:val="00FD0FBD"/>
    <w:rsid w:val="00FD32CF"/>
    <w:rsid w:val="00FD330F"/>
    <w:rsid w:val="00FD41B3"/>
    <w:rsid w:val="00FD4289"/>
    <w:rsid w:val="00FD4669"/>
    <w:rsid w:val="00FD5489"/>
    <w:rsid w:val="00FD67FF"/>
    <w:rsid w:val="00FD6853"/>
    <w:rsid w:val="00FD6F08"/>
    <w:rsid w:val="00FD7C18"/>
    <w:rsid w:val="00FE008E"/>
    <w:rsid w:val="00FE038C"/>
    <w:rsid w:val="00FE0D7E"/>
    <w:rsid w:val="00FE18AC"/>
    <w:rsid w:val="00FE2B85"/>
    <w:rsid w:val="00FE2F95"/>
    <w:rsid w:val="00FE4C45"/>
    <w:rsid w:val="00FE591B"/>
    <w:rsid w:val="00FE7AF7"/>
    <w:rsid w:val="00FE7B9A"/>
    <w:rsid w:val="00FE7D76"/>
    <w:rsid w:val="00FF4475"/>
    <w:rsid w:val="00FF4D9A"/>
    <w:rsid w:val="00FF59E4"/>
    <w:rsid w:val="00FF6476"/>
    <w:rsid w:val="00FF785D"/>
    <w:rsid w:val="01678998"/>
    <w:rsid w:val="07D46D3C"/>
    <w:rsid w:val="0B795BD6"/>
    <w:rsid w:val="0E81E814"/>
    <w:rsid w:val="0F122EE6"/>
    <w:rsid w:val="1497198C"/>
    <w:rsid w:val="161A8BD9"/>
    <w:rsid w:val="1E59A0B4"/>
    <w:rsid w:val="20F86EE8"/>
    <w:rsid w:val="244D9F7B"/>
    <w:rsid w:val="2B18F305"/>
    <w:rsid w:val="333CC01B"/>
    <w:rsid w:val="3C2AE832"/>
    <w:rsid w:val="3E0B8D9D"/>
    <w:rsid w:val="417C5D77"/>
    <w:rsid w:val="47178E0C"/>
    <w:rsid w:val="47A3F009"/>
    <w:rsid w:val="47A73D66"/>
    <w:rsid w:val="49FD70EF"/>
    <w:rsid w:val="4A8B45BD"/>
    <w:rsid w:val="4B425A49"/>
    <w:rsid w:val="4BA2C211"/>
    <w:rsid w:val="537EA437"/>
    <w:rsid w:val="565B228F"/>
    <w:rsid w:val="5BA17016"/>
    <w:rsid w:val="5BAE2639"/>
    <w:rsid w:val="5C09123F"/>
    <w:rsid w:val="65038E3E"/>
    <w:rsid w:val="656DCA18"/>
    <w:rsid w:val="66D52245"/>
    <w:rsid w:val="6A507BB6"/>
    <w:rsid w:val="7243A85A"/>
    <w:rsid w:val="76202F5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3F89B7"/>
  <w15:docId w15:val="{0A4A5016-9513-4E35-939E-E08D7F4B5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aliases w:val="Footnote Text Char1 Char,Footnote Text Char Char Char,Footnote Text Char1 Char Char Char,Footnote Text Char2 Char Char Char Char,Footnote Text Char Char1 Char Char Char Char,Footnote Text Char Char,Footnote Text Char2,F,fn,FOOTNOTES,ft,Fo"/>
    <w:basedOn w:val="HouseStyleBase"/>
    <w:link w:val="FootnoteTextChar"/>
    <w:qFormat/>
    <w:rsid w:val="00AA7115"/>
    <w:pPr>
      <w:spacing w:after="60"/>
      <w:ind w:left="720" w:hanging="720"/>
    </w:pPr>
    <w:rPr>
      <w:sz w:val="16"/>
    </w:rPr>
  </w:style>
  <w:style w:type="character" w:styleId="FootnoteReference">
    <w:name w:val="footnote reference"/>
    <w:aliases w:val="IC Footnote Reference,SUPERS,Footnote symbol,Footnote reference number,Times 10 Point,Exposant 3 Point,Ref,de nota al pie,note TESI,EN Footnote Reference,stylish,-E Fußnotenzeichen,number,BVI fnr,Footnote Reference Superscript,4_G"/>
    <w:basedOn w:val="DefaultParagraphFont"/>
    <w:qFormat/>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aliases w:val="Hyperlink RW"/>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aliases w:val="F5 List Paragraph,Dot pt,No Spacing1,List Paragraph Char Char Char,Indicator Text,Colorful List - Accent 11,Numbered Para 1,Bullet 1,Bullet Points,MAIN CONTENT,List Paragraph1,List Paragraph2,Normal numbered,List Paragraph11,OBC Bullet,L"/>
    <w:basedOn w:val="Normal"/>
    <w:link w:val="ListParagraphChar"/>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aliases w:val="Footnote Text Char1 Char Char,Footnote Text Char Char Char Char,Footnote Text Char1 Char Char Char Char,Footnote Text Char2 Char Char Char Char Char,Footnote Text Char Char1 Char Char Char Char Char,Footnote Text Char Char Char1"/>
    <w:basedOn w:val="DefaultParagraphFont"/>
    <w:link w:val="FootnoteText"/>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numbering" w:customStyle="1" w:styleId="1111111">
    <w:name w:val="1 / 1.1 / 1.1.11"/>
    <w:basedOn w:val="NoList"/>
    <w:next w:val="111111"/>
    <w:rsid w:val="00F44D62"/>
  </w:style>
  <w:style w:type="character" w:customStyle="1" w:styleId="apple-tab-span">
    <w:name w:val="apple-tab-span"/>
    <w:basedOn w:val="DefaultParagraphFont"/>
    <w:rsid w:val="00183DAF"/>
  </w:style>
  <w:style w:type="character" w:customStyle="1" w:styleId="normaltextrun">
    <w:name w:val="normaltextrun"/>
    <w:basedOn w:val="DefaultParagraphFont"/>
    <w:rsid w:val="00B42FC5"/>
  </w:style>
  <w:style w:type="character" w:customStyle="1" w:styleId="eop">
    <w:name w:val="eop"/>
    <w:basedOn w:val="DefaultParagraphFont"/>
    <w:rsid w:val="0091292B"/>
  </w:style>
  <w:style w:type="paragraph" w:customStyle="1" w:styleId="Mainbodytext-tight">
    <w:name w:val="Main body text - tight"/>
    <w:basedOn w:val="Normal"/>
    <w:link w:val="Mainbodytext-tightChar"/>
    <w:qFormat/>
    <w:rsid w:val="00AF5152"/>
    <w:pPr>
      <w:spacing w:after="80"/>
    </w:pPr>
    <w:rPr>
      <w:rFonts w:eastAsiaTheme="minorEastAsia" w:cstheme="minorBidi"/>
      <w:szCs w:val="22"/>
      <w:lang w:eastAsia="en-AU"/>
    </w:rPr>
  </w:style>
  <w:style w:type="character" w:customStyle="1" w:styleId="Mainbodytext-tightChar">
    <w:name w:val="Main body text - tight Char"/>
    <w:link w:val="Mainbodytext-tight"/>
    <w:locked/>
    <w:rsid w:val="00AF5152"/>
    <w:rPr>
      <w:rFonts w:ascii="Arial" w:eastAsiaTheme="minorEastAsia" w:hAnsi="Arial" w:cstheme="minorBidi"/>
      <w:sz w:val="22"/>
      <w:szCs w:val="22"/>
      <w:lang w:eastAsia="en-AU"/>
    </w:rPr>
  </w:style>
  <w:style w:type="character" w:customStyle="1" w:styleId="ListParagraphChar">
    <w:name w:val="List Paragraph Char"/>
    <w:aliases w:val="F5 List Paragraph Char,Dot pt Char,No Spacing1 Char,List Paragraph Char Char Char Char,Indicator Text Char,Colorful List - Accent 11 Char,Numbered Para 1 Char,Bullet 1 Char,Bullet Points Char,MAIN CONTENT Char,List Paragraph1 Char"/>
    <w:basedOn w:val="DefaultParagraphFont"/>
    <w:link w:val="ListParagraph"/>
    <w:uiPriority w:val="34"/>
    <w:qFormat/>
    <w:locked/>
    <w:rsid w:val="006D5F97"/>
    <w:rPr>
      <w:rFonts w:ascii="Arial" w:eastAsia="SimSun" w:hAnsi="Arial"/>
      <w:sz w:val="22"/>
      <w:szCs w:val="24"/>
      <w:lang w:eastAsia="zh-CN"/>
    </w:rPr>
  </w:style>
  <w:style w:type="paragraph" w:customStyle="1" w:styleId="Normal1">
    <w:name w:val="Normal1"/>
    <w:basedOn w:val="Caption"/>
    <w:link w:val="normalChar"/>
    <w:qFormat/>
    <w:rsid w:val="00502D0E"/>
    <w:pPr>
      <w:overflowPunct w:val="0"/>
      <w:autoSpaceDE w:val="0"/>
      <w:autoSpaceDN w:val="0"/>
      <w:adjustRightInd w:val="0"/>
      <w:spacing w:before="120" w:after="120"/>
      <w:textAlignment w:val="baseline"/>
    </w:pPr>
    <w:rPr>
      <w:rFonts w:eastAsia="Times New Roman"/>
      <w:szCs w:val="22"/>
      <w:lang w:eastAsia="en-GB"/>
    </w:rPr>
  </w:style>
  <w:style w:type="character" w:customStyle="1" w:styleId="normalChar">
    <w:name w:val="normal Char"/>
    <w:link w:val="Normal1"/>
    <w:rsid w:val="00502D0E"/>
    <w:rPr>
      <w:rFonts w:ascii="Arial" w:hAnsi="Arial"/>
      <w:sz w:val="22"/>
      <w:szCs w:val="22"/>
    </w:rPr>
  </w:style>
  <w:style w:type="paragraph" w:customStyle="1" w:styleId="Bodycopy">
    <w:name w:val="Body copy"/>
    <w:link w:val="BodycopyChar"/>
    <w:rsid w:val="0047251D"/>
    <w:rPr>
      <w:rFonts w:ascii="Arial" w:hAnsi="Arial" w:cs="Arial"/>
      <w:sz w:val="24"/>
      <w:szCs w:val="24"/>
    </w:rPr>
  </w:style>
  <w:style w:type="character" w:customStyle="1" w:styleId="BodycopyChar">
    <w:name w:val="Body copy Char"/>
    <w:basedOn w:val="DefaultParagraphFont"/>
    <w:link w:val="Bodycopy"/>
    <w:rsid w:val="0047251D"/>
    <w:rPr>
      <w:rFonts w:ascii="Arial" w:hAnsi="Arial" w:cs="Arial"/>
      <w:sz w:val="24"/>
      <w:szCs w:val="24"/>
    </w:rPr>
  </w:style>
  <w:style w:type="paragraph" w:customStyle="1" w:styleId="Martin1">
    <w:name w:val="Martin1"/>
    <w:basedOn w:val="Heading1"/>
    <w:qFormat/>
    <w:rsid w:val="0001614A"/>
    <w:pPr>
      <w:keepNext w:val="0"/>
      <w:widowControl w:val="0"/>
      <w:numPr>
        <w:numId w:val="53"/>
      </w:numPr>
      <w:tabs>
        <w:tab w:val="left" w:pos="567"/>
      </w:tabs>
      <w:adjustRightInd/>
      <w:spacing w:before="360" w:after="0"/>
    </w:pPr>
    <w:rPr>
      <w:rFonts w:eastAsia="Times New Roman" w:cs="Arial"/>
      <w:caps w:val="0"/>
      <w:snapToGrid w:val="0"/>
      <w:szCs w:val="22"/>
      <w:lang w:eastAsia="en-GB"/>
    </w:rPr>
  </w:style>
  <w:style w:type="paragraph" w:customStyle="1" w:styleId="Martin2">
    <w:name w:val="Martin2"/>
    <w:basedOn w:val="Heading1"/>
    <w:qFormat/>
    <w:rsid w:val="0001614A"/>
    <w:pPr>
      <w:keepNext w:val="0"/>
      <w:widowControl w:val="0"/>
      <w:numPr>
        <w:ilvl w:val="1"/>
        <w:numId w:val="53"/>
      </w:numPr>
      <w:tabs>
        <w:tab w:val="left" w:pos="567"/>
      </w:tabs>
      <w:adjustRightInd/>
      <w:spacing w:before="240" w:after="0"/>
    </w:pPr>
    <w:rPr>
      <w:rFonts w:eastAsia="Times New Roman" w:cs="Arial"/>
      <w:b w:val="0"/>
      <w:caps w:val="0"/>
      <w:snapToGrid w:val="0"/>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8991444">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anti-social-behaviour-action-plan/anti-social-behaviour-hotspot-response-programme"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921437/PPN-06_20-Taking-Account-of-Social-Value-in-the-Award-of-Central-Government-Contrac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HO document" ma:contentTypeID="0x010100A5BF1C78D9F64B679A5EBDE1C6598EBC010082583C04218CF34E88D76EE3EFEC3496" ma:contentTypeVersion="16" ma:contentTypeDescription="Create a new document." ma:contentTypeScope="" ma:versionID="6e0ed83530c6a83dd80013d31ea567f2">
  <xsd:schema xmlns:xsd="http://www.w3.org/2001/XMLSchema" xmlns:xs="http://www.w3.org/2001/XMLSchema" xmlns:p="http://schemas.microsoft.com/office/2006/metadata/properties" xmlns:ns2="60b4899e-55b4-4231-8241-12d69350e134" xmlns:ns3="370a0087-913e-4484-a798-20788f8b2c55" xmlns:ns4="938dbf38-e3c0-4e5d-b095-45dde5b9f26e" targetNamespace="http://schemas.microsoft.com/office/2006/metadata/properties" ma:root="true" ma:fieldsID="19cd9b5bab65533db69a0f18c5117763" ns2:_="" ns3:_="" ns4:_="">
    <xsd:import namespace="60b4899e-55b4-4231-8241-12d69350e134"/>
    <xsd:import namespace="370a0087-913e-4484-a798-20788f8b2c55"/>
    <xsd:import namespace="938dbf38-e3c0-4e5d-b095-45dde5b9f26e"/>
    <xsd:element name="properties">
      <xsd:complexType>
        <xsd:sequence>
          <xsd:element name="documentManagement">
            <xsd:complexType>
              <xsd:all>
                <xsd:element ref="ns2:ia9cd41b3d864eb6ba9a954b773e5c33" minOccurs="0"/>
                <xsd:element ref="ns3:TaxCatchAll" minOccurs="0"/>
                <xsd:element ref="ns3:TaxCatchAllLabel" minOccurs="0"/>
                <xsd:element ref="ns2:i67997d6cec04a9ab41c97e2e24e4d88" minOccurs="0"/>
                <xsd:element ref="ns2:i23eea0a43f84230afd496ef37eefe05" minOccurs="0"/>
                <xsd:element ref="ns2:id1284f2dd704566ad2cab92a8b75acc" minOccurs="0"/>
                <xsd:element ref="ns2:HOMigrated" minOccurs="0"/>
                <xsd:element ref="ns4:ContractNumber" minOccurs="0"/>
                <xsd:element ref="ns4:MediaServiceMetadata" minOccurs="0"/>
                <xsd:element ref="ns4:MediaServiceFastMetadata" minOccurs="0"/>
                <xsd:element ref="ns3:SharedWithUsers" minOccurs="0"/>
                <xsd:element ref="ns3:SharedWithDetail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element ref="ns4:MediaServiceObjectDetectorVersions" minOccurs="0"/>
                <xsd:element ref="ns4:MediaLengthInSecond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4899e-55b4-4231-8241-12d69350e134" elementFormDefault="qualified">
    <xsd:import namespace="http://schemas.microsoft.com/office/2006/documentManagement/types"/>
    <xsd:import namespace="http://schemas.microsoft.com/office/infopath/2007/PartnerControls"/>
    <xsd:element name="ia9cd41b3d864eb6ba9a954b773e5c33" ma:index="8" ma:taxonomy="true" ma:internalName="ia9cd41b3d864eb6ba9a954b773e5c33" ma:taxonomyFieldName="HOGovernmentSecurityClassification" ma:displayName="Government Security Classification" ma:readOnly="false" ma:default="3;#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i67997d6cec04a9ab41c97e2e24e4d88" ma:index="12" ma:taxonomy="true" ma:internalName="i67997d6cec04a9ab41c97e2e24e4d88" ma:taxonomyFieldName="HOCopyrightLevel" ma:displayName="Copyright level" ma:readOnly="false" ma:default="4;#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i23eea0a43f84230afd496ef37eefe05" ma:index="14" nillable="true" ma:taxonomy="true" ma:internalName="i23eea0a43f84230afd496ef37eefe05" ma:taxonomyFieldName="HOBusinessUnit" ma:displayName="Business unit" ma:readOnly="false" ma:default="1;#Commercial Directorate (CD)|89dfa253-14be-42a8-a0d5-bfdf4c6aba64"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id1284f2dd704566ad2cab92a8b75acc" ma:index="16" nillable="true" ma:taxonomy="true" ma:internalName="id1284f2dd704566ad2cab92a8b75acc" ma:taxonomyFieldName="HOSiteType" ma:displayName="Site type" ma:readOnly="false" ma:default="2;#Service Management – Standard|9ec4c595-c173-4c8b-87ef-170a87f8b11c"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0" ma:internalName="HOMigrate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70a0087-913e-4484-a798-20788f8b2c5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90c23385-52ba-4428-9663-e790083000d9}" ma:internalName="TaxCatchAll" ma:readOnly="false" ma:showField="CatchAllData" ma:web="370a0087-913e-4484-a798-20788f8b2c5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0c23385-52ba-4428-9663-e790083000d9}" ma:internalName="TaxCatchAllLabel" ma:readOnly="false" ma:showField="CatchAllDataLabel" ma:web="370a0087-913e-4484-a798-20788f8b2c5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8dbf38-e3c0-4e5d-b095-45dde5b9f26e" elementFormDefault="qualified">
    <xsd:import namespace="http://schemas.microsoft.com/office/2006/documentManagement/types"/>
    <xsd:import namespace="http://schemas.microsoft.com/office/infopath/2007/PartnerControls"/>
    <xsd:element name="ContractNumber" ma:index="19" nillable="true" ma:displayName="Contract Number" ma:description="C - Reference Allocated by ATAMIS" ma:format="Dropdown" ma:internalName="ContractNumber">
      <xsd:simpleType>
        <xsd:restriction base="dms:Text">
          <xsd:maxLength value="255"/>
        </xsd:restriction>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3e580ec-c125-41f3-a307-e1c841722a86"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70a0087-913e-4484-a798-20788f8b2c55">
      <Value>20</Value>
      <Value>33</Value>
      <Value>2</Value>
      <Value>1</Value>
    </TaxCatchAll>
    <HOMigrated xmlns="60b4899e-55b4-4231-8241-12d69350e134">false</HOMigrated>
    <SharedWithUsers xmlns="370a0087-913e-4484-a798-20788f8b2c55">
      <UserInfo>
        <DisplayName>SharingLinks.879a8413-7df3-4986-bdb1-9bc09336c167.Flexible.65f2a8a2-59df-4640-b783-c57da74587c7</DisplayName>
        <AccountId>977</AccountId>
        <AccountType/>
      </UserInfo>
      <UserInfo>
        <DisplayName>Laura Dewar (Home Office)</DisplayName>
        <AccountId>173</AccountId>
        <AccountType/>
      </UserInfo>
      <UserInfo>
        <DisplayName>Lee Smith</DisplayName>
        <AccountId>27</AccountId>
        <AccountType/>
      </UserInfo>
      <UserInfo>
        <DisplayName>James Long (Home Office)</DisplayName>
        <AccountId>34</AccountId>
        <AccountType/>
      </UserInfo>
      <UserInfo>
        <DisplayName>Nick Morgan (CPA)</DisplayName>
        <AccountId>2109</AccountId>
        <AccountType/>
      </UserInfo>
      <UserInfo>
        <DisplayName>Robert Patman</DisplayName>
        <AccountId>2505</AccountId>
        <AccountType/>
      </UserInfo>
      <UserInfo>
        <DisplayName>Stephen Roe</DisplayName>
        <AccountId>957</AccountId>
        <AccountType/>
      </UserInfo>
      <UserInfo>
        <DisplayName>Nigel Prideaux</DisplayName>
        <AccountId>2599</AccountId>
        <AccountType/>
      </UserInfo>
    </SharedWithUsers>
    <lcf76f155ced4ddcb4097134ff3c332f xmlns="938dbf38-e3c0-4e5d-b095-45dde5b9f26e">
      <Terms xmlns="http://schemas.microsoft.com/office/infopath/2007/PartnerControls"/>
    </lcf76f155ced4ddcb4097134ff3c332f>
    <i67997d6cec04a9ab41c97e2e24e4d88 xmlns="60b4899e-55b4-4231-8241-12d69350e134">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i67997d6cec04a9ab41c97e2e24e4d88>
    <i23eea0a43f84230afd496ef37eefe05 xmlns="60b4899e-55b4-4231-8241-12d69350e134">
      <Terms xmlns="http://schemas.microsoft.com/office/infopath/2007/PartnerControls">
        <TermInfo xmlns="http://schemas.microsoft.com/office/infopath/2007/PartnerControls">
          <TermName xmlns="http://schemas.microsoft.com/office/infopath/2007/PartnerControls">Commercial Directorate (CD)</TermName>
          <TermId xmlns="http://schemas.microsoft.com/office/infopath/2007/PartnerControls">89dfa253-14be-42a8-a0d5-bfdf4c6aba64</TermId>
        </TermInfo>
      </Terms>
    </i23eea0a43f84230afd496ef37eefe05>
    <id1284f2dd704566ad2cab92a8b75acc xmlns="60b4899e-55b4-4231-8241-12d69350e134">
      <Terms xmlns="http://schemas.microsoft.com/office/infopath/2007/PartnerControls">
        <TermInfo xmlns="http://schemas.microsoft.com/office/infopath/2007/PartnerControls">
          <TermName xmlns="http://schemas.microsoft.com/office/infopath/2007/PartnerControls">Process – Standard</TermName>
          <TermId xmlns="http://schemas.microsoft.com/office/infopath/2007/PartnerControls">cf511cbb-bd16-4156-ac78-90d0c4fce91f</TermId>
        </TermInfo>
      </Terms>
    </id1284f2dd704566ad2cab92a8b75acc>
    <ia9cd41b3d864eb6ba9a954b773e5c33 xmlns="60b4899e-55b4-4231-8241-12d69350e134">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ia9cd41b3d864eb6ba9a954b773e5c33>
    <TaxCatchAllLabel xmlns="370a0087-913e-4484-a798-20788f8b2c55" xsi:nil="true"/>
    <ContractNumber xmlns="938dbf38-e3c0-4e5d-b095-45dde5b9f26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HO document" ma:contentTypeID="0x010100A5BF1C78D9F64B679A5EBDE1C6598EBC01002AE1919D3F15194B856A8801F48F0BDB" ma:contentTypeVersion="21" ma:contentTypeDescription="Create a new document." ma:contentTypeScope="" ma:versionID="53d8878fe58afdddc6dd00ce93ebd16d">
  <xsd:schema xmlns:xsd="http://www.w3.org/2001/XMLSchema" xmlns:xs="http://www.w3.org/2001/XMLSchema" xmlns:p="http://schemas.microsoft.com/office/2006/metadata/properties" xmlns:ns2="4e9417ab-6472-4075-af16-7dc6074df91e" xmlns:ns3="4fd7cadd-fc46-4527-a063-55886bcf5f4a" xmlns:ns4="cead7266-2d30-40ba-9b05-25eb0561d86a" targetNamespace="http://schemas.microsoft.com/office/2006/metadata/properties" ma:root="true" ma:fieldsID="b535c90f70e27a4e235cf5752c74a711" ns2:_="" ns3:_="" ns4:_="">
    <xsd:import namespace="4e9417ab-6472-4075-af16-7dc6074df91e"/>
    <xsd:import namespace="4fd7cadd-fc46-4527-a063-55886bcf5f4a"/>
    <xsd:import namespace="cead7266-2d30-40ba-9b05-25eb0561d86a"/>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jb5e598af17141539648acf311d7477b" minOccurs="0"/>
                <xsd:element ref="ns2:n7493b4506bf40e28c373b1e51a33445" minOccurs="0"/>
                <xsd:element ref="ns2:HOMigrate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3:MediaServiceObjectDetectorVersions"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417ab-6472-4075-af16-7dc6074df91e"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1;#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cfc6550-f350-4b7f-af50-aa25d055e1c5}" ma:internalName="TaxCatchAll" ma:showField="CatchAllData" ma:web="cead7266-2d30-40ba-9b05-25eb0561d86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cfc6550-f350-4b7f-af50-aa25d055e1c5}" ma:internalName="TaxCatchAllLabel" ma:readOnly="true" ma:showField="CatchAllDataLabel" ma:web="cead7266-2d30-40ba-9b05-25eb0561d86a">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2;#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jb5e598af17141539648acf311d7477b" ma:index="14" nillable="true" ma:taxonomy="true" ma:internalName="jb5e598af17141539648acf311d7477b" ma:taxonomyFieldName="HOBusinessUnit" ma:displayName="Business unit" ma:default="3;#Counter Extremism Unit (CEU)|5dc42ad2-85ba-4a21-b3c8-72a881895a1f"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6" nillable="true" ma:taxonomy="true" ma:internalName="n7493b4506bf40e28c373b1e51a33445" ma:taxonomyFieldName="HOSiteType" ma:displayName="Site type" ma:default="4;#Policy – Significant|b8faeb8d-1a87-44bd-8153-bff3c10363ae"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0" ma:internalName="HOMig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fd7cadd-fc46-4527-a063-55886bcf5f4a"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DateTaken" ma:index="29" nillable="true" ma:displayName="MediaServiceDateTaken" ma:hidden="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93e580ec-c125-41f3-a307-e1c841722a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_Flow_SignoffStatus" ma:index="35"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ad7266-2d30-40ba-9b05-25eb0561d86a"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6BC71F-07CE-4346-8A78-529C4D2F0A74}"/>
</file>

<file path=customXml/itemProps2.xml><?xml version="1.0" encoding="utf-8"?>
<ds:datastoreItem xmlns:ds="http://schemas.openxmlformats.org/officeDocument/2006/customXml" ds:itemID="{3BA62404-BA72-4365-9865-B88DF4F9C696}">
  <ds:schemaRefs>
    <ds:schemaRef ds:uri="4e9417ab-6472-4075-af16-7dc6074df91e"/>
    <ds:schemaRef ds:uri="http://purl.org/dc/terms/"/>
    <ds:schemaRef ds:uri="cead7266-2d30-40ba-9b05-25eb0561d86a"/>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4fd7cadd-fc46-4527-a063-55886bcf5f4a"/>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A2F1C541-E0CA-4A7F-AC75-1593E3F8CABF}">
  <ds:schemaRefs>
    <ds:schemaRef ds:uri="http://schemas.openxmlformats.org/officeDocument/2006/bibliography"/>
  </ds:schemaRefs>
</ds:datastoreItem>
</file>

<file path=customXml/itemProps4.xml><?xml version="1.0" encoding="utf-8"?>
<ds:datastoreItem xmlns:ds="http://schemas.openxmlformats.org/officeDocument/2006/customXml" ds:itemID="{ED5FF662-1891-4C24-ADEF-5E19CAAF0862}">
  <ds:schemaRefs>
    <ds:schemaRef ds:uri="http://schemas.microsoft.com/sharepoint/v3/contenttype/forms"/>
  </ds:schemaRefs>
</ds:datastoreItem>
</file>

<file path=customXml/itemProps5.xml><?xml version="1.0" encoding="utf-8"?>
<ds:datastoreItem xmlns:ds="http://schemas.openxmlformats.org/officeDocument/2006/customXml" ds:itemID="{0B9392B3-8632-47CE-B778-3E7C43A539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417ab-6472-4075-af16-7dc6074df91e"/>
    <ds:schemaRef ds:uri="4fd7cadd-fc46-4527-a063-55886bcf5f4a"/>
    <ds:schemaRef ds:uri="cead7266-2d30-40ba-9b05-25eb0561d8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7253</Words>
  <Characters>41343</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48500</CharactersWithSpaces>
  <SharedDoc>false</SharedDoc>
  <HyperlinkBase/>
  <HLinks>
    <vt:vector size="138" baseType="variant">
      <vt:variant>
        <vt:i4>5963862</vt:i4>
      </vt:variant>
      <vt:variant>
        <vt:i4>129</vt:i4>
      </vt:variant>
      <vt:variant>
        <vt:i4>0</vt:i4>
      </vt:variant>
      <vt:variant>
        <vt:i4>5</vt:i4>
      </vt:variant>
      <vt:variant>
        <vt:lpwstr>https://www.gov.uk/government/publications/anti-social-behaviour-action-plan/anti-social-behaviour-hotspot-response-programme</vt:lpwstr>
      </vt:variant>
      <vt:variant>
        <vt:lpwstr/>
      </vt:variant>
      <vt:variant>
        <vt:i4>1703986</vt:i4>
      </vt:variant>
      <vt:variant>
        <vt:i4>122</vt:i4>
      </vt:variant>
      <vt:variant>
        <vt:i4>0</vt:i4>
      </vt:variant>
      <vt:variant>
        <vt:i4>5</vt:i4>
      </vt:variant>
      <vt:variant>
        <vt:lpwstr/>
      </vt:variant>
      <vt:variant>
        <vt:lpwstr>_Toc159329829</vt:lpwstr>
      </vt:variant>
      <vt:variant>
        <vt:i4>1703986</vt:i4>
      </vt:variant>
      <vt:variant>
        <vt:i4>116</vt:i4>
      </vt:variant>
      <vt:variant>
        <vt:i4>0</vt:i4>
      </vt:variant>
      <vt:variant>
        <vt:i4>5</vt:i4>
      </vt:variant>
      <vt:variant>
        <vt:lpwstr/>
      </vt:variant>
      <vt:variant>
        <vt:lpwstr>_Toc159329828</vt:lpwstr>
      </vt:variant>
      <vt:variant>
        <vt:i4>1703986</vt:i4>
      </vt:variant>
      <vt:variant>
        <vt:i4>110</vt:i4>
      </vt:variant>
      <vt:variant>
        <vt:i4>0</vt:i4>
      </vt:variant>
      <vt:variant>
        <vt:i4>5</vt:i4>
      </vt:variant>
      <vt:variant>
        <vt:lpwstr/>
      </vt:variant>
      <vt:variant>
        <vt:lpwstr>_Toc159329827</vt:lpwstr>
      </vt:variant>
      <vt:variant>
        <vt:i4>1703986</vt:i4>
      </vt:variant>
      <vt:variant>
        <vt:i4>104</vt:i4>
      </vt:variant>
      <vt:variant>
        <vt:i4>0</vt:i4>
      </vt:variant>
      <vt:variant>
        <vt:i4>5</vt:i4>
      </vt:variant>
      <vt:variant>
        <vt:lpwstr/>
      </vt:variant>
      <vt:variant>
        <vt:lpwstr>_Toc159329826</vt:lpwstr>
      </vt:variant>
      <vt:variant>
        <vt:i4>1703986</vt:i4>
      </vt:variant>
      <vt:variant>
        <vt:i4>98</vt:i4>
      </vt:variant>
      <vt:variant>
        <vt:i4>0</vt:i4>
      </vt:variant>
      <vt:variant>
        <vt:i4>5</vt:i4>
      </vt:variant>
      <vt:variant>
        <vt:lpwstr/>
      </vt:variant>
      <vt:variant>
        <vt:lpwstr>_Toc159329825</vt:lpwstr>
      </vt:variant>
      <vt:variant>
        <vt:i4>1703986</vt:i4>
      </vt:variant>
      <vt:variant>
        <vt:i4>92</vt:i4>
      </vt:variant>
      <vt:variant>
        <vt:i4>0</vt:i4>
      </vt:variant>
      <vt:variant>
        <vt:i4>5</vt:i4>
      </vt:variant>
      <vt:variant>
        <vt:lpwstr/>
      </vt:variant>
      <vt:variant>
        <vt:lpwstr>_Toc159329824</vt:lpwstr>
      </vt:variant>
      <vt:variant>
        <vt:i4>1703986</vt:i4>
      </vt:variant>
      <vt:variant>
        <vt:i4>86</vt:i4>
      </vt:variant>
      <vt:variant>
        <vt:i4>0</vt:i4>
      </vt:variant>
      <vt:variant>
        <vt:i4>5</vt:i4>
      </vt:variant>
      <vt:variant>
        <vt:lpwstr/>
      </vt:variant>
      <vt:variant>
        <vt:lpwstr>_Toc159329823</vt:lpwstr>
      </vt:variant>
      <vt:variant>
        <vt:i4>1703986</vt:i4>
      </vt:variant>
      <vt:variant>
        <vt:i4>80</vt:i4>
      </vt:variant>
      <vt:variant>
        <vt:i4>0</vt:i4>
      </vt:variant>
      <vt:variant>
        <vt:i4>5</vt:i4>
      </vt:variant>
      <vt:variant>
        <vt:lpwstr/>
      </vt:variant>
      <vt:variant>
        <vt:lpwstr>_Toc159329822</vt:lpwstr>
      </vt:variant>
      <vt:variant>
        <vt:i4>1703986</vt:i4>
      </vt:variant>
      <vt:variant>
        <vt:i4>74</vt:i4>
      </vt:variant>
      <vt:variant>
        <vt:i4>0</vt:i4>
      </vt:variant>
      <vt:variant>
        <vt:i4>5</vt:i4>
      </vt:variant>
      <vt:variant>
        <vt:lpwstr/>
      </vt:variant>
      <vt:variant>
        <vt:lpwstr>_Toc159329821</vt:lpwstr>
      </vt:variant>
      <vt:variant>
        <vt:i4>1703986</vt:i4>
      </vt:variant>
      <vt:variant>
        <vt:i4>68</vt:i4>
      </vt:variant>
      <vt:variant>
        <vt:i4>0</vt:i4>
      </vt:variant>
      <vt:variant>
        <vt:i4>5</vt:i4>
      </vt:variant>
      <vt:variant>
        <vt:lpwstr/>
      </vt:variant>
      <vt:variant>
        <vt:lpwstr>_Toc159329820</vt:lpwstr>
      </vt:variant>
      <vt:variant>
        <vt:i4>1638450</vt:i4>
      </vt:variant>
      <vt:variant>
        <vt:i4>62</vt:i4>
      </vt:variant>
      <vt:variant>
        <vt:i4>0</vt:i4>
      </vt:variant>
      <vt:variant>
        <vt:i4>5</vt:i4>
      </vt:variant>
      <vt:variant>
        <vt:lpwstr/>
      </vt:variant>
      <vt:variant>
        <vt:lpwstr>_Toc159329819</vt:lpwstr>
      </vt:variant>
      <vt:variant>
        <vt:i4>1638450</vt:i4>
      </vt:variant>
      <vt:variant>
        <vt:i4>56</vt:i4>
      </vt:variant>
      <vt:variant>
        <vt:i4>0</vt:i4>
      </vt:variant>
      <vt:variant>
        <vt:i4>5</vt:i4>
      </vt:variant>
      <vt:variant>
        <vt:lpwstr/>
      </vt:variant>
      <vt:variant>
        <vt:lpwstr>_Toc159329818</vt:lpwstr>
      </vt:variant>
      <vt:variant>
        <vt:i4>1638450</vt:i4>
      </vt:variant>
      <vt:variant>
        <vt:i4>50</vt:i4>
      </vt:variant>
      <vt:variant>
        <vt:i4>0</vt:i4>
      </vt:variant>
      <vt:variant>
        <vt:i4>5</vt:i4>
      </vt:variant>
      <vt:variant>
        <vt:lpwstr/>
      </vt:variant>
      <vt:variant>
        <vt:lpwstr>_Toc159329817</vt:lpwstr>
      </vt:variant>
      <vt:variant>
        <vt:i4>1638450</vt:i4>
      </vt:variant>
      <vt:variant>
        <vt:i4>44</vt:i4>
      </vt:variant>
      <vt:variant>
        <vt:i4>0</vt:i4>
      </vt:variant>
      <vt:variant>
        <vt:i4>5</vt:i4>
      </vt:variant>
      <vt:variant>
        <vt:lpwstr/>
      </vt:variant>
      <vt:variant>
        <vt:lpwstr>_Toc159329816</vt:lpwstr>
      </vt:variant>
      <vt:variant>
        <vt:i4>1638450</vt:i4>
      </vt:variant>
      <vt:variant>
        <vt:i4>38</vt:i4>
      </vt:variant>
      <vt:variant>
        <vt:i4>0</vt:i4>
      </vt:variant>
      <vt:variant>
        <vt:i4>5</vt:i4>
      </vt:variant>
      <vt:variant>
        <vt:lpwstr/>
      </vt:variant>
      <vt:variant>
        <vt:lpwstr>_Toc159329815</vt:lpwstr>
      </vt:variant>
      <vt:variant>
        <vt:i4>1638450</vt:i4>
      </vt:variant>
      <vt:variant>
        <vt:i4>32</vt:i4>
      </vt:variant>
      <vt:variant>
        <vt:i4>0</vt:i4>
      </vt:variant>
      <vt:variant>
        <vt:i4>5</vt:i4>
      </vt:variant>
      <vt:variant>
        <vt:lpwstr/>
      </vt:variant>
      <vt:variant>
        <vt:lpwstr>_Toc159329814</vt:lpwstr>
      </vt:variant>
      <vt:variant>
        <vt:i4>1638450</vt:i4>
      </vt:variant>
      <vt:variant>
        <vt:i4>26</vt:i4>
      </vt:variant>
      <vt:variant>
        <vt:i4>0</vt:i4>
      </vt:variant>
      <vt:variant>
        <vt:i4>5</vt:i4>
      </vt:variant>
      <vt:variant>
        <vt:lpwstr/>
      </vt:variant>
      <vt:variant>
        <vt:lpwstr>_Toc159329813</vt:lpwstr>
      </vt:variant>
      <vt:variant>
        <vt:i4>1638450</vt:i4>
      </vt:variant>
      <vt:variant>
        <vt:i4>20</vt:i4>
      </vt:variant>
      <vt:variant>
        <vt:i4>0</vt:i4>
      </vt:variant>
      <vt:variant>
        <vt:i4>5</vt:i4>
      </vt:variant>
      <vt:variant>
        <vt:lpwstr/>
      </vt:variant>
      <vt:variant>
        <vt:lpwstr>_Toc159329812</vt:lpwstr>
      </vt:variant>
      <vt:variant>
        <vt:i4>1638450</vt:i4>
      </vt:variant>
      <vt:variant>
        <vt:i4>14</vt:i4>
      </vt:variant>
      <vt:variant>
        <vt:i4>0</vt:i4>
      </vt:variant>
      <vt:variant>
        <vt:i4>5</vt:i4>
      </vt:variant>
      <vt:variant>
        <vt:lpwstr/>
      </vt:variant>
      <vt:variant>
        <vt:lpwstr>_Toc159329811</vt:lpwstr>
      </vt:variant>
      <vt:variant>
        <vt:i4>1638450</vt:i4>
      </vt:variant>
      <vt:variant>
        <vt:i4>8</vt:i4>
      </vt:variant>
      <vt:variant>
        <vt:i4>0</vt:i4>
      </vt:variant>
      <vt:variant>
        <vt:i4>5</vt:i4>
      </vt:variant>
      <vt:variant>
        <vt:lpwstr/>
      </vt:variant>
      <vt:variant>
        <vt:lpwstr>_Toc159329810</vt:lpwstr>
      </vt:variant>
      <vt:variant>
        <vt:i4>1572914</vt:i4>
      </vt:variant>
      <vt:variant>
        <vt:i4>2</vt:i4>
      </vt:variant>
      <vt:variant>
        <vt:i4>0</vt:i4>
      </vt:variant>
      <vt:variant>
        <vt:i4>5</vt:i4>
      </vt:variant>
      <vt:variant>
        <vt:lpwstr/>
      </vt:variant>
      <vt:variant>
        <vt:lpwstr>_Toc159329809</vt:lpwstr>
      </vt:variant>
      <vt:variant>
        <vt:i4>4456475</vt:i4>
      </vt:variant>
      <vt:variant>
        <vt:i4>0</vt:i4>
      </vt:variant>
      <vt:variant>
        <vt:i4>0</vt:i4>
      </vt:variant>
      <vt:variant>
        <vt:i4>5</vt:i4>
      </vt:variant>
      <vt:variant>
        <vt:lpwstr>https://assets.publishing.service.gov.uk/government/uploads/system/uploads/attachment_data/file/921437/PPN-06_20-Taking-Account-of-Social-Value-in-the-Award-of-Central-Government-Contracts.pdf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Bergin</dc:creator>
  <cp:keywords/>
  <cp:lastModifiedBy>Nigel Prideaux</cp:lastModifiedBy>
  <cp:revision>2</cp:revision>
  <dcterms:created xsi:type="dcterms:W3CDTF">2024-02-21T09:28:00Z</dcterms:created>
  <dcterms:modified xsi:type="dcterms:W3CDTF">2024-02-21T09:28:00Z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y fmtid="{D5CDD505-2E9C-101B-9397-08002B2CF9AE}" pid="7" name="ContentTypeId">
    <vt:lpwstr>0x010100A5BF1C78D9F64B679A5EBDE1C6598EBC010082583C04218CF34E88D76EE3EFEC3496</vt:lpwstr>
  </property>
  <property fmtid="{D5CDD505-2E9C-101B-9397-08002B2CF9AE}" pid="8" name="HOBusinessUnit">
    <vt:lpwstr>33;#Commercial Directorate (CD)|89dfa253-14be-42a8-a0d5-bfdf4c6aba64</vt:lpwstr>
  </property>
  <property fmtid="{D5CDD505-2E9C-101B-9397-08002B2CF9AE}" pid="9" name="HOCopyrightLevel">
    <vt:lpwstr>2;#Crown|69589897-2828-4761-976e-717fd8e631c9</vt:lpwstr>
  </property>
  <property fmtid="{D5CDD505-2E9C-101B-9397-08002B2CF9AE}" pid="10" name="HOGovernmentSecurityClassification">
    <vt:lpwstr>1;#Official|14c80daa-741b-422c-9722-f71693c9ede4</vt:lpwstr>
  </property>
  <property fmtid="{D5CDD505-2E9C-101B-9397-08002B2CF9AE}" pid="11" name="HOSiteType">
    <vt:lpwstr>20;#Process – Standard|cf511cbb-bd16-4156-ac78-90d0c4fce91f</vt:lpwstr>
  </property>
  <property fmtid="{D5CDD505-2E9C-101B-9397-08002B2CF9AE}" pid="12" name="MediaServiceImageTags">
    <vt:lpwstr/>
  </property>
</Properties>
</file>