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62" w:rsidRPr="007E60D1" w:rsidRDefault="00FC5B62" w:rsidP="00FC5B62">
      <w:pPr>
        <w:pStyle w:val="BodyTextIndent"/>
        <w:spacing w:before="60" w:after="60"/>
        <w:ind w:left="-142"/>
        <w:jc w:val="center"/>
        <w:rPr>
          <w:rFonts w:cs="Arial"/>
          <w:b/>
          <w:sz w:val="36"/>
          <w:szCs w:val="36"/>
        </w:rPr>
      </w:pPr>
      <w:r>
        <w:rPr>
          <w:rFonts w:cs="Arial"/>
          <w:b/>
          <w:sz w:val="36"/>
          <w:szCs w:val="36"/>
        </w:rPr>
        <w:t>Request for Proposal</w:t>
      </w:r>
      <w:r w:rsidRPr="007E60D1">
        <w:rPr>
          <w:rFonts w:cs="Arial"/>
          <w:b/>
          <w:sz w:val="36"/>
          <w:szCs w:val="36"/>
        </w:rPr>
        <w:t xml:space="preserve"> (RFP)</w:t>
      </w:r>
    </w:p>
    <w:p w:rsidR="005F3F8A" w:rsidRDefault="00173815" w:rsidP="005F3F8A">
      <w:pPr>
        <w:pStyle w:val="BodyTextIndent"/>
        <w:spacing w:before="60" w:after="60"/>
        <w:ind w:left="0"/>
        <w:jc w:val="center"/>
        <w:rPr>
          <w:rFonts w:cs="Arial"/>
          <w:sz w:val="36"/>
          <w:szCs w:val="36"/>
        </w:rPr>
      </w:pPr>
      <w:r>
        <w:rPr>
          <w:rFonts w:cs="Arial"/>
          <w:sz w:val="36"/>
          <w:szCs w:val="36"/>
        </w:rPr>
        <w:t>Digital Services – RM1043</w:t>
      </w:r>
    </w:p>
    <w:p w:rsidR="00FC5B62" w:rsidRDefault="00FC5B62" w:rsidP="00FC5B62">
      <w:pPr>
        <w:pStyle w:val="BodyTextIndent"/>
        <w:spacing w:before="60" w:after="60"/>
        <w:ind w:left="0"/>
        <w:jc w:val="center"/>
        <w:rPr>
          <w:rFonts w:cs="Arial"/>
          <w:sz w:val="36"/>
          <w:szCs w:val="36"/>
        </w:rPr>
      </w:pPr>
    </w:p>
    <w:p w:rsidR="00FC5B62" w:rsidRDefault="00C75602" w:rsidP="00FC5B62">
      <w:pPr>
        <w:pStyle w:val="BodyTextIndent"/>
        <w:spacing w:before="60" w:after="60"/>
        <w:ind w:left="0"/>
        <w:jc w:val="center"/>
        <w:rPr>
          <w:rFonts w:cs="Arial"/>
          <w:sz w:val="36"/>
          <w:szCs w:val="36"/>
        </w:rPr>
      </w:pPr>
      <w:r>
        <w:rPr>
          <w:rFonts w:cs="Arial"/>
          <w:sz w:val="36"/>
          <w:szCs w:val="36"/>
        </w:rPr>
        <w:t>APPENDIX D</w:t>
      </w:r>
      <w:r w:rsidR="00FC5B62">
        <w:rPr>
          <w:rFonts w:cs="Arial"/>
          <w:sz w:val="36"/>
          <w:szCs w:val="36"/>
        </w:rPr>
        <w:t xml:space="preserve"> –</w:t>
      </w:r>
      <w:r w:rsidR="0084498D">
        <w:rPr>
          <w:rFonts w:cs="Arial"/>
          <w:sz w:val="36"/>
          <w:szCs w:val="36"/>
        </w:rPr>
        <w:t xml:space="preserve"> </w:t>
      </w:r>
      <w:r w:rsidR="009E79D8">
        <w:rPr>
          <w:rFonts w:cs="Arial"/>
          <w:sz w:val="36"/>
          <w:szCs w:val="36"/>
        </w:rPr>
        <w:t>EVALUTATION</w:t>
      </w:r>
      <w:r w:rsidR="008F5BE8">
        <w:rPr>
          <w:rFonts w:cs="Arial"/>
          <w:sz w:val="36"/>
          <w:szCs w:val="36"/>
        </w:rPr>
        <w:t xml:space="preserve"> GUIDANCE </w:t>
      </w:r>
    </w:p>
    <w:p w:rsidR="00060D4C" w:rsidRDefault="00060D4C" w:rsidP="00060D4C">
      <w:pPr>
        <w:pStyle w:val="Heading2"/>
        <w:numPr>
          <w:ilvl w:val="0"/>
          <w:numId w:val="0"/>
        </w:numPr>
        <w:tabs>
          <w:tab w:val="clear" w:pos="567"/>
        </w:tabs>
        <w:spacing w:before="120" w:after="120"/>
        <w:jc w:val="both"/>
        <w:rPr>
          <w:rFonts w:cs="Arial"/>
          <w:sz w:val="20"/>
        </w:rPr>
      </w:pPr>
      <w:bookmarkStart w:id="0" w:name="_Ref374817023"/>
    </w:p>
    <w:p w:rsidR="00D56151" w:rsidRPr="00D56151" w:rsidRDefault="00D56151" w:rsidP="00D56151">
      <w:pPr>
        <w:pStyle w:val="BodyText"/>
      </w:pPr>
    </w:p>
    <w:p w:rsidR="00060D4C" w:rsidRDefault="00060D4C" w:rsidP="00060D4C">
      <w:pPr>
        <w:pStyle w:val="Heading2"/>
        <w:numPr>
          <w:ilvl w:val="0"/>
          <w:numId w:val="0"/>
        </w:numPr>
        <w:tabs>
          <w:tab w:val="clear" w:pos="567"/>
        </w:tabs>
        <w:spacing w:before="120" w:after="120"/>
        <w:jc w:val="both"/>
        <w:rPr>
          <w:rFonts w:cs="Arial"/>
          <w:sz w:val="20"/>
        </w:rPr>
      </w:pPr>
      <w:r w:rsidRPr="00060D4C">
        <w:rPr>
          <w:rFonts w:cs="Arial"/>
          <w:sz w:val="20"/>
        </w:rPr>
        <w:t xml:space="preserve">What’s </w:t>
      </w:r>
      <w:r w:rsidR="005E4B1E" w:rsidRPr="00060D4C">
        <w:rPr>
          <w:rFonts w:cs="Arial"/>
          <w:sz w:val="20"/>
        </w:rPr>
        <w:t>included</w:t>
      </w:r>
      <w:r w:rsidRPr="00060D4C">
        <w:rPr>
          <w:rFonts w:cs="Arial"/>
          <w:sz w:val="20"/>
        </w:rPr>
        <w:t>?</w:t>
      </w:r>
      <w:r w:rsidR="005E4B1E">
        <w:rPr>
          <w:rFonts w:cs="Arial"/>
          <w:sz w:val="20"/>
        </w:rPr>
        <w:t xml:space="preserve"> (click to follow)</w:t>
      </w:r>
    </w:p>
    <w:p w:rsidR="005E4B1E" w:rsidRPr="005E4B1E" w:rsidRDefault="005E4B1E" w:rsidP="005E4B1E">
      <w:pPr>
        <w:pStyle w:val="BodyText"/>
        <w:spacing w:before="60" w:after="60" w:line="240" w:lineRule="auto"/>
        <w:rPr>
          <w:rFonts w:ascii="Arial" w:hAnsi="Arial" w:cs="Arial"/>
          <w:b/>
          <w:color w:val="4F81BD" w:themeColor="accent1"/>
          <w:sz w:val="28"/>
        </w:rPr>
      </w:pPr>
      <w:r w:rsidRPr="005E4B1E">
        <w:rPr>
          <w:rFonts w:ascii="Arial" w:hAnsi="Arial" w:cs="Arial"/>
          <w:b/>
          <w:color w:val="4F81BD" w:themeColor="accent1"/>
          <w:sz w:val="28"/>
        </w:rPr>
        <w:t>FURTHER INFORMATION AND GUIDANCE</w:t>
      </w:r>
    </w:p>
    <w:p w:rsidR="005E4B1E" w:rsidRPr="003749A8" w:rsidRDefault="002904D0" w:rsidP="003749A8">
      <w:pPr>
        <w:pStyle w:val="Heading1"/>
        <w:numPr>
          <w:ilvl w:val="0"/>
          <w:numId w:val="12"/>
        </w:numPr>
        <w:tabs>
          <w:tab w:val="clear" w:pos="567"/>
        </w:tabs>
        <w:spacing w:before="60" w:after="60"/>
        <w:rPr>
          <w:b w:val="0"/>
        </w:rPr>
      </w:pPr>
      <w:r w:rsidRPr="003749A8">
        <w:rPr>
          <w:b w:val="0"/>
        </w:rPr>
        <w:fldChar w:fldCharType="begin"/>
      </w:r>
      <w:r w:rsidR="005E4B1E" w:rsidRPr="003749A8">
        <w:rPr>
          <w:b w:val="0"/>
        </w:rPr>
        <w:instrText xml:space="preserve"> REF PURPOSEOFTHERFP \h </w:instrText>
      </w:r>
      <w:r w:rsidR="003749A8">
        <w:rPr>
          <w:b w:val="0"/>
        </w:rPr>
        <w:instrText xml:space="preserve"> \* MERGEFORMAT </w:instrText>
      </w:r>
      <w:r w:rsidRPr="003749A8">
        <w:rPr>
          <w:b w:val="0"/>
        </w:rPr>
      </w:r>
      <w:r w:rsidRPr="003749A8">
        <w:rPr>
          <w:b w:val="0"/>
        </w:rPr>
        <w:fldChar w:fldCharType="separate"/>
      </w:r>
      <w:r w:rsidR="005E4B1E" w:rsidRPr="003749A8">
        <w:rPr>
          <w:b w:val="0"/>
        </w:rPr>
        <w:t xml:space="preserve">PURPOSE OF THE RFP </w:t>
      </w:r>
    </w:p>
    <w:p w:rsidR="005E4B1E" w:rsidRPr="003749A8" w:rsidRDefault="002904D0" w:rsidP="003749A8">
      <w:pPr>
        <w:pStyle w:val="Heading1"/>
        <w:numPr>
          <w:ilvl w:val="0"/>
          <w:numId w:val="12"/>
        </w:numPr>
        <w:tabs>
          <w:tab w:val="clear" w:pos="567"/>
        </w:tabs>
        <w:spacing w:before="60" w:after="60"/>
        <w:jc w:val="both"/>
        <w:rPr>
          <w:b w:val="0"/>
        </w:rPr>
      </w:pPr>
      <w:r w:rsidRPr="003749A8">
        <w:rPr>
          <w:b w:val="0"/>
        </w:rPr>
        <w:fldChar w:fldCharType="end"/>
      </w:r>
      <w:r w:rsidRPr="003749A8">
        <w:rPr>
          <w:b w:val="0"/>
        </w:rPr>
        <w:fldChar w:fldCharType="begin"/>
      </w:r>
      <w:r w:rsidR="005E4B1E" w:rsidRPr="003749A8">
        <w:rPr>
          <w:b w:val="0"/>
        </w:rPr>
        <w:instrText xml:space="preserve"> REF CONTRACTINGAUTHORITYANDHIGHLEVELRES \h </w:instrText>
      </w:r>
      <w:r w:rsidR="003749A8">
        <w:rPr>
          <w:b w:val="0"/>
        </w:rPr>
        <w:instrText xml:space="preserve"> \* MERGEFORMAT </w:instrText>
      </w:r>
      <w:r w:rsidRPr="003749A8">
        <w:rPr>
          <w:b w:val="0"/>
        </w:rPr>
      </w:r>
      <w:r w:rsidRPr="003749A8">
        <w:rPr>
          <w:b w:val="0"/>
        </w:rPr>
        <w:fldChar w:fldCharType="separate"/>
      </w:r>
      <w:r w:rsidR="005E4B1E" w:rsidRPr="003749A8">
        <w:rPr>
          <w:b w:val="0"/>
        </w:rPr>
        <w:t>CONTRACTING AUTHORITY AND HIGH-LEVEL RESPONSIBILITIES</w:t>
      </w:r>
    </w:p>
    <w:p w:rsidR="005E4B1E" w:rsidRPr="003749A8" w:rsidRDefault="002904D0" w:rsidP="003749A8">
      <w:pPr>
        <w:pStyle w:val="Heading1"/>
        <w:numPr>
          <w:ilvl w:val="0"/>
          <w:numId w:val="12"/>
        </w:numPr>
        <w:tabs>
          <w:tab w:val="clear" w:pos="567"/>
        </w:tabs>
        <w:spacing w:before="60" w:after="60"/>
        <w:jc w:val="both"/>
        <w:rPr>
          <w:b w:val="0"/>
        </w:rPr>
      </w:pPr>
      <w:r w:rsidRPr="003749A8">
        <w:rPr>
          <w:b w:val="0"/>
        </w:rPr>
        <w:fldChar w:fldCharType="end"/>
      </w:r>
      <w:r w:rsidRPr="003749A8">
        <w:rPr>
          <w:b w:val="0"/>
        </w:rPr>
        <w:fldChar w:fldCharType="begin"/>
      </w:r>
      <w:r w:rsidR="005E4B1E" w:rsidRPr="003749A8">
        <w:rPr>
          <w:b w:val="0"/>
        </w:rPr>
        <w:instrText xml:space="preserve"> REF YOURPRICERESPONSE \h </w:instrText>
      </w:r>
      <w:r w:rsidR="003749A8">
        <w:rPr>
          <w:b w:val="0"/>
        </w:rPr>
        <w:instrText xml:space="preserve"> \* MERGEFORMAT </w:instrText>
      </w:r>
      <w:r w:rsidRPr="003749A8">
        <w:rPr>
          <w:b w:val="0"/>
        </w:rPr>
      </w:r>
      <w:r w:rsidRPr="003749A8">
        <w:rPr>
          <w:b w:val="0"/>
        </w:rPr>
        <w:fldChar w:fldCharType="separate"/>
      </w:r>
      <w:r w:rsidR="005E4B1E" w:rsidRPr="003749A8">
        <w:rPr>
          <w:b w:val="0"/>
        </w:rPr>
        <w:t>YOUR PRICE RESPONSE</w:t>
      </w:r>
    </w:p>
    <w:p w:rsidR="005E4B1E" w:rsidRPr="003749A8" w:rsidRDefault="002904D0" w:rsidP="003749A8">
      <w:pPr>
        <w:pStyle w:val="Heading1"/>
        <w:numPr>
          <w:ilvl w:val="0"/>
          <w:numId w:val="12"/>
        </w:numPr>
        <w:tabs>
          <w:tab w:val="clear" w:pos="567"/>
        </w:tabs>
        <w:spacing w:before="60" w:after="60"/>
        <w:rPr>
          <w:b w:val="0"/>
        </w:rPr>
      </w:pPr>
      <w:r w:rsidRPr="003749A8">
        <w:rPr>
          <w:b w:val="0"/>
        </w:rPr>
        <w:fldChar w:fldCharType="end"/>
      </w:r>
      <w:r w:rsidRPr="003749A8">
        <w:rPr>
          <w:b w:val="0"/>
        </w:rPr>
        <w:fldChar w:fldCharType="begin"/>
      </w:r>
      <w:r w:rsidR="005E4B1E" w:rsidRPr="003749A8">
        <w:rPr>
          <w:b w:val="0"/>
        </w:rPr>
        <w:instrText xml:space="preserve"> REF SCOPE \h </w:instrText>
      </w:r>
      <w:r w:rsidR="003749A8">
        <w:rPr>
          <w:b w:val="0"/>
        </w:rPr>
        <w:instrText xml:space="preserve"> \* MERGEFORMAT </w:instrText>
      </w:r>
      <w:r w:rsidRPr="003749A8">
        <w:rPr>
          <w:b w:val="0"/>
        </w:rPr>
      </w:r>
      <w:r w:rsidRPr="003749A8">
        <w:rPr>
          <w:b w:val="0"/>
        </w:rPr>
        <w:fldChar w:fldCharType="separate"/>
      </w:r>
      <w:r w:rsidR="005E4B1E" w:rsidRPr="003749A8">
        <w:rPr>
          <w:b w:val="0"/>
        </w:rPr>
        <w:t>SCOPE</w:t>
      </w:r>
    </w:p>
    <w:p w:rsidR="005E4B1E" w:rsidRPr="003749A8" w:rsidRDefault="002904D0" w:rsidP="003749A8">
      <w:pPr>
        <w:pStyle w:val="Heading2"/>
        <w:numPr>
          <w:ilvl w:val="0"/>
          <w:numId w:val="12"/>
        </w:numPr>
        <w:tabs>
          <w:tab w:val="clear" w:pos="567"/>
        </w:tabs>
        <w:spacing w:before="60" w:after="60"/>
        <w:jc w:val="both"/>
        <w:rPr>
          <w:b w:val="0"/>
        </w:rPr>
      </w:pPr>
      <w:r w:rsidRPr="003749A8">
        <w:rPr>
          <w:b w:val="0"/>
        </w:rPr>
        <w:fldChar w:fldCharType="end"/>
      </w:r>
      <w:r w:rsidRPr="003749A8">
        <w:rPr>
          <w:b w:val="0"/>
        </w:rPr>
        <w:fldChar w:fldCharType="begin"/>
      </w:r>
      <w:r w:rsidR="005E4B1E" w:rsidRPr="003749A8">
        <w:rPr>
          <w:b w:val="0"/>
        </w:rPr>
        <w:instrText xml:space="preserve"> REF ACCEPTANCEOFSUBMISSIONS \h </w:instrText>
      </w:r>
      <w:r w:rsidR="003749A8">
        <w:rPr>
          <w:b w:val="0"/>
        </w:rPr>
        <w:instrText xml:space="preserve"> \* MERGEFORMAT </w:instrText>
      </w:r>
      <w:r w:rsidRPr="003749A8">
        <w:rPr>
          <w:b w:val="0"/>
        </w:rPr>
      </w:r>
      <w:r w:rsidRPr="003749A8">
        <w:rPr>
          <w:b w:val="0"/>
        </w:rPr>
        <w:fldChar w:fldCharType="separate"/>
      </w:r>
      <w:r w:rsidR="005E4B1E" w:rsidRPr="003749A8">
        <w:rPr>
          <w:b w:val="0"/>
        </w:rPr>
        <w:t>ACCEPTANCE OF SUBMISSIONS:</w:t>
      </w:r>
    </w:p>
    <w:p w:rsidR="005E4B1E" w:rsidRPr="003749A8" w:rsidRDefault="002904D0" w:rsidP="003749A8">
      <w:pPr>
        <w:pStyle w:val="Heading1"/>
        <w:numPr>
          <w:ilvl w:val="0"/>
          <w:numId w:val="12"/>
        </w:numPr>
        <w:tabs>
          <w:tab w:val="clear" w:pos="567"/>
        </w:tabs>
        <w:spacing w:before="60" w:after="60"/>
        <w:jc w:val="both"/>
        <w:rPr>
          <w:b w:val="0"/>
        </w:rPr>
      </w:pPr>
      <w:r w:rsidRPr="003749A8">
        <w:rPr>
          <w:b w:val="0"/>
        </w:rPr>
        <w:fldChar w:fldCharType="end"/>
      </w:r>
      <w:r w:rsidRPr="003749A8">
        <w:rPr>
          <w:b w:val="0"/>
        </w:rPr>
        <w:fldChar w:fldCharType="begin"/>
      </w:r>
      <w:r w:rsidR="005E4B1E" w:rsidRPr="003749A8">
        <w:rPr>
          <w:b w:val="0"/>
        </w:rPr>
        <w:instrText xml:space="preserve"> REF SECURITY \h </w:instrText>
      </w:r>
      <w:r w:rsidR="003749A8">
        <w:rPr>
          <w:b w:val="0"/>
        </w:rPr>
        <w:instrText xml:space="preserve"> \* MERGEFORMAT </w:instrText>
      </w:r>
      <w:r w:rsidRPr="003749A8">
        <w:rPr>
          <w:b w:val="0"/>
        </w:rPr>
      </w:r>
      <w:r w:rsidRPr="003749A8">
        <w:rPr>
          <w:b w:val="0"/>
        </w:rPr>
        <w:fldChar w:fldCharType="separate"/>
      </w:r>
      <w:r w:rsidR="005E4B1E" w:rsidRPr="003749A8">
        <w:rPr>
          <w:b w:val="0"/>
        </w:rPr>
        <w:t>SECURITY</w:t>
      </w:r>
    </w:p>
    <w:p w:rsidR="005E4B1E" w:rsidRPr="003749A8" w:rsidRDefault="002904D0" w:rsidP="003749A8">
      <w:pPr>
        <w:pStyle w:val="Heading1"/>
        <w:numPr>
          <w:ilvl w:val="0"/>
          <w:numId w:val="12"/>
        </w:numPr>
        <w:tabs>
          <w:tab w:val="clear" w:pos="567"/>
        </w:tabs>
        <w:spacing w:before="60" w:after="60"/>
        <w:jc w:val="both"/>
        <w:rPr>
          <w:b w:val="0"/>
        </w:rPr>
      </w:pPr>
      <w:r w:rsidRPr="003749A8">
        <w:rPr>
          <w:b w:val="0"/>
        </w:rPr>
        <w:fldChar w:fldCharType="end"/>
      </w:r>
      <w:r w:rsidRPr="003749A8">
        <w:rPr>
          <w:b w:val="0"/>
        </w:rPr>
        <w:fldChar w:fldCharType="begin"/>
      </w:r>
      <w:r w:rsidR="005E4B1E" w:rsidRPr="003749A8">
        <w:rPr>
          <w:b w:val="0"/>
        </w:rPr>
        <w:instrText xml:space="preserve"> REF SPECIALTERMS \h </w:instrText>
      </w:r>
      <w:r w:rsidR="003749A8">
        <w:rPr>
          <w:b w:val="0"/>
        </w:rPr>
        <w:instrText xml:space="preserve"> \* MERGEFORMAT </w:instrText>
      </w:r>
      <w:r w:rsidRPr="003749A8">
        <w:rPr>
          <w:b w:val="0"/>
        </w:rPr>
      </w:r>
      <w:r w:rsidRPr="003749A8">
        <w:rPr>
          <w:b w:val="0"/>
        </w:rPr>
        <w:fldChar w:fldCharType="separate"/>
      </w:r>
      <w:r w:rsidR="005E4B1E" w:rsidRPr="003749A8">
        <w:rPr>
          <w:b w:val="0"/>
        </w:rPr>
        <w:t>SPECIAL TERMS</w:t>
      </w:r>
    </w:p>
    <w:p w:rsidR="005E4B1E" w:rsidRPr="003749A8" w:rsidRDefault="002904D0" w:rsidP="003749A8">
      <w:pPr>
        <w:pStyle w:val="Heading2"/>
        <w:numPr>
          <w:ilvl w:val="0"/>
          <w:numId w:val="12"/>
        </w:numPr>
        <w:tabs>
          <w:tab w:val="clear" w:pos="567"/>
        </w:tabs>
        <w:spacing w:before="60" w:after="60"/>
        <w:jc w:val="both"/>
        <w:rPr>
          <w:b w:val="0"/>
        </w:rPr>
      </w:pPr>
      <w:r w:rsidRPr="003749A8">
        <w:rPr>
          <w:b w:val="0"/>
        </w:rPr>
        <w:fldChar w:fldCharType="end"/>
      </w:r>
      <w:r w:rsidRPr="003749A8">
        <w:rPr>
          <w:b w:val="0"/>
        </w:rPr>
        <w:fldChar w:fldCharType="begin"/>
      </w:r>
      <w:r w:rsidR="005E4B1E" w:rsidRPr="003749A8">
        <w:rPr>
          <w:b w:val="0"/>
        </w:rPr>
        <w:instrText xml:space="preserve"> REF MANAGEMENTINFORMATIONANDREPORTIN \h </w:instrText>
      </w:r>
      <w:r w:rsidR="003749A8">
        <w:rPr>
          <w:b w:val="0"/>
        </w:rPr>
        <w:instrText xml:space="preserve"> \* MERGEFORMAT </w:instrText>
      </w:r>
      <w:r w:rsidRPr="003749A8">
        <w:rPr>
          <w:b w:val="0"/>
        </w:rPr>
      </w:r>
      <w:r w:rsidRPr="003749A8">
        <w:rPr>
          <w:b w:val="0"/>
        </w:rPr>
        <w:fldChar w:fldCharType="separate"/>
      </w:r>
      <w:r w:rsidR="005E4B1E" w:rsidRPr="003749A8">
        <w:rPr>
          <w:b w:val="0"/>
        </w:rPr>
        <w:t>MANAGEMENT INFORMATION (MI) AND REPORTING</w:t>
      </w:r>
    </w:p>
    <w:p w:rsidR="005E4B1E" w:rsidRPr="003749A8" w:rsidRDefault="002904D0" w:rsidP="003749A8">
      <w:pPr>
        <w:pStyle w:val="Heading1"/>
        <w:numPr>
          <w:ilvl w:val="0"/>
          <w:numId w:val="12"/>
        </w:numPr>
        <w:tabs>
          <w:tab w:val="clear" w:pos="567"/>
        </w:tabs>
        <w:spacing w:before="60" w:after="60"/>
        <w:jc w:val="both"/>
        <w:rPr>
          <w:b w:val="0"/>
        </w:rPr>
      </w:pPr>
      <w:r w:rsidRPr="003749A8">
        <w:rPr>
          <w:b w:val="0"/>
        </w:rPr>
        <w:fldChar w:fldCharType="end"/>
      </w:r>
      <w:r w:rsidRPr="003749A8">
        <w:rPr>
          <w:b w:val="0"/>
        </w:rPr>
        <w:fldChar w:fldCharType="begin"/>
      </w:r>
      <w:r w:rsidR="005E4B1E" w:rsidRPr="003749A8">
        <w:rPr>
          <w:b w:val="0"/>
        </w:rPr>
        <w:instrText xml:space="preserve"> REF IPR \h </w:instrText>
      </w:r>
      <w:r w:rsidR="00A14DD4" w:rsidRPr="003749A8">
        <w:rPr>
          <w:b w:val="0"/>
        </w:rPr>
        <w:instrText xml:space="preserve"> \* MERGEFORMAT </w:instrText>
      </w:r>
      <w:r w:rsidRPr="003749A8">
        <w:rPr>
          <w:b w:val="0"/>
        </w:rPr>
      </w:r>
      <w:r w:rsidRPr="003749A8">
        <w:rPr>
          <w:b w:val="0"/>
        </w:rPr>
        <w:fldChar w:fldCharType="separate"/>
      </w:r>
      <w:r w:rsidR="005E4B1E" w:rsidRPr="003749A8">
        <w:rPr>
          <w:b w:val="0"/>
        </w:rPr>
        <w:t>INTELLECTUAL PROPERTY RIGHTS (IPR)</w:t>
      </w:r>
    </w:p>
    <w:p w:rsidR="005E4B1E" w:rsidRPr="003749A8" w:rsidRDefault="002904D0" w:rsidP="003749A8">
      <w:pPr>
        <w:pStyle w:val="Heading1"/>
        <w:numPr>
          <w:ilvl w:val="0"/>
          <w:numId w:val="12"/>
        </w:numPr>
        <w:tabs>
          <w:tab w:val="clear" w:pos="567"/>
        </w:tabs>
        <w:spacing w:before="60" w:after="60"/>
        <w:jc w:val="both"/>
        <w:rPr>
          <w:b w:val="0"/>
        </w:rPr>
      </w:pPr>
      <w:r w:rsidRPr="003749A8">
        <w:rPr>
          <w:b w:val="0"/>
        </w:rPr>
        <w:fldChar w:fldCharType="end"/>
      </w:r>
      <w:r w:rsidRPr="003749A8">
        <w:rPr>
          <w:b w:val="0"/>
        </w:rPr>
        <w:fldChar w:fldCharType="begin"/>
      </w:r>
      <w:r w:rsidR="005E4B1E" w:rsidRPr="003749A8">
        <w:rPr>
          <w:b w:val="0"/>
        </w:rPr>
        <w:instrText xml:space="preserve"> REF DOCUMENTSOURCE \h </w:instrText>
      </w:r>
      <w:r w:rsidR="003749A8">
        <w:rPr>
          <w:b w:val="0"/>
        </w:rPr>
        <w:instrText xml:space="preserve"> \* MERGEFORMAT </w:instrText>
      </w:r>
      <w:r w:rsidRPr="003749A8">
        <w:rPr>
          <w:b w:val="0"/>
        </w:rPr>
      </w:r>
      <w:r w:rsidRPr="003749A8">
        <w:rPr>
          <w:b w:val="0"/>
        </w:rPr>
        <w:fldChar w:fldCharType="separate"/>
      </w:r>
      <w:r w:rsidR="005E4B1E" w:rsidRPr="003749A8">
        <w:rPr>
          <w:b w:val="0"/>
        </w:rPr>
        <w:t>DOCUMENT AND SOURCE CODE MANAGEMENT REPOSITORY</w:t>
      </w:r>
    </w:p>
    <w:p w:rsidR="005E4B1E" w:rsidRPr="003749A8" w:rsidRDefault="002904D0" w:rsidP="003749A8">
      <w:pPr>
        <w:pStyle w:val="Heading1"/>
        <w:numPr>
          <w:ilvl w:val="0"/>
          <w:numId w:val="12"/>
        </w:numPr>
        <w:tabs>
          <w:tab w:val="clear" w:pos="567"/>
        </w:tabs>
        <w:spacing w:before="60" w:after="60"/>
        <w:jc w:val="both"/>
        <w:rPr>
          <w:b w:val="0"/>
        </w:rPr>
      </w:pPr>
      <w:r w:rsidRPr="003749A8">
        <w:rPr>
          <w:b w:val="0"/>
        </w:rPr>
        <w:fldChar w:fldCharType="end"/>
      </w:r>
      <w:r w:rsidRPr="003749A8">
        <w:rPr>
          <w:b w:val="0"/>
        </w:rPr>
        <w:fldChar w:fldCharType="begin"/>
      </w:r>
      <w:r w:rsidR="005E4B1E" w:rsidRPr="003749A8">
        <w:rPr>
          <w:b w:val="0"/>
        </w:rPr>
        <w:instrText xml:space="preserve"> REF GLOSSARY \h </w:instrText>
      </w:r>
      <w:r w:rsidR="003749A8">
        <w:rPr>
          <w:b w:val="0"/>
        </w:rPr>
        <w:instrText xml:space="preserve"> \* MERGEFORMAT </w:instrText>
      </w:r>
      <w:r w:rsidRPr="003749A8">
        <w:rPr>
          <w:b w:val="0"/>
        </w:rPr>
      </w:r>
      <w:r w:rsidRPr="003749A8">
        <w:rPr>
          <w:b w:val="0"/>
        </w:rPr>
        <w:fldChar w:fldCharType="separate"/>
      </w:r>
      <w:r w:rsidR="005E4B1E" w:rsidRPr="003749A8">
        <w:rPr>
          <w:b w:val="0"/>
        </w:rPr>
        <w:t>GLOSSARY OF TERMS</w:t>
      </w:r>
    </w:p>
    <w:p w:rsidR="005E4B1E" w:rsidRPr="005E4B1E" w:rsidRDefault="002904D0" w:rsidP="003749A8">
      <w:pPr>
        <w:pStyle w:val="Heading1"/>
        <w:tabs>
          <w:tab w:val="clear" w:pos="567"/>
        </w:tabs>
        <w:spacing w:before="60" w:after="60"/>
      </w:pPr>
      <w:r w:rsidRPr="003749A8">
        <w:rPr>
          <w:b w:val="0"/>
        </w:rPr>
        <w:fldChar w:fldCharType="end"/>
      </w:r>
    </w:p>
    <w:p w:rsidR="005E4B1E" w:rsidRPr="005E4B1E" w:rsidRDefault="005E4B1E" w:rsidP="005E4B1E">
      <w:pPr>
        <w:pStyle w:val="Heading2"/>
        <w:numPr>
          <w:ilvl w:val="0"/>
          <w:numId w:val="0"/>
        </w:numPr>
        <w:tabs>
          <w:tab w:val="clear" w:pos="567"/>
        </w:tabs>
        <w:spacing w:before="60" w:after="60"/>
        <w:jc w:val="both"/>
        <w:rPr>
          <w:color w:val="4F81BD" w:themeColor="accent1"/>
          <w:sz w:val="28"/>
        </w:rPr>
      </w:pPr>
      <w:r w:rsidRPr="005E4B1E">
        <w:rPr>
          <w:color w:val="4F81BD" w:themeColor="accent1"/>
          <w:sz w:val="28"/>
        </w:rPr>
        <w:t>EVALUATION AND METHODOLOGY</w:t>
      </w:r>
    </w:p>
    <w:p w:rsidR="0001366F" w:rsidRPr="003749A8" w:rsidRDefault="002904D0" w:rsidP="003749A8">
      <w:pPr>
        <w:pStyle w:val="Heading2"/>
        <w:numPr>
          <w:ilvl w:val="0"/>
          <w:numId w:val="13"/>
        </w:numPr>
        <w:tabs>
          <w:tab w:val="clear" w:pos="567"/>
        </w:tabs>
        <w:spacing w:before="60" w:after="60"/>
        <w:ind w:left="714" w:hanging="357"/>
        <w:jc w:val="both"/>
        <w:rPr>
          <w:rFonts w:cs="Arial"/>
          <w:b w:val="0"/>
        </w:rPr>
      </w:pPr>
      <w:r w:rsidRPr="003749A8">
        <w:rPr>
          <w:rFonts w:cs="Arial"/>
          <w:b w:val="0"/>
        </w:rPr>
        <w:fldChar w:fldCharType="begin"/>
      </w:r>
      <w:r w:rsidR="0001366F" w:rsidRPr="003749A8">
        <w:rPr>
          <w:rFonts w:cs="Arial"/>
          <w:b w:val="0"/>
        </w:rPr>
        <w:instrText xml:space="preserve"> REF TOPLEVELEVALUATIONWEIGHTING \h  \* MERGEFORMAT </w:instrText>
      </w:r>
      <w:r w:rsidRPr="003749A8">
        <w:rPr>
          <w:rFonts w:cs="Arial"/>
          <w:b w:val="0"/>
        </w:rPr>
      </w:r>
      <w:r w:rsidRPr="003749A8">
        <w:rPr>
          <w:rFonts w:cs="Arial"/>
          <w:b w:val="0"/>
        </w:rPr>
        <w:fldChar w:fldCharType="separate"/>
      </w:r>
      <w:r w:rsidR="0001366F" w:rsidRPr="003749A8">
        <w:rPr>
          <w:rFonts w:cs="Arial"/>
          <w:b w:val="0"/>
        </w:rPr>
        <w:t xml:space="preserve">TOP-LEVEL EVALUATION WEIGHTING </w:t>
      </w:r>
    </w:p>
    <w:p w:rsidR="0001366F" w:rsidRPr="003749A8" w:rsidRDefault="002904D0" w:rsidP="003749A8">
      <w:pPr>
        <w:pStyle w:val="ListParagraph"/>
        <w:numPr>
          <w:ilvl w:val="0"/>
          <w:numId w:val="13"/>
        </w:numPr>
        <w:spacing w:before="60" w:after="60" w:line="240" w:lineRule="auto"/>
        <w:ind w:left="714" w:hanging="357"/>
        <w:rPr>
          <w:rFonts w:ascii="Arial" w:hAnsi="Arial" w:cs="Arial"/>
        </w:rPr>
      </w:pPr>
      <w:r w:rsidRPr="003749A8">
        <w:rPr>
          <w:rFonts w:ascii="Arial" w:hAnsi="Arial" w:cs="Arial"/>
        </w:rPr>
        <w:fldChar w:fldCharType="end"/>
      </w:r>
      <w:r w:rsidRPr="003749A8">
        <w:rPr>
          <w:rFonts w:ascii="Arial" w:eastAsiaTheme="minorHAnsi" w:hAnsi="Arial" w:cs="Arial"/>
        </w:rPr>
        <w:fldChar w:fldCharType="begin"/>
      </w:r>
      <w:r w:rsidR="0001366F" w:rsidRPr="003749A8">
        <w:rPr>
          <w:rFonts w:ascii="Arial" w:hAnsi="Arial" w:cs="Arial"/>
        </w:rPr>
        <w:instrText xml:space="preserve"> REF GENERICMARKINGSCHEME \h  \* MERGEFORMAT </w:instrText>
      </w:r>
      <w:r w:rsidRPr="003749A8">
        <w:rPr>
          <w:rFonts w:ascii="Arial" w:eastAsiaTheme="minorHAnsi" w:hAnsi="Arial" w:cs="Arial"/>
        </w:rPr>
      </w:r>
      <w:r w:rsidRPr="003749A8">
        <w:rPr>
          <w:rFonts w:ascii="Arial" w:eastAsiaTheme="minorHAnsi" w:hAnsi="Arial" w:cs="Arial"/>
        </w:rPr>
        <w:fldChar w:fldCharType="separate"/>
      </w:r>
      <w:r w:rsidR="0001366F" w:rsidRPr="003749A8">
        <w:rPr>
          <w:rFonts w:ascii="Arial" w:hAnsi="Arial" w:cs="Arial"/>
        </w:rPr>
        <w:t xml:space="preserve">GENERIC MARKING SCHEME </w:t>
      </w:r>
    </w:p>
    <w:p w:rsidR="0001366F" w:rsidRPr="003749A8" w:rsidRDefault="002904D0" w:rsidP="003749A8">
      <w:pPr>
        <w:pStyle w:val="Heading2"/>
        <w:numPr>
          <w:ilvl w:val="0"/>
          <w:numId w:val="13"/>
        </w:numPr>
        <w:tabs>
          <w:tab w:val="clear" w:pos="567"/>
          <w:tab w:val="left" w:pos="709"/>
        </w:tabs>
        <w:spacing w:before="60" w:after="60"/>
        <w:ind w:left="714" w:hanging="357"/>
        <w:jc w:val="both"/>
        <w:rPr>
          <w:rFonts w:cs="Arial"/>
          <w:b w:val="0"/>
        </w:rPr>
      </w:pPr>
      <w:r w:rsidRPr="003749A8">
        <w:rPr>
          <w:rFonts w:cs="Arial"/>
          <w:b w:val="0"/>
        </w:rPr>
        <w:fldChar w:fldCharType="end"/>
      </w:r>
      <w:r w:rsidRPr="003749A8">
        <w:rPr>
          <w:rFonts w:cs="Arial"/>
          <w:b w:val="0"/>
        </w:rPr>
        <w:fldChar w:fldCharType="begin"/>
      </w:r>
      <w:r w:rsidR="0001366F" w:rsidRPr="003749A8">
        <w:rPr>
          <w:rFonts w:cs="Arial"/>
          <w:b w:val="0"/>
        </w:rPr>
        <w:instrText xml:space="preserve"> REF EVALUATIONSTAGESANDMINIMUMPASSMARKS \h  \* MERGEFORMAT </w:instrText>
      </w:r>
      <w:r w:rsidRPr="003749A8">
        <w:rPr>
          <w:rFonts w:cs="Arial"/>
          <w:b w:val="0"/>
        </w:rPr>
      </w:r>
      <w:r w:rsidRPr="003749A8">
        <w:rPr>
          <w:rFonts w:cs="Arial"/>
          <w:b w:val="0"/>
        </w:rPr>
        <w:fldChar w:fldCharType="separate"/>
      </w:r>
      <w:r w:rsidR="0001366F" w:rsidRPr="003749A8">
        <w:rPr>
          <w:rFonts w:cs="Arial"/>
          <w:b w:val="0"/>
        </w:rPr>
        <w:t>EVALUATION STAGES AND MINIMUM PASS MARKS</w:t>
      </w:r>
    </w:p>
    <w:p w:rsidR="0001366F" w:rsidRPr="003749A8" w:rsidRDefault="002904D0" w:rsidP="003749A8">
      <w:pPr>
        <w:pStyle w:val="Heading2"/>
        <w:numPr>
          <w:ilvl w:val="0"/>
          <w:numId w:val="13"/>
        </w:numPr>
        <w:tabs>
          <w:tab w:val="clear" w:pos="567"/>
          <w:tab w:val="left" w:pos="709"/>
        </w:tabs>
        <w:spacing w:before="60" w:after="60"/>
        <w:ind w:left="714" w:hanging="357"/>
        <w:jc w:val="both"/>
        <w:rPr>
          <w:rFonts w:cs="Arial"/>
          <w:b w:val="0"/>
        </w:rPr>
      </w:pPr>
      <w:r w:rsidRPr="003749A8">
        <w:rPr>
          <w:rFonts w:cs="Arial"/>
          <w:b w:val="0"/>
        </w:rPr>
        <w:fldChar w:fldCharType="end"/>
      </w:r>
      <w:r w:rsidRPr="003749A8">
        <w:rPr>
          <w:rFonts w:cs="Arial"/>
          <w:b w:val="0"/>
        </w:rPr>
        <w:fldChar w:fldCharType="begin"/>
      </w:r>
      <w:r w:rsidR="0001366F" w:rsidRPr="003749A8">
        <w:rPr>
          <w:rFonts w:cs="Arial"/>
          <w:b w:val="0"/>
        </w:rPr>
        <w:instrText xml:space="preserve"> REF PRICESCORING \h  \* MERGEFORMAT </w:instrText>
      </w:r>
      <w:r w:rsidRPr="003749A8">
        <w:rPr>
          <w:rFonts w:cs="Arial"/>
          <w:b w:val="0"/>
        </w:rPr>
      </w:r>
      <w:r w:rsidRPr="003749A8">
        <w:rPr>
          <w:rFonts w:cs="Arial"/>
          <w:b w:val="0"/>
        </w:rPr>
        <w:fldChar w:fldCharType="separate"/>
      </w:r>
      <w:r w:rsidR="0001366F" w:rsidRPr="003749A8">
        <w:rPr>
          <w:rFonts w:cs="Arial"/>
          <w:b w:val="0"/>
        </w:rPr>
        <w:t>PRICE SCORING</w:t>
      </w:r>
    </w:p>
    <w:p w:rsidR="0001366F" w:rsidRPr="003749A8" w:rsidRDefault="002904D0" w:rsidP="003749A8">
      <w:pPr>
        <w:pStyle w:val="Heading2"/>
        <w:numPr>
          <w:ilvl w:val="0"/>
          <w:numId w:val="13"/>
        </w:numPr>
        <w:tabs>
          <w:tab w:val="clear" w:pos="567"/>
          <w:tab w:val="left" w:pos="709"/>
        </w:tabs>
        <w:spacing w:before="60" w:after="60"/>
        <w:ind w:left="714" w:hanging="357"/>
        <w:jc w:val="both"/>
        <w:rPr>
          <w:rFonts w:cs="Arial"/>
          <w:b w:val="0"/>
        </w:rPr>
      </w:pPr>
      <w:r w:rsidRPr="003749A8">
        <w:rPr>
          <w:rFonts w:cs="Arial"/>
          <w:b w:val="0"/>
        </w:rPr>
        <w:fldChar w:fldCharType="end"/>
      </w:r>
      <w:r w:rsidRPr="003749A8">
        <w:rPr>
          <w:rFonts w:eastAsiaTheme="minorHAnsi" w:cs="Arial"/>
          <w:b w:val="0"/>
        </w:rPr>
        <w:fldChar w:fldCharType="begin"/>
      </w:r>
      <w:r w:rsidR="0001366F" w:rsidRPr="003749A8">
        <w:rPr>
          <w:rFonts w:cs="Arial"/>
          <w:b w:val="0"/>
        </w:rPr>
        <w:instrText xml:space="preserve"> REF FINALEVALUATIONCALCULATION \h  \* MERGEFORMAT </w:instrText>
      </w:r>
      <w:r w:rsidRPr="003749A8">
        <w:rPr>
          <w:rFonts w:eastAsiaTheme="minorHAnsi" w:cs="Arial"/>
          <w:b w:val="0"/>
        </w:rPr>
      </w:r>
      <w:r w:rsidRPr="003749A8">
        <w:rPr>
          <w:rFonts w:eastAsiaTheme="minorHAnsi" w:cs="Arial"/>
          <w:b w:val="0"/>
        </w:rPr>
        <w:fldChar w:fldCharType="separate"/>
      </w:r>
      <w:r w:rsidR="0001366F" w:rsidRPr="003749A8">
        <w:rPr>
          <w:rFonts w:cs="Arial"/>
          <w:b w:val="0"/>
        </w:rPr>
        <w:t>FINAL EVALUATION CALCULATION</w:t>
      </w:r>
    </w:p>
    <w:p w:rsidR="00060D4C" w:rsidRPr="00060D4C" w:rsidRDefault="002904D0" w:rsidP="003749A8">
      <w:pPr>
        <w:spacing w:before="60" w:after="60" w:line="240" w:lineRule="auto"/>
        <w:ind w:left="714" w:hanging="357"/>
        <w:jc w:val="both"/>
      </w:pPr>
      <w:r w:rsidRPr="003749A8">
        <w:rPr>
          <w:rFonts w:ascii="Arial" w:hAnsi="Arial" w:cs="Arial"/>
        </w:rPr>
        <w:fldChar w:fldCharType="end"/>
      </w:r>
    </w:p>
    <w:p w:rsidR="00060D4C" w:rsidRPr="00060D4C" w:rsidRDefault="00060D4C" w:rsidP="00060D4C">
      <w:pPr>
        <w:pStyle w:val="BodyText"/>
      </w:pPr>
    </w:p>
    <w:p w:rsidR="00060D4C" w:rsidRPr="00B57219" w:rsidRDefault="00060D4C" w:rsidP="00060D4C">
      <w:pPr>
        <w:spacing w:before="120" w:after="120" w:line="240" w:lineRule="auto"/>
        <w:jc w:val="both"/>
        <w:rPr>
          <w:rFonts w:ascii="Arial" w:eastAsia="Times New Roman" w:hAnsi="Arial" w:cs="Arial"/>
          <w:b/>
          <w:color w:val="4F81BD" w:themeColor="accent1"/>
          <w:sz w:val="28"/>
          <w:szCs w:val="20"/>
        </w:rPr>
      </w:pPr>
    </w:p>
    <w:p w:rsidR="0001366F" w:rsidRDefault="0001366F">
      <w:pPr>
        <w:rPr>
          <w:rFonts w:ascii="Arial" w:hAnsi="Arial" w:cs="Arial"/>
          <w:b/>
          <w:color w:val="4F81BD" w:themeColor="accent1"/>
          <w:sz w:val="28"/>
          <w:szCs w:val="28"/>
        </w:rPr>
      </w:pPr>
      <w:r>
        <w:rPr>
          <w:rFonts w:ascii="Arial" w:hAnsi="Arial" w:cs="Arial"/>
          <w:b/>
          <w:color w:val="4F81BD" w:themeColor="accent1"/>
          <w:sz w:val="28"/>
          <w:szCs w:val="28"/>
        </w:rPr>
        <w:br w:type="page"/>
      </w:r>
    </w:p>
    <w:p w:rsidR="005E4B1E" w:rsidRPr="0001366F" w:rsidRDefault="005E4B1E" w:rsidP="0001366F">
      <w:pPr>
        <w:jc w:val="center"/>
        <w:rPr>
          <w:b/>
          <w:color w:val="4F81BD" w:themeColor="accent1"/>
          <w:sz w:val="32"/>
          <w:szCs w:val="32"/>
        </w:rPr>
      </w:pPr>
      <w:r w:rsidRPr="0001366F">
        <w:rPr>
          <w:rFonts w:ascii="Arial" w:hAnsi="Arial" w:cs="Arial"/>
          <w:b/>
          <w:color w:val="4F81BD" w:themeColor="accent1"/>
          <w:sz w:val="32"/>
          <w:szCs w:val="32"/>
        </w:rPr>
        <w:lastRenderedPageBreak/>
        <w:t xml:space="preserve">FURTHER INFORMATION </w:t>
      </w:r>
      <w:r w:rsidR="0001366F" w:rsidRPr="0001366F">
        <w:rPr>
          <w:rFonts w:ascii="Arial" w:hAnsi="Arial" w:cs="Arial"/>
          <w:b/>
          <w:color w:val="4F81BD" w:themeColor="accent1"/>
          <w:sz w:val="32"/>
          <w:szCs w:val="32"/>
        </w:rPr>
        <w:t xml:space="preserve">AND </w:t>
      </w:r>
      <w:r w:rsidRPr="0001366F">
        <w:rPr>
          <w:rFonts w:ascii="Arial" w:hAnsi="Arial" w:cs="Arial"/>
          <w:b/>
          <w:color w:val="4F81BD" w:themeColor="accent1"/>
          <w:sz w:val="32"/>
          <w:szCs w:val="32"/>
        </w:rPr>
        <w:t>GUIDANCE:</w:t>
      </w:r>
    </w:p>
    <w:p w:rsidR="005E4B1E" w:rsidRDefault="005E4B1E" w:rsidP="005E4B1E">
      <w:pPr>
        <w:pStyle w:val="Heading2"/>
        <w:numPr>
          <w:ilvl w:val="0"/>
          <w:numId w:val="0"/>
        </w:numPr>
        <w:tabs>
          <w:tab w:val="clear" w:pos="567"/>
        </w:tabs>
        <w:spacing w:after="0"/>
        <w:jc w:val="both"/>
        <w:rPr>
          <w:rFonts w:cs="Arial"/>
          <w:sz w:val="20"/>
        </w:rPr>
      </w:pPr>
    </w:p>
    <w:p w:rsidR="005E4B1E" w:rsidRPr="00C8018A" w:rsidRDefault="005E4B1E" w:rsidP="005E4B1E">
      <w:pPr>
        <w:pStyle w:val="Heading1"/>
        <w:tabs>
          <w:tab w:val="clear" w:pos="567"/>
        </w:tabs>
        <w:spacing w:after="0"/>
        <w:ind w:left="432" w:hanging="432"/>
        <w:rPr>
          <w:rFonts w:cs="Arial"/>
          <w:sz w:val="20"/>
          <w:szCs w:val="28"/>
        </w:rPr>
      </w:pPr>
      <w:bookmarkStart w:id="1" w:name="PURPOSEOFTHERFP"/>
      <w:r w:rsidRPr="00C8018A">
        <w:rPr>
          <w:rFonts w:cs="Arial"/>
          <w:sz w:val="20"/>
          <w:szCs w:val="28"/>
        </w:rPr>
        <w:t xml:space="preserve">PURPOSE OF </w:t>
      </w:r>
      <w:r>
        <w:rPr>
          <w:rFonts w:cs="Arial"/>
          <w:sz w:val="20"/>
          <w:szCs w:val="28"/>
        </w:rPr>
        <w:t xml:space="preserve">THE RFP </w:t>
      </w:r>
    </w:p>
    <w:bookmarkEnd w:id="1"/>
    <w:p w:rsidR="005E4B1E" w:rsidRDefault="005E4B1E" w:rsidP="005E4B1E">
      <w:pPr>
        <w:pStyle w:val="Heading2"/>
        <w:numPr>
          <w:ilvl w:val="0"/>
          <w:numId w:val="0"/>
        </w:numPr>
        <w:tabs>
          <w:tab w:val="clear" w:pos="567"/>
        </w:tabs>
        <w:spacing w:after="0"/>
        <w:ind w:left="709"/>
        <w:jc w:val="both"/>
        <w:rPr>
          <w:rFonts w:cs="Arial"/>
          <w:b w:val="0"/>
          <w:sz w:val="20"/>
        </w:rPr>
      </w:pPr>
      <w:r w:rsidRPr="007E60D1">
        <w:rPr>
          <w:rFonts w:cs="Arial"/>
          <w:b w:val="0"/>
          <w:sz w:val="20"/>
        </w:rPr>
        <w:t xml:space="preserve">The purpose of </w:t>
      </w:r>
      <w:r>
        <w:rPr>
          <w:rFonts w:cs="Arial"/>
          <w:b w:val="0"/>
          <w:sz w:val="20"/>
        </w:rPr>
        <w:t>the</w:t>
      </w:r>
      <w:r w:rsidRPr="007E60D1">
        <w:rPr>
          <w:rFonts w:cs="Arial"/>
          <w:b w:val="0"/>
          <w:sz w:val="20"/>
        </w:rPr>
        <w:t xml:space="preserve"> </w:t>
      </w:r>
      <w:r>
        <w:rPr>
          <w:rFonts w:cs="Arial"/>
          <w:b w:val="0"/>
          <w:sz w:val="20"/>
        </w:rPr>
        <w:t>RFP</w:t>
      </w:r>
      <w:r w:rsidRPr="007E60D1">
        <w:rPr>
          <w:rFonts w:cs="Arial"/>
          <w:b w:val="0"/>
          <w:sz w:val="20"/>
        </w:rPr>
        <w:t xml:space="preserve"> is to identify one or more suitable Potential Providers who can demonstrate their ability to meet the Digital Service project outcomes and user needs to discover, design, create and deliver an online solution that best meets the specification of requirements. </w:t>
      </w:r>
    </w:p>
    <w:p w:rsidR="005E4B1E" w:rsidRPr="000D0F00" w:rsidRDefault="005E4B1E" w:rsidP="005E4B1E">
      <w:pPr>
        <w:pStyle w:val="BodyText"/>
        <w:spacing w:after="0" w:line="240" w:lineRule="auto"/>
        <w:ind w:left="709"/>
        <w:jc w:val="both"/>
      </w:pPr>
    </w:p>
    <w:p w:rsidR="005E4B1E" w:rsidRPr="007E60D1" w:rsidRDefault="005E4B1E" w:rsidP="005E4B1E">
      <w:pPr>
        <w:pStyle w:val="Heading2"/>
        <w:numPr>
          <w:ilvl w:val="0"/>
          <w:numId w:val="0"/>
        </w:numPr>
        <w:tabs>
          <w:tab w:val="clear" w:pos="567"/>
        </w:tabs>
        <w:spacing w:after="0"/>
        <w:ind w:left="709"/>
        <w:jc w:val="both"/>
        <w:rPr>
          <w:rFonts w:cs="Arial"/>
          <w:b w:val="0"/>
          <w:sz w:val="20"/>
        </w:rPr>
      </w:pPr>
      <w:r w:rsidRPr="007E60D1">
        <w:rPr>
          <w:rFonts w:cs="Arial"/>
          <w:b w:val="0"/>
          <w:sz w:val="20"/>
        </w:rPr>
        <w:t xml:space="preserve">The objective for the Potential Provider is to supply a team of people to deliver a digital project utilising the required capabilities, delivered by the optimum numbers and blend of Roles, filled by people with the right skills at the right time and place, which are aligned with the principles of the </w:t>
      </w:r>
      <w:r w:rsidR="00D56151">
        <w:rPr>
          <w:rFonts w:cs="Arial"/>
          <w:b w:val="0"/>
          <w:sz w:val="20"/>
        </w:rPr>
        <w:t>Government Service Design Manual (G</w:t>
      </w:r>
      <w:r w:rsidRPr="007E60D1">
        <w:rPr>
          <w:rFonts w:cs="Arial"/>
          <w:b w:val="0"/>
          <w:sz w:val="20"/>
        </w:rPr>
        <w:t>SDM</w:t>
      </w:r>
      <w:r w:rsidR="00D56151">
        <w:rPr>
          <w:rFonts w:cs="Arial"/>
          <w:b w:val="0"/>
          <w:sz w:val="20"/>
        </w:rPr>
        <w:t>)</w:t>
      </w:r>
      <w:r w:rsidRPr="007E60D1">
        <w:rPr>
          <w:rFonts w:cs="Arial"/>
          <w:b w:val="0"/>
          <w:sz w:val="20"/>
        </w:rPr>
        <w:t xml:space="preserve"> and standards of </w:t>
      </w:r>
      <w:r w:rsidR="00D56151">
        <w:rPr>
          <w:rFonts w:cs="Arial"/>
          <w:b w:val="0"/>
          <w:sz w:val="20"/>
        </w:rPr>
        <w:t>Digital by Default Standards (</w:t>
      </w:r>
      <w:r w:rsidRPr="007E60D1">
        <w:rPr>
          <w:rFonts w:cs="Arial"/>
          <w:b w:val="0"/>
          <w:sz w:val="20"/>
        </w:rPr>
        <w:t>DbD</w:t>
      </w:r>
      <w:r w:rsidR="00D56151">
        <w:rPr>
          <w:rFonts w:cs="Arial"/>
          <w:b w:val="0"/>
          <w:sz w:val="20"/>
        </w:rPr>
        <w:t>)</w:t>
      </w:r>
      <w:r w:rsidRPr="007E60D1">
        <w:rPr>
          <w:rFonts w:cs="Arial"/>
          <w:b w:val="0"/>
          <w:sz w:val="20"/>
        </w:rPr>
        <w:t>.</w:t>
      </w:r>
    </w:p>
    <w:p w:rsidR="005E4B1E" w:rsidRDefault="005E4B1E" w:rsidP="005E4B1E">
      <w:pPr>
        <w:pStyle w:val="Heading2"/>
        <w:numPr>
          <w:ilvl w:val="0"/>
          <w:numId w:val="0"/>
        </w:numPr>
        <w:tabs>
          <w:tab w:val="clear" w:pos="567"/>
        </w:tabs>
        <w:spacing w:after="0"/>
        <w:ind w:left="709"/>
        <w:jc w:val="both"/>
        <w:rPr>
          <w:rFonts w:cs="Arial"/>
          <w:b w:val="0"/>
          <w:sz w:val="20"/>
        </w:rPr>
      </w:pPr>
      <w:r w:rsidRPr="007E60D1">
        <w:rPr>
          <w:rFonts w:cs="Arial"/>
          <w:b w:val="0"/>
          <w:sz w:val="20"/>
        </w:rPr>
        <w:t xml:space="preserve">Information contained within this document is confidential and must not be revealed to any third party without prior written consent from </w:t>
      </w:r>
      <w:r>
        <w:rPr>
          <w:rFonts w:cs="Arial"/>
          <w:b w:val="0"/>
          <w:sz w:val="20"/>
        </w:rPr>
        <w:t>CCS</w:t>
      </w:r>
      <w:r w:rsidRPr="007E60D1">
        <w:rPr>
          <w:rFonts w:cs="Arial"/>
          <w:b w:val="0"/>
          <w:sz w:val="20"/>
        </w:rPr>
        <w:t>.</w:t>
      </w:r>
    </w:p>
    <w:p w:rsidR="005E4B1E" w:rsidRDefault="005E4B1E" w:rsidP="005E4B1E">
      <w:pPr>
        <w:pStyle w:val="Heading2"/>
        <w:numPr>
          <w:ilvl w:val="0"/>
          <w:numId w:val="0"/>
        </w:numPr>
        <w:tabs>
          <w:tab w:val="clear" w:pos="567"/>
        </w:tabs>
        <w:spacing w:after="0"/>
        <w:ind w:left="709"/>
        <w:jc w:val="both"/>
        <w:rPr>
          <w:rFonts w:cs="Arial"/>
          <w:b w:val="0"/>
          <w:sz w:val="20"/>
        </w:rPr>
      </w:pPr>
    </w:p>
    <w:p w:rsidR="005E4B1E" w:rsidRDefault="005E4B1E" w:rsidP="005E4B1E">
      <w:pPr>
        <w:pStyle w:val="Heading2"/>
        <w:numPr>
          <w:ilvl w:val="0"/>
          <w:numId w:val="0"/>
        </w:numPr>
        <w:tabs>
          <w:tab w:val="clear" w:pos="567"/>
        </w:tabs>
        <w:spacing w:after="0"/>
        <w:ind w:left="709"/>
        <w:jc w:val="both"/>
        <w:rPr>
          <w:rFonts w:cs="Arial"/>
          <w:b w:val="0"/>
          <w:sz w:val="20"/>
        </w:rPr>
      </w:pPr>
      <w:r w:rsidRPr="007E60D1">
        <w:rPr>
          <w:rFonts w:cs="Arial"/>
          <w:b w:val="0"/>
          <w:sz w:val="20"/>
        </w:rPr>
        <w:t xml:space="preserve">The Customer reserves the right not to proceed with this Further Competition or to award any Call-Off Contract. Nothing shall constitute a commitment to ordering until the Customer has confirmed a </w:t>
      </w:r>
      <w:r w:rsidR="00D56151">
        <w:rPr>
          <w:rFonts w:cs="Arial"/>
          <w:b w:val="0"/>
          <w:sz w:val="20"/>
        </w:rPr>
        <w:t>Schedule of Work (</w:t>
      </w:r>
      <w:r w:rsidRPr="007E60D1">
        <w:rPr>
          <w:rFonts w:cs="Arial"/>
          <w:b w:val="0"/>
          <w:sz w:val="20"/>
        </w:rPr>
        <w:t>SOW</w:t>
      </w:r>
      <w:r w:rsidR="00D56151">
        <w:rPr>
          <w:rFonts w:cs="Arial"/>
          <w:b w:val="0"/>
          <w:sz w:val="20"/>
        </w:rPr>
        <w:t>)</w:t>
      </w:r>
      <w:r w:rsidRPr="007E60D1">
        <w:rPr>
          <w:rFonts w:cs="Arial"/>
          <w:b w:val="0"/>
          <w:sz w:val="20"/>
        </w:rPr>
        <w:t xml:space="preserve"> and placed a purchase order with the winning </w:t>
      </w:r>
      <w:r w:rsidR="00D56151">
        <w:rPr>
          <w:rFonts w:cs="Arial"/>
          <w:b w:val="0"/>
          <w:sz w:val="20"/>
        </w:rPr>
        <w:t>providers</w:t>
      </w:r>
      <w:r w:rsidRPr="007E60D1">
        <w:rPr>
          <w:rFonts w:cs="Arial"/>
          <w:b w:val="0"/>
          <w:sz w:val="20"/>
        </w:rPr>
        <w:t>. For the avoidance of doubt this right shall remain in force before and after the Evaluation.</w:t>
      </w:r>
    </w:p>
    <w:p w:rsidR="005E4B1E" w:rsidRDefault="005E4B1E" w:rsidP="005E4B1E">
      <w:pPr>
        <w:pStyle w:val="Heading1"/>
        <w:tabs>
          <w:tab w:val="clear" w:pos="567"/>
        </w:tabs>
        <w:spacing w:after="0"/>
        <w:ind w:left="432" w:hanging="432"/>
        <w:jc w:val="both"/>
        <w:rPr>
          <w:rFonts w:cs="Arial"/>
          <w:sz w:val="20"/>
        </w:rPr>
      </w:pPr>
    </w:p>
    <w:p w:rsidR="005E4B1E" w:rsidRPr="00D728D2" w:rsidRDefault="005E4B1E" w:rsidP="005E4B1E">
      <w:pPr>
        <w:pStyle w:val="BodyText"/>
        <w:spacing w:after="0" w:line="240" w:lineRule="auto"/>
      </w:pPr>
    </w:p>
    <w:p w:rsidR="005E4B1E" w:rsidRPr="007E60D1" w:rsidRDefault="005E4B1E" w:rsidP="005E4B1E">
      <w:pPr>
        <w:pStyle w:val="Heading1"/>
        <w:tabs>
          <w:tab w:val="clear" w:pos="567"/>
        </w:tabs>
        <w:spacing w:after="0"/>
        <w:ind w:left="432" w:hanging="432"/>
        <w:jc w:val="both"/>
        <w:rPr>
          <w:rFonts w:cs="Arial"/>
          <w:sz w:val="20"/>
        </w:rPr>
      </w:pPr>
      <w:bookmarkStart w:id="2" w:name="CONTRACTINGAUTHORITYANDHIGHLEVELRES"/>
      <w:r w:rsidRPr="007E60D1">
        <w:rPr>
          <w:rFonts w:cs="Arial"/>
          <w:sz w:val="20"/>
        </w:rPr>
        <w:t>CONTRACTING AUTHORITY AND HIGH-LEVEL RESPONSIBILITIES</w:t>
      </w:r>
    </w:p>
    <w:bookmarkEnd w:id="2"/>
    <w:p w:rsidR="005E4B1E" w:rsidRPr="007E60D1" w:rsidRDefault="005E4B1E" w:rsidP="003749A8">
      <w:pPr>
        <w:pStyle w:val="Heading2"/>
        <w:numPr>
          <w:ilvl w:val="0"/>
          <w:numId w:val="6"/>
        </w:numPr>
        <w:tabs>
          <w:tab w:val="clear" w:pos="567"/>
        </w:tabs>
        <w:spacing w:after="0"/>
        <w:ind w:left="709"/>
        <w:jc w:val="both"/>
        <w:rPr>
          <w:rFonts w:cs="Arial"/>
          <w:b w:val="0"/>
          <w:sz w:val="20"/>
        </w:rPr>
      </w:pPr>
      <w:r w:rsidRPr="007E60D1">
        <w:rPr>
          <w:rFonts w:cs="Arial"/>
          <w:b w:val="0"/>
          <w:sz w:val="20"/>
        </w:rPr>
        <w:t xml:space="preserve">Under the terms of the Framework Agreement, </w:t>
      </w:r>
      <w:r>
        <w:rPr>
          <w:rFonts w:cs="Arial"/>
          <w:b w:val="0"/>
          <w:sz w:val="20"/>
        </w:rPr>
        <w:t>CCS</w:t>
      </w:r>
      <w:r w:rsidRPr="007E60D1">
        <w:rPr>
          <w:rFonts w:cs="Arial"/>
          <w:b w:val="0"/>
          <w:sz w:val="20"/>
        </w:rPr>
        <w:t xml:space="preserve"> is the contracting Authority for Call-Off Contracts for the Customer, devolved administrations, arms length bodies and executive agencies supporting them in the Further Competition for digital services.  </w:t>
      </w:r>
    </w:p>
    <w:p w:rsidR="005E4B1E" w:rsidRPr="007E60D1" w:rsidRDefault="005E4B1E" w:rsidP="003749A8">
      <w:pPr>
        <w:pStyle w:val="Heading2"/>
        <w:numPr>
          <w:ilvl w:val="0"/>
          <w:numId w:val="6"/>
        </w:numPr>
        <w:tabs>
          <w:tab w:val="clear" w:pos="567"/>
        </w:tabs>
        <w:spacing w:after="0"/>
        <w:ind w:left="709"/>
        <w:jc w:val="both"/>
        <w:rPr>
          <w:rFonts w:cs="Arial"/>
          <w:b w:val="0"/>
          <w:sz w:val="20"/>
        </w:rPr>
      </w:pPr>
      <w:r>
        <w:rPr>
          <w:rFonts w:cs="Arial"/>
          <w:b w:val="0"/>
          <w:sz w:val="20"/>
        </w:rPr>
        <w:t>CCS</w:t>
      </w:r>
      <w:r w:rsidRPr="007E60D1">
        <w:rPr>
          <w:rFonts w:cs="Arial"/>
          <w:b w:val="0"/>
          <w:sz w:val="20"/>
        </w:rPr>
        <w:t xml:space="preserve">, as the contracting Authority for </w:t>
      </w:r>
      <w:r w:rsidR="00316E3C">
        <w:rPr>
          <w:rFonts w:cs="Arial"/>
          <w:b w:val="0"/>
          <w:sz w:val="20"/>
        </w:rPr>
        <w:t xml:space="preserve">the </w:t>
      </w:r>
      <w:r w:rsidRPr="007E60D1">
        <w:rPr>
          <w:rFonts w:cs="Arial"/>
          <w:b w:val="0"/>
          <w:sz w:val="20"/>
        </w:rPr>
        <w:t>Customer will manage this Further Competition.</w:t>
      </w:r>
    </w:p>
    <w:p w:rsidR="005E4B1E" w:rsidRPr="007E60D1" w:rsidRDefault="005E4B1E" w:rsidP="003749A8">
      <w:pPr>
        <w:pStyle w:val="Heading2"/>
        <w:numPr>
          <w:ilvl w:val="0"/>
          <w:numId w:val="6"/>
        </w:numPr>
        <w:tabs>
          <w:tab w:val="clear" w:pos="567"/>
        </w:tabs>
        <w:spacing w:after="0"/>
        <w:ind w:left="709"/>
        <w:jc w:val="both"/>
        <w:rPr>
          <w:rFonts w:cs="Arial"/>
          <w:b w:val="0"/>
          <w:sz w:val="20"/>
        </w:rPr>
      </w:pPr>
      <w:r w:rsidRPr="007E60D1">
        <w:rPr>
          <w:rFonts w:cs="Arial"/>
          <w:b w:val="0"/>
          <w:sz w:val="20"/>
        </w:rPr>
        <w:t>In the context of this Further Competition, Government Digital Service (GDS) will support the Customer to define and create an appropriate requirements specification and an evaluation criterion, based on the Customer’s required outcomes and user needs.</w:t>
      </w:r>
    </w:p>
    <w:p w:rsidR="005E4B1E" w:rsidRPr="007E60D1" w:rsidRDefault="005E4B1E" w:rsidP="003749A8">
      <w:pPr>
        <w:pStyle w:val="Heading2"/>
        <w:numPr>
          <w:ilvl w:val="0"/>
          <w:numId w:val="6"/>
        </w:numPr>
        <w:tabs>
          <w:tab w:val="clear" w:pos="567"/>
        </w:tabs>
        <w:spacing w:after="0"/>
        <w:ind w:left="709"/>
        <w:jc w:val="both"/>
        <w:rPr>
          <w:rFonts w:cs="Arial"/>
          <w:b w:val="0"/>
          <w:sz w:val="20"/>
        </w:rPr>
      </w:pPr>
      <w:r w:rsidRPr="007E60D1">
        <w:rPr>
          <w:rFonts w:cs="Arial"/>
          <w:b w:val="0"/>
          <w:sz w:val="20"/>
        </w:rPr>
        <w:t xml:space="preserve">This Further Competition may be transacted via the </w:t>
      </w:r>
      <w:r>
        <w:rPr>
          <w:rFonts w:cs="Arial"/>
          <w:b w:val="0"/>
          <w:sz w:val="20"/>
        </w:rPr>
        <w:t>CCS eSourcing</w:t>
      </w:r>
      <w:r w:rsidRPr="007E60D1">
        <w:rPr>
          <w:rFonts w:cs="Arial"/>
          <w:b w:val="0"/>
          <w:sz w:val="20"/>
        </w:rPr>
        <w:t xml:space="preserve"> tool, to ensure fair and open competition.</w:t>
      </w:r>
    </w:p>
    <w:p w:rsidR="005E4B1E" w:rsidRPr="007E60D1" w:rsidRDefault="005E4B1E" w:rsidP="003749A8">
      <w:pPr>
        <w:pStyle w:val="Heading2"/>
        <w:numPr>
          <w:ilvl w:val="0"/>
          <w:numId w:val="6"/>
        </w:numPr>
        <w:tabs>
          <w:tab w:val="clear" w:pos="567"/>
        </w:tabs>
        <w:spacing w:after="0"/>
        <w:ind w:left="709"/>
        <w:jc w:val="both"/>
        <w:rPr>
          <w:rFonts w:cs="Arial"/>
          <w:b w:val="0"/>
          <w:sz w:val="20"/>
        </w:rPr>
      </w:pPr>
      <w:r w:rsidRPr="007E60D1">
        <w:rPr>
          <w:rFonts w:cs="Arial"/>
          <w:b w:val="0"/>
          <w:sz w:val="20"/>
        </w:rPr>
        <w:t xml:space="preserve">Any Call-Off Contract and SOWs will be owned by </w:t>
      </w:r>
      <w:r>
        <w:rPr>
          <w:rFonts w:cs="Arial"/>
          <w:b w:val="0"/>
          <w:sz w:val="20"/>
        </w:rPr>
        <w:t>CCS</w:t>
      </w:r>
      <w:r w:rsidRPr="007E60D1">
        <w:rPr>
          <w:rFonts w:cs="Arial"/>
          <w:b w:val="0"/>
          <w:sz w:val="20"/>
        </w:rPr>
        <w:t xml:space="preserve">, using the Digital Service Framework terms plus SOW-specific </w:t>
      </w:r>
      <w:r w:rsidRPr="00340346">
        <w:rPr>
          <w:rFonts w:cs="Arial"/>
          <w:b w:val="0"/>
          <w:sz w:val="20"/>
        </w:rPr>
        <w:t>requirements (please see Call-Off Order Form and Contract - Appendix E).</w:t>
      </w:r>
    </w:p>
    <w:p w:rsidR="005E4B1E" w:rsidRPr="007E60D1" w:rsidRDefault="005E4B1E" w:rsidP="003749A8">
      <w:pPr>
        <w:pStyle w:val="Heading2"/>
        <w:numPr>
          <w:ilvl w:val="0"/>
          <w:numId w:val="6"/>
        </w:numPr>
        <w:tabs>
          <w:tab w:val="clear" w:pos="567"/>
        </w:tabs>
        <w:spacing w:after="0"/>
        <w:ind w:left="709"/>
        <w:jc w:val="both"/>
        <w:rPr>
          <w:rFonts w:cs="Arial"/>
          <w:b w:val="0"/>
          <w:sz w:val="20"/>
        </w:rPr>
      </w:pPr>
      <w:r w:rsidRPr="007E60D1">
        <w:rPr>
          <w:rFonts w:cs="Arial"/>
          <w:b w:val="0"/>
          <w:sz w:val="20"/>
        </w:rPr>
        <w:t>Any purchase order relating to SOWs will be transacted by the Customer.</w:t>
      </w:r>
    </w:p>
    <w:p w:rsidR="005E4B1E" w:rsidRPr="007E60D1" w:rsidRDefault="005E4B1E" w:rsidP="003749A8">
      <w:pPr>
        <w:pStyle w:val="Heading2"/>
        <w:numPr>
          <w:ilvl w:val="0"/>
          <w:numId w:val="6"/>
        </w:numPr>
        <w:tabs>
          <w:tab w:val="clear" w:pos="567"/>
        </w:tabs>
        <w:spacing w:after="0"/>
        <w:ind w:left="709"/>
        <w:jc w:val="both"/>
        <w:rPr>
          <w:rFonts w:cs="Arial"/>
          <w:b w:val="0"/>
          <w:sz w:val="20"/>
        </w:rPr>
      </w:pPr>
      <w:r w:rsidRPr="007E60D1">
        <w:rPr>
          <w:rFonts w:cs="Arial"/>
          <w:b w:val="0"/>
          <w:sz w:val="20"/>
        </w:rPr>
        <w:t>The Customer will have operational and delivery responsibility for managing specific areas of the final Call-Off Contract.</w:t>
      </w:r>
    </w:p>
    <w:p w:rsidR="005E4B1E" w:rsidRPr="007E60D1" w:rsidRDefault="005E4B1E" w:rsidP="003749A8">
      <w:pPr>
        <w:pStyle w:val="Heading2"/>
        <w:numPr>
          <w:ilvl w:val="0"/>
          <w:numId w:val="6"/>
        </w:numPr>
        <w:tabs>
          <w:tab w:val="clear" w:pos="567"/>
        </w:tabs>
        <w:spacing w:after="0"/>
        <w:ind w:left="709"/>
        <w:jc w:val="both"/>
        <w:rPr>
          <w:rFonts w:cs="Arial"/>
          <w:b w:val="0"/>
          <w:sz w:val="20"/>
        </w:rPr>
      </w:pPr>
      <w:bookmarkStart w:id="3" w:name="_Toc374881615"/>
      <w:bookmarkStart w:id="4" w:name="_Toc374881616"/>
      <w:bookmarkStart w:id="5" w:name="_Toc374881617"/>
      <w:bookmarkStart w:id="6" w:name="_Toc374881618"/>
      <w:bookmarkStart w:id="7" w:name="_Toc374881619"/>
      <w:bookmarkStart w:id="8" w:name="_Toc374881620"/>
      <w:bookmarkStart w:id="9" w:name="_Toc374881621"/>
      <w:bookmarkStart w:id="10" w:name="_Toc374881622"/>
      <w:bookmarkStart w:id="11" w:name="_Toc374881623"/>
      <w:bookmarkStart w:id="12" w:name="_Toc374881624"/>
      <w:bookmarkStart w:id="13" w:name="_Toc374881625"/>
      <w:bookmarkStart w:id="14" w:name="_Toc374881626"/>
      <w:bookmarkStart w:id="15" w:name="_Toc374881627"/>
      <w:bookmarkStart w:id="16" w:name="_Toc374881628"/>
      <w:bookmarkStart w:id="17" w:name="_Toc374881629"/>
      <w:bookmarkStart w:id="18" w:name="_Toc374881630"/>
      <w:bookmarkStart w:id="19" w:name="_Toc374881631"/>
      <w:bookmarkStart w:id="20" w:name="_Toc374881632"/>
      <w:bookmarkStart w:id="21" w:name="_Toc374881633"/>
      <w:bookmarkStart w:id="22" w:name="_Toc37488163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7E60D1">
        <w:rPr>
          <w:rFonts w:cs="Arial"/>
          <w:b w:val="0"/>
          <w:sz w:val="20"/>
        </w:rPr>
        <w:t xml:space="preserve">This procurement will be transacted via the </w:t>
      </w:r>
      <w:r>
        <w:rPr>
          <w:rFonts w:cs="Arial"/>
          <w:b w:val="0"/>
          <w:sz w:val="20"/>
        </w:rPr>
        <w:t>CCS eSourcing</w:t>
      </w:r>
      <w:r w:rsidRPr="007E60D1">
        <w:rPr>
          <w:rFonts w:cs="Arial"/>
          <w:b w:val="0"/>
          <w:sz w:val="20"/>
        </w:rPr>
        <w:t xml:space="preserve"> tool, to ensure fair and open competition.  For the avoidance of doubt, GDS will not participate in the scoring and evaluation of the RFP exercise, nor will they be party to information contained within the </w:t>
      </w:r>
      <w:r w:rsidR="00D56151">
        <w:rPr>
          <w:rFonts w:cs="Arial"/>
          <w:b w:val="0"/>
          <w:sz w:val="20"/>
        </w:rPr>
        <w:t xml:space="preserve">Potential Providers </w:t>
      </w:r>
      <w:r w:rsidRPr="007E60D1">
        <w:rPr>
          <w:rFonts w:cs="Arial"/>
          <w:b w:val="0"/>
          <w:sz w:val="20"/>
        </w:rPr>
        <w:t xml:space="preserve">responses until point of contract award with the successful </w:t>
      </w:r>
      <w:r w:rsidR="00D56151">
        <w:rPr>
          <w:rFonts w:cs="Arial"/>
          <w:b w:val="0"/>
          <w:sz w:val="20"/>
        </w:rPr>
        <w:t>Provider</w:t>
      </w:r>
      <w:r w:rsidRPr="007E60D1">
        <w:rPr>
          <w:rFonts w:cs="Arial"/>
          <w:b w:val="0"/>
          <w:sz w:val="20"/>
        </w:rPr>
        <w:t>.</w:t>
      </w:r>
    </w:p>
    <w:p w:rsidR="005E4B1E" w:rsidRDefault="005E4B1E" w:rsidP="005E4B1E">
      <w:pPr>
        <w:pStyle w:val="Heading2"/>
        <w:numPr>
          <w:ilvl w:val="0"/>
          <w:numId w:val="0"/>
        </w:numPr>
        <w:tabs>
          <w:tab w:val="clear" w:pos="567"/>
        </w:tabs>
        <w:spacing w:after="0"/>
        <w:jc w:val="both"/>
        <w:rPr>
          <w:rFonts w:cs="Arial"/>
          <w:sz w:val="20"/>
        </w:rPr>
      </w:pPr>
    </w:p>
    <w:p w:rsidR="005E4B1E" w:rsidRDefault="005E4B1E" w:rsidP="005E4B1E">
      <w:pPr>
        <w:pStyle w:val="Heading2"/>
        <w:numPr>
          <w:ilvl w:val="0"/>
          <w:numId w:val="0"/>
        </w:numPr>
        <w:tabs>
          <w:tab w:val="clear" w:pos="567"/>
        </w:tabs>
        <w:spacing w:after="0"/>
        <w:jc w:val="both"/>
        <w:rPr>
          <w:rFonts w:cs="Arial"/>
          <w:sz w:val="20"/>
        </w:rPr>
      </w:pPr>
    </w:p>
    <w:p w:rsidR="005E4B1E" w:rsidRPr="00D815EB" w:rsidRDefault="005E4B1E" w:rsidP="005E4B1E">
      <w:pPr>
        <w:pStyle w:val="Heading2"/>
        <w:numPr>
          <w:ilvl w:val="0"/>
          <w:numId w:val="0"/>
        </w:numPr>
        <w:tabs>
          <w:tab w:val="clear" w:pos="567"/>
        </w:tabs>
        <w:spacing w:after="0"/>
        <w:jc w:val="both"/>
        <w:rPr>
          <w:rFonts w:cs="Arial"/>
          <w:sz w:val="20"/>
        </w:rPr>
      </w:pPr>
      <w:bookmarkStart w:id="23" w:name="YOURPRICERESPONSE"/>
      <w:r>
        <w:rPr>
          <w:rFonts w:cs="Arial"/>
          <w:sz w:val="20"/>
        </w:rPr>
        <w:t xml:space="preserve">YOUR </w:t>
      </w:r>
      <w:r w:rsidRPr="00D815EB">
        <w:rPr>
          <w:rFonts w:cs="Arial"/>
          <w:sz w:val="20"/>
        </w:rPr>
        <w:t>PRICE RESPONSE</w:t>
      </w:r>
    </w:p>
    <w:bookmarkEnd w:id="23"/>
    <w:p w:rsidR="005E4B1E" w:rsidRPr="000D0F00" w:rsidRDefault="005E4B1E" w:rsidP="005E4B1E">
      <w:pPr>
        <w:pStyle w:val="Heading2"/>
        <w:numPr>
          <w:ilvl w:val="0"/>
          <w:numId w:val="0"/>
        </w:numPr>
        <w:tabs>
          <w:tab w:val="clear" w:pos="567"/>
        </w:tabs>
        <w:spacing w:after="0"/>
        <w:ind w:left="720"/>
        <w:jc w:val="both"/>
        <w:rPr>
          <w:rFonts w:cs="Arial"/>
          <w:b w:val="0"/>
          <w:sz w:val="20"/>
        </w:rPr>
      </w:pPr>
      <w:r w:rsidRPr="000D0F00">
        <w:rPr>
          <w:rFonts w:cs="Arial"/>
          <w:b w:val="0"/>
          <w:sz w:val="20"/>
        </w:rPr>
        <w:t>When requested, Potential Providers must be prepared to provide a transparent cost breakdown.</w:t>
      </w:r>
    </w:p>
    <w:p w:rsidR="005E4B1E" w:rsidRDefault="005E4B1E" w:rsidP="005E4B1E">
      <w:pPr>
        <w:pStyle w:val="Heading2"/>
        <w:numPr>
          <w:ilvl w:val="0"/>
          <w:numId w:val="0"/>
        </w:numPr>
        <w:tabs>
          <w:tab w:val="clear" w:pos="567"/>
        </w:tabs>
        <w:spacing w:after="0"/>
        <w:ind w:left="720"/>
        <w:jc w:val="both"/>
        <w:rPr>
          <w:rFonts w:cs="Arial"/>
          <w:b w:val="0"/>
          <w:sz w:val="20"/>
        </w:rPr>
      </w:pPr>
      <w:r w:rsidRPr="000D0F00">
        <w:rPr>
          <w:rFonts w:cs="Arial"/>
          <w:b w:val="0"/>
          <w:sz w:val="20"/>
        </w:rPr>
        <w:t xml:space="preserve">It should include but not be limited to; showing full cost transparency of Contract Charges, include details of direct and indirect costs, overheads, salary costs of Staff, material costs and other labour costs to a level of detail agreed in advance with the Customer/ </w:t>
      </w:r>
      <w:r>
        <w:rPr>
          <w:rFonts w:cs="Arial"/>
          <w:b w:val="0"/>
          <w:sz w:val="20"/>
        </w:rPr>
        <w:t>CCS</w:t>
      </w:r>
      <w:r w:rsidRPr="000D0F00">
        <w:rPr>
          <w:rFonts w:cs="Arial"/>
          <w:b w:val="0"/>
          <w:sz w:val="20"/>
        </w:rPr>
        <w:t>.</w:t>
      </w:r>
    </w:p>
    <w:p w:rsidR="005E4B1E" w:rsidRPr="00D728D2" w:rsidRDefault="005E4B1E" w:rsidP="005E4B1E">
      <w:pPr>
        <w:pStyle w:val="BodyText"/>
        <w:spacing w:after="0" w:line="240" w:lineRule="auto"/>
        <w:ind w:left="720"/>
      </w:pPr>
    </w:p>
    <w:p w:rsidR="005E4B1E" w:rsidRDefault="005E4B1E" w:rsidP="005E4B1E">
      <w:pPr>
        <w:pStyle w:val="Heading2"/>
        <w:numPr>
          <w:ilvl w:val="0"/>
          <w:numId w:val="0"/>
        </w:numPr>
        <w:tabs>
          <w:tab w:val="clear" w:pos="567"/>
        </w:tabs>
        <w:spacing w:after="0"/>
        <w:ind w:left="720"/>
        <w:jc w:val="both"/>
        <w:rPr>
          <w:rFonts w:cs="Arial"/>
          <w:b w:val="0"/>
          <w:sz w:val="20"/>
        </w:rPr>
      </w:pPr>
      <w:r w:rsidRPr="000D0F00">
        <w:rPr>
          <w:rFonts w:cs="Arial"/>
          <w:b w:val="0"/>
          <w:sz w:val="20"/>
        </w:rPr>
        <w:t xml:space="preserve">Any and all costs associated with the production of such a response must be borne by the Potential Provider. Neither the Customer nor GDS or </w:t>
      </w:r>
      <w:r>
        <w:rPr>
          <w:rFonts w:cs="Arial"/>
          <w:b w:val="0"/>
          <w:sz w:val="20"/>
        </w:rPr>
        <w:t>CCS</w:t>
      </w:r>
      <w:r w:rsidRPr="000D0F00">
        <w:rPr>
          <w:rFonts w:cs="Arial"/>
          <w:b w:val="0"/>
          <w:sz w:val="20"/>
        </w:rPr>
        <w:t xml:space="preserve"> will contribute in any way to meeting the Potential Provider’s production costs associated with any response to this RFP.</w:t>
      </w:r>
    </w:p>
    <w:p w:rsidR="005E4B1E" w:rsidRDefault="005E4B1E" w:rsidP="005E4B1E">
      <w:pPr>
        <w:pStyle w:val="BodyText"/>
        <w:spacing w:after="0" w:line="240" w:lineRule="auto"/>
      </w:pPr>
    </w:p>
    <w:p w:rsidR="005E4B1E" w:rsidRDefault="005E4B1E">
      <w:r>
        <w:br w:type="page"/>
      </w:r>
    </w:p>
    <w:p w:rsidR="005E4B1E" w:rsidRPr="00D728D2" w:rsidRDefault="005E4B1E" w:rsidP="005E4B1E">
      <w:pPr>
        <w:pStyle w:val="BodyText"/>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8"/>
        <w:gridCol w:w="7444"/>
      </w:tblGrid>
      <w:tr w:rsidR="005E4B1E" w:rsidRPr="006244CE" w:rsidTr="0001366F">
        <w:trPr>
          <w:trHeight w:val="1136"/>
        </w:trPr>
        <w:tc>
          <w:tcPr>
            <w:tcW w:w="2518" w:type="dxa"/>
            <w:shd w:val="clear" w:color="auto" w:fill="C6D9F1" w:themeFill="text2" w:themeFillTint="33"/>
            <w:vAlign w:val="center"/>
          </w:tcPr>
          <w:p w:rsidR="005E4B1E" w:rsidRPr="006244CE" w:rsidRDefault="005E4B1E" w:rsidP="0001366F">
            <w:pPr>
              <w:pStyle w:val="Heading2"/>
              <w:numPr>
                <w:ilvl w:val="0"/>
                <w:numId w:val="0"/>
              </w:numPr>
              <w:tabs>
                <w:tab w:val="clear" w:pos="567"/>
              </w:tabs>
              <w:spacing w:after="0"/>
              <w:outlineLvl w:val="1"/>
              <w:rPr>
                <w:rFonts w:cs="Arial"/>
                <w:sz w:val="20"/>
              </w:rPr>
            </w:pPr>
            <w:r w:rsidRPr="006244CE">
              <w:rPr>
                <w:rFonts w:cs="Arial"/>
                <w:sz w:val="20"/>
              </w:rPr>
              <w:t>Technical / Cultural Fit / Commercial Response Guidance</w:t>
            </w:r>
          </w:p>
          <w:p w:rsidR="005E4B1E" w:rsidRPr="00D815EB" w:rsidRDefault="005E4B1E" w:rsidP="0001366F">
            <w:pPr>
              <w:pStyle w:val="BodyText"/>
              <w:spacing w:after="0"/>
              <w:rPr>
                <w:rFonts w:ascii="Arial" w:hAnsi="Arial" w:cs="Arial"/>
                <w:b/>
              </w:rPr>
            </w:pPr>
            <w:r w:rsidRPr="006244CE">
              <w:rPr>
                <w:rFonts w:ascii="Arial" w:hAnsi="Arial" w:cs="Arial"/>
                <w:b/>
                <w:sz w:val="20"/>
              </w:rPr>
              <w:t>(non Price)</w:t>
            </w:r>
          </w:p>
        </w:tc>
        <w:tc>
          <w:tcPr>
            <w:tcW w:w="7444" w:type="dxa"/>
            <w:shd w:val="clear" w:color="auto" w:fill="auto"/>
            <w:vAlign w:val="center"/>
          </w:tcPr>
          <w:p w:rsidR="005E4B1E" w:rsidRPr="006244CE" w:rsidRDefault="005E4B1E" w:rsidP="0001366F">
            <w:pPr>
              <w:pStyle w:val="Heading2"/>
              <w:numPr>
                <w:ilvl w:val="0"/>
                <w:numId w:val="0"/>
              </w:numPr>
              <w:tabs>
                <w:tab w:val="clear" w:pos="567"/>
              </w:tabs>
              <w:spacing w:after="0"/>
              <w:outlineLvl w:val="1"/>
              <w:rPr>
                <w:rFonts w:cs="Arial"/>
                <w:sz w:val="20"/>
              </w:rPr>
            </w:pPr>
            <w:r w:rsidRPr="006244CE">
              <w:rPr>
                <w:rFonts w:cs="Arial"/>
                <w:b w:val="0"/>
                <w:sz w:val="20"/>
              </w:rPr>
              <w:t>The Potential Provider’s written response should follow the instructions provided in the enclosed A</w:t>
            </w:r>
            <w:r>
              <w:rPr>
                <w:rFonts w:cs="Arial"/>
                <w:b w:val="0"/>
                <w:sz w:val="20"/>
              </w:rPr>
              <w:t>ward Questionnaire (Appendix C</w:t>
            </w:r>
            <w:r w:rsidRPr="006244CE">
              <w:rPr>
                <w:rFonts w:cs="Arial"/>
                <w:b w:val="0"/>
                <w:sz w:val="20"/>
              </w:rPr>
              <w:t>) and should correspond with</w:t>
            </w:r>
            <w:r>
              <w:rPr>
                <w:rFonts w:cs="Arial"/>
                <w:b w:val="0"/>
                <w:sz w:val="20"/>
              </w:rPr>
              <w:t xml:space="preserve"> your submitted Pricing Matrix (</w:t>
            </w:r>
            <w:r w:rsidRPr="006244CE">
              <w:rPr>
                <w:rFonts w:cs="Arial"/>
                <w:b w:val="0"/>
                <w:sz w:val="20"/>
              </w:rPr>
              <w:t xml:space="preserve">Appendix </w:t>
            </w:r>
            <w:r>
              <w:rPr>
                <w:rFonts w:cs="Arial"/>
                <w:b w:val="0"/>
                <w:sz w:val="20"/>
              </w:rPr>
              <w:t>B)</w:t>
            </w:r>
            <w:r w:rsidRPr="006244CE">
              <w:rPr>
                <w:rFonts w:cs="Arial"/>
                <w:b w:val="0"/>
                <w:sz w:val="20"/>
              </w:rPr>
              <w:t>; these combined documents will represent the complete response to this RFP.</w:t>
            </w:r>
          </w:p>
        </w:tc>
      </w:tr>
      <w:tr w:rsidR="005E4B1E" w:rsidRPr="006244CE" w:rsidTr="0001366F">
        <w:trPr>
          <w:trHeight w:val="3831"/>
        </w:trPr>
        <w:tc>
          <w:tcPr>
            <w:tcW w:w="2518" w:type="dxa"/>
            <w:shd w:val="clear" w:color="auto" w:fill="C6D9F1" w:themeFill="text2" w:themeFillTint="33"/>
            <w:vAlign w:val="center"/>
          </w:tcPr>
          <w:p w:rsidR="005E4B1E" w:rsidRPr="006244CE" w:rsidRDefault="005E4B1E" w:rsidP="0001366F">
            <w:pPr>
              <w:pStyle w:val="Heading2"/>
              <w:numPr>
                <w:ilvl w:val="0"/>
                <w:numId w:val="0"/>
              </w:numPr>
              <w:tabs>
                <w:tab w:val="clear" w:pos="567"/>
              </w:tabs>
              <w:spacing w:after="0"/>
              <w:outlineLvl w:val="1"/>
              <w:rPr>
                <w:rFonts w:cs="Arial"/>
                <w:sz w:val="20"/>
              </w:rPr>
            </w:pPr>
            <w:r w:rsidRPr="006244CE">
              <w:rPr>
                <w:rFonts w:cs="Arial"/>
                <w:sz w:val="20"/>
              </w:rPr>
              <w:t>Price Response Guidance</w:t>
            </w:r>
          </w:p>
          <w:p w:rsidR="005E4B1E" w:rsidRPr="006244CE" w:rsidRDefault="005E4B1E" w:rsidP="0001366F">
            <w:pPr>
              <w:pStyle w:val="BodyText"/>
              <w:spacing w:after="0"/>
              <w:rPr>
                <w:rFonts w:ascii="Arial" w:hAnsi="Arial" w:cs="Arial"/>
                <w:b/>
                <w:sz w:val="20"/>
                <w:szCs w:val="20"/>
              </w:rPr>
            </w:pPr>
          </w:p>
        </w:tc>
        <w:tc>
          <w:tcPr>
            <w:tcW w:w="7444" w:type="dxa"/>
            <w:shd w:val="clear" w:color="auto" w:fill="auto"/>
            <w:vAlign w:val="center"/>
          </w:tcPr>
          <w:p w:rsidR="005E4B1E" w:rsidRPr="006244CE" w:rsidRDefault="005E4B1E" w:rsidP="0001366F">
            <w:pPr>
              <w:pStyle w:val="Heading2"/>
              <w:numPr>
                <w:ilvl w:val="0"/>
                <w:numId w:val="0"/>
              </w:numPr>
              <w:tabs>
                <w:tab w:val="clear" w:pos="567"/>
              </w:tabs>
              <w:spacing w:after="0"/>
              <w:outlineLvl w:val="1"/>
              <w:rPr>
                <w:rFonts w:cs="Arial"/>
                <w:b w:val="0"/>
                <w:sz w:val="20"/>
              </w:rPr>
            </w:pPr>
            <w:r>
              <w:rPr>
                <w:rFonts w:cs="Arial"/>
                <w:b w:val="0"/>
                <w:sz w:val="20"/>
              </w:rPr>
              <w:t xml:space="preserve">Using the enclosed Pricing Matrix (Appendix B). </w:t>
            </w:r>
            <w:r w:rsidRPr="006244CE">
              <w:rPr>
                <w:rFonts w:cs="Arial"/>
                <w:b w:val="0"/>
                <w:sz w:val="20"/>
              </w:rPr>
              <w:t>Potential Providers should complete the following information as part of their response to this RFP:</w:t>
            </w:r>
          </w:p>
          <w:p w:rsidR="005E4B1E" w:rsidRPr="006244CE" w:rsidRDefault="005E4B1E" w:rsidP="003749A8">
            <w:pPr>
              <w:pStyle w:val="Heading4"/>
              <w:numPr>
                <w:ilvl w:val="3"/>
                <w:numId w:val="5"/>
              </w:numPr>
              <w:tabs>
                <w:tab w:val="clear" w:pos="284"/>
              </w:tabs>
              <w:ind w:left="709" w:hanging="425"/>
              <w:jc w:val="left"/>
              <w:outlineLvl w:val="3"/>
              <w:rPr>
                <w:rFonts w:cs="Arial"/>
                <w:sz w:val="20"/>
                <w:u w:val="none"/>
              </w:rPr>
            </w:pPr>
            <w:r w:rsidRPr="006244CE">
              <w:rPr>
                <w:rFonts w:cs="Arial"/>
                <w:sz w:val="20"/>
                <w:u w:val="none"/>
              </w:rPr>
              <w:t>Day rates for each Role proposed (failure to provide a price for all the roles in a Lot will mean that the Potential Provider is excluded from participation)</w:t>
            </w:r>
          </w:p>
          <w:p w:rsidR="00FE026E" w:rsidRPr="00FE026E" w:rsidRDefault="005E4B1E" w:rsidP="003749A8">
            <w:pPr>
              <w:pStyle w:val="Heading4"/>
              <w:numPr>
                <w:ilvl w:val="3"/>
                <w:numId w:val="5"/>
              </w:numPr>
              <w:tabs>
                <w:tab w:val="clear" w:pos="284"/>
              </w:tabs>
              <w:ind w:left="709" w:hanging="425"/>
              <w:jc w:val="left"/>
              <w:outlineLvl w:val="3"/>
              <w:rPr>
                <w:rFonts w:cs="Arial"/>
                <w:sz w:val="20"/>
                <w:u w:val="none"/>
              </w:rPr>
            </w:pPr>
            <w:r w:rsidRPr="006244CE">
              <w:rPr>
                <w:rFonts w:cs="Arial"/>
                <w:sz w:val="20"/>
                <w:u w:val="none"/>
              </w:rPr>
              <w:t>Travel and Subsistence</w:t>
            </w:r>
            <w:r w:rsidR="00FE026E">
              <w:rPr>
                <w:rFonts w:cs="Arial"/>
                <w:sz w:val="20"/>
                <w:u w:val="none"/>
              </w:rPr>
              <w:t xml:space="preserve"> (T&amp;S)</w:t>
            </w:r>
            <w:r w:rsidRPr="006244CE">
              <w:rPr>
                <w:rFonts w:cs="Arial"/>
                <w:sz w:val="20"/>
                <w:u w:val="none"/>
              </w:rPr>
              <w:t xml:space="preserve"> expenses relating to the deployment of the Potential Provider’s staff to fulfil these Roles at the Customer’s Project Locations, itemised separately, but should be exclusive of VAT, which will be fixed for the duration of any resulting Call-Off Contract)</w:t>
            </w:r>
            <w:r w:rsidR="00FE026E">
              <w:rPr>
                <w:rFonts w:cs="Arial"/>
                <w:sz w:val="20"/>
                <w:u w:val="none"/>
              </w:rPr>
              <w:t xml:space="preserve">.  </w:t>
            </w:r>
            <w:r w:rsidR="00FE026E" w:rsidRPr="00FE026E">
              <w:rPr>
                <w:rFonts w:cs="Arial"/>
                <w:sz w:val="20"/>
                <w:u w:val="none"/>
              </w:rPr>
              <w:t>T&amp;S should only be included where relevant to the individuals in the proposed team, ie if any live locally (within 30 miles of the Customer location we would not expect to pay any T&amp;S, for any others T&amp;S needs to reflect what will actually be applicable and within the Customer’s T&amp;S expense policy maximums defined in Appendix A)</w:t>
            </w:r>
          </w:p>
          <w:p w:rsidR="00316E3C" w:rsidRPr="00316E3C" w:rsidRDefault="005E4B1E" w:rsidP="00316E3C">
            <w:pPr>
              <w:pStyle w:val="Heading4"/>
              <w:numPr>
                <w:ilvl w:val="3"/>
                <w:numId w:val="5"/>
              </w:numPr>
              <w:tabs>
                <w:tab w:val="clear" w:pos="284"/>
              </w:tabs>
              <w:ind w:left="709" w:hanging="425"/>
              <w:jc w:val="left"/>
              <w:outlineLvl w:val="3"/>
              <w:rPr>
                <w:rFonts w:cs="Arial"/>
                <w:sz w:val="20"/>
                <w:u w:val="none"/>
                <w:lang w:eastAsia="en-US"/>
              </w:rPr>
            </w:pPr>
            <w:r w:rsidRPr="00316E3C">
              <w:rPr>
                <w:rFonts w:cs="Arial"/>
                <w:sz w:val="20"/>
                <w:u w:val="none"/>
              </w:rPr>
              <w:t xml:space="preserve">Any travel </w:t>
            </w:r>
            <w:r w:rsidRPr="00316E3C">
              <w:rPr>
                <w:rFonts w:cs="Arial"/>
                <w:i/>
                <w:sz w:val="20"/>
                <w:u w:val="none"/>
              </w:rPr>
              <w:t>required</w:t>
            </w:r>
            <w:r w:rsidRPr="00316E3C">
              <w:rPr>
                <w:rFonts w:cs="Arial"/>
                <w:sz w:val="20"/>
                <w:u w:val="none"/>
              </w:rPr>
              <w:t xml:space="preserve"> in addition to or outside of the Customer’s Project Locations will only be paid if agreed by the Customer in advance and in-line with the Customer’s own travel policy limits.</w:t>
            </w:r>
          </w:p>
          <w:p w:rsidR="00316E3C" w:rsidRPr="00316E3C" w:rsidRDefault="005E4B1E" w:rsidP="00316E3C">
            <w:pPr>
              <w:pStyle w:val="Heading4"/>
              <w:numPr>
                <w:ilvl w:val="3"/>
                <w:numId w:val="5"/>
              </w:numPr>
              <w:tabs>
                <w:tab w:val="clear" w:pos="284"/>
              </w:tabs>
              <w:ind w:left="709" w:hanging="425"/>
              <w:jc w:val="left"/>
              <w:outlineLvl w:val="3"/>
              <w:rPr>
                <w:rFonts w:cs="Arial"/>
                <w:sz w:val="20"/>
                <w:u w:val="none"/>
                <w:lang w:eastAsia="en-US"/>
              </w:rPr>
            </w:pPr>
            <w:r w:rsidRPr="00316E3C">
              <w:rPr>
                <w:rFonts w:cs="Arial"/>
                <w:sz w:val="20"/>
                <w:u w:val="none"/>
              </w:rPr>
              <w:t>The Potential Provider should provide the discount structure as per its Framework Agreement.</w:t>
            </w:r>
          </w:p>
          <w:p w:rsidR="005E4B1E" w:rsidRPr="00316E3C" w:rsidRDefault="005E4B1E" w:rsidP="00316E3C">
            <w:pPr>
              <w:pStyle w:val="Heading4"/>
              <w:numPr>
                <w:ilvl w:val="3"/>
                <w:numId w:val="5"/>
              </w:numPr>
              <w:tabs>
                <w:tab w:val="clear" w:pos="284"/>
              </w:tabs>
              <w:ind w:left="709" w:hanging="425"/>
              <w:jc w:val="left"/>
              <w:outlineLvl w:val="3"/>
              <w:rPr>
                <w:rFonts w:cs="Arial"/>
                <w:sz w:val="20"/>
                <w:u w:val="none"/>
                <w:lang w:eastAsia="en-US"/>
              </w:rPr>
            </w:pPr>
            <w:r w:rsidRPr="00316E3C">
              <w:rPr>
                <w:rFonts w:cs="Arial"/>
                <w:sz w:val="20"/>
                <w:u w:val="none"/>
              </w:rPr>
              <w:t>For capped price model – actual time incurred is chargeable up to the agreed cap.</w:t>
            </w:r>
          </w:p>
        </w:tc>
      </w:tr>
    </w:tbl>
    <w:p w:rsidR="005E4B1E" w:rsidRDefault="005E4B1E" w:rsidP="005E4B1E">
      <w:pPr>
        <w:pStyle w:val="Heading1"/>
        <w:tabs>
          <w:tab w:val="clear" w:pos="567"/>
        </w:tabs>
        <w:spacing w:after="0"/>
        <w:ind w:left="432" w:hanging="432"/>
        <w:rPr>
          <w:rFonts w:cs="Arial"/>
          <w:sz w:val="20"/>
        </w:rPr>
      </w:pPr>
      <w:bookmarkStart w:id="24" w:name="_Toc246749085"/>
      <w:bookmarkStart w:id="25" w:name="_Toc373944861"/>
      <w:bookmarkStart w:id="26" w:name="_Toc374950695"/>
    </w:p>
    <w:p w:rsidR="005E4B1E" w:rsidRPr="00D728D2" w:rsidRDefault="005E4B1E" w:rsidP="005E4B1E">
      <w:pPr>
        <w:pStyle w:val="BodyText"/>
        <w:spacing w:after="0" w:line="240" w:lineRule="auto"/>
      </w:pPr>
    </w:p>
    <w:p w:rsidR="005E4B1E" w:rsidRDefault="005E4B1E" w:rsidP="005E4B1E">
      <w:pPr>
        <w:pStyle w:val="Heading1"/>
        <w:tabs>
          <w:tab w:val="clear" w:pos="567"/>
        </w:tabs>
        <w:spacing w:after="0"/>
        <w:ind w:left="432" w:hanging="432"/>
        <w:rPr>
          <w:rFonts w:cs="Arial"/>
          <w:sz w:val="20"/>
        </w:rPr>
      </w:pPr>
      <w:bookmarkStart w:id="27" w:name="SCOPE"/>
      <w:r w:rsidRPr="007E60D1">
        <w:rPr>
          <w:rFonts w:cs="Arial"/>
          <w:sz w:val="20"/>
        </w:rPr>
        <w:t>SCOPE</w:t>
      </w:r>
      <w:bookmarkEnd w:id="24"/>
      <w:bookmarkEnd w:id="25"/>
      <w:bookmarkEnd w:id="26"/>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18"/>
        <w:gridCol w:w="7444"/>
      </w:tblGrid>
      <w:tr w:rsidR="005E4B1E" w:rsidRPr="00B00AB0" w:rsidTr="005E4B1E">
        <w:tc>
          <w:tcPr>
            <w:tcW w:w="1264" w:type="pct"/>
            <w:shd w:val="clear" w:color="auto" w:fill="C6D9F1" w:themeFill="text2" w:themeFillTint="33"/>
          </w:tcPr>
          <w:bookmarkEnd w:id="27"/>
          <w:p w:rsidR="005E4B1E" w:rsidRPr="00316E3C" w:rsidRDefault="005E4B1E" w:rsidP="005E4B1E">
            <w:pPr>
              <w:pStyle w:val="Heading1"/>
              <w:tabs>
                <w:tab w:val="clear" w:pos="567"/>
              </w:tabs>
              <w:spacing w:after="0"/>
              <w:ind w:left="432" w:hanging="432"/>
              <w:jc w:val="both"/>
              <w:outlineLvl w:val="0"/>
              <w:rPr>
                <w:rFonts w:cs="Arial"/>
                <w:sz w:val="20"/>
              </w:rPr>
            </w:pPr>
            <w:r w:rsidRPr="00316E3C">
              <w:rPr>
                <w:rFonts w:cs="Arial"/>
                <w:sz w:val="20"/>
              </w:rPr>
              <w:t>In Scope</w:t>
            </w:r>
          </w:p>
          <w:p w:rsidR="005E4B1E" w:rsidRPr="00316E3C" w:rsidRDefault="005E4B1E" w:rsidP="005E4B1E">
            <w:pPr>
              <w:pStyle w:val="Heading1"/>
              <w:tabs>
                <w:tab w:val="clear" w:pos="567"/>
              </w:tabs>
              <w:spacing w:after="0"/>
              <w:jc w:val="both"/>
              <w:outlineLvl w:val="0"/>
              <w:rPr>
                <w:rFonts w:cs="Arial"/>
                <w:sz w:val="20"/>
              </w:rPr>
            </w:pPr>
          </w:p>
        </w:tc>
        <w:tc>
          <w:tcPr>
            <w:tcW w:w="3736" w:type="pct"/>
          </w:tcPr>
          <w:p w:rsidR="005E4B1E" w:rsidRPr="00316E3C" w:rsidRDefault="005E4B1E" w:rsidP="005E4B1E">
            <w:pPr>
              <w:pStyle w:val="Heading2"/>
              <w:numPr>
                <w:ilvl w:val="0"/>
                <w:numId w:val="0"/>
              </w:numPr>
              <w:tabs>
                <w:tab w:val="clear" w:pos="567"/>
              </w:tabs>
              <w:spacing w:after="0"/>
              <w:jc w:val="both"/>
              <w:outlineLvl w:val="1"/>
              <w:rPr>
                <w:rFonts w:cs="Arial"/>
                <w:b w:val="0"/>
                <w:sz w:val="20"/>
              </w:rPr>
            </w:pPr>
            <w:r w:rsidRPr="00316E3C">
              <w:rPr>
                <w:rFonts w:cs="Arial"/>
                <w:b w:val="0"/>
                <w:sz w:val="20"/>
              </w:rPr>
              <w:t>The scope of this Further Competition is to establi</w:t>
            </w:r>
            <w:r w:rsidR="00173815">
              <w:rPr>
                <w:rFonts w:cs="Arial"/>
                <w:b w:val="0"/>
                <w:sz w:val="20"/>
              </w:rPr>
              <w:t xml:space="preserve">sh a Call-Off Contract for the Phases defined within Appendix A </w:t>
            </w:r>
            <w:r w:rsidRPr="00316E3C">
              <w:rPr>
                <w:rFonts w:cs="Arial"/>
                <w:b w:val="0"/>
                <w:sz w:val="20"/>
              </w:rPr>
              <w:t xml:space="preserve">of </w:t>
            </w:r>
            <w:r w:rsidR="00173815">
              <w:rPr>
                <w:rFonts w:cs="Arial"/>
                <w:b w:val="0"/>
                <w:sz w:val="20"/>
              </w:rPr>
              <w:t>this</w:t>
            </w:r>
            <w:r w:rsidRPr="00316E3C">
              <w:rPr>
                <w:rFonts w:cs="Arial"/>
                <w:b w:val="0"/>
                <w:sz w:val="20"/>
              </w:rPr>
              <w:t xml:space="preserve"> Project</w:t>
            </w:r>
            <w:r w:rsidR="00173815">
              <w:rPr>
                <w:rFonts w:cs="Arial"/>
                <w:b w:val="0"/>
                <w:sz w:val="20"/>
              </w:rPr>
              <w:t>,</w:t>
            </w:r>
            <w:r w:rsidRPr="00316E3C">
              <w:rPr>
                <w:rFonts w:cs="Arial"/>
                <w:b w:val="0"/>
                <w:sz w:val="20"/>
              </w:rPr>
              <w:t xml:space="preserve"> for a Digital Service using an agile delivery methodology. </w:t>
            </w:r>
          </w:p>
          <w:p w:rsidR="005E4B1E" w:rsidRPr="00316E3C" w:rsidRDefault="005E4B1E" w:rsidP="005E4B1E">
            <w:pPr>
              <w:pStyle w:val="Heading2"/>
              <w:numPr>
                <w:ilvl w:val="0"/>
                <w:numId w:val="0"/>
              </w:numPr>
              <w:tabs>
                <w:tab w:val="clear" w:pos="567"/>
              </w:tabs>
              <w:spacing w:after="0"/>
              <w:jc w:val="both"/>
              <w:outlineLvl w:val="1"/>
              <w:rPr>
                <w:rFonts w:cs="Arial"/>
                <w:b w:val="0"/>
                <w:sz w:val="20"/>
              </w:rPr>
            </w:pPr>
          </w:p>
          <w:p w:rsidR="005E4B1E" w:rsidRPr="00316E3C" w:rsidRDefault="005E4B1E" w:rsidP="005E4B1E">
            <w:pPr>
              <w:pStyle w:val="Heading2"/>
              <w:numPr>
                <w:ilvl w:val="0"/>
                <w:numId w:val="0"/>
              </w:numPr>
              <w:tabs>
                <w:tab w:val="clear" w:pos="567"/>
              </w:tabs>
              <w:spacing w:after="0"/>
              <w:jc w:val="both"/>
              <w:outlineLvl w:val="1"/>
              <w:rPr>
                <w:rFonts w:cs="Arial"/>
                <w:b w:val="0"/>
                <w:sz w:val="20"/>
              </w:rPr>
            </w:pPr>
            <w:r w:rsidRPr="00316E3C">
              <w:rPr>
                <w:rFonts w:cs="Arial"/>
                <w:b w:val="0"/>
                <w:sz w:val="20"/>
              </w:rPr>
              <w:t>The Call-Off Contract provides the cover to raise potentially multiple SOWs – within stated Phase scope detailed above; this may be one or more Phases. There is no commitment to raise SOWs under this Call-Off Contract, and the Call-Off Contract will expire on completion of SOW or 1 month after commencement of the Call-Off Contract.</w:t>
            </w:r>
          </w:p>
        </w:tc>
      </w:tr>
      <w:tr w:rsidR="005E4B1E" w:rsidTr="005E4B1E">
        <w:tc>
          <w:tcPr>
            <w:tcW w:w="1264" w:type="pct"/>
            <w:shd w:val="clear" w:color="auto" w:fill="C6D9F1" w:themeFill="text2" w:themeFillTint="33"/>
          </w:tcPr>
          <w:p w:rsidR="005E4B1E" w:rsidRPr="00316E3C" w:rsidRDefault="005E4B1E" w:rsidP="005E4B1E">
            <w:pPr>
              <w:pStyle w:val="Heading2"/>
              <w:numPr>
                <w:ilvl w:val="0"/>
                <w:numId w:val="0"/>
              </w:numPr>
              <w:tabs>
                <w:tab w:val="clear" w:pos="567"/>
              </w:tabs>
              <w:spacing w:after="0"/>
              <w:jc w:val="both"/>
              <w:outlineLvl w:val="1"/>
              <w:rPr>
                <w:rFonts w:cs="Arial"/>
                <w:sz w:val="20"/>
              </w:rPr>
            </w:pPr>
            <w:r w:rsidRPr="00316E3C">
              <w:rPr>
                <w:rFonts w:cs="Arial"/>
                <w:sz w:val="20"/>
              </w:rPr>
              <w:t>Out of Scope</w:t>
            </w:r>
          </w:p>
          <w:p w:rsidR="005E4B1E" w:rsidRPr="00316E3C" w:rsidRDefault="005E4B1E" w:rsidP="005E4B1E">
            <w:pPr>
              <w:pStyle w:val="Heading1"/>
              <w:tabs>
                <w:tab w:val="clear" w:pos="567"/>
              </w:tabs>
              <w:spacing w:after="0"/>
              <w:jc w:val="both"/>
              <w:outlineLvl w:val="0"/>
              <w:rPr>
                <w:rFonts w:cs="Arial"/>
                <w:sz w:val="20"/>
              </w:rPr>
            </w:pPr>
          </w:p>
        </w:tc>
        <w:tc>
          <w:tcPr>
            <w:tcW w:w="3736" w:type="pct"/>
          </w:tcPr>
          <w:p w:rsidR="005E4B1E" w:rsidRPr="00316E3C" w:rsidRDefault="005E4B1E" w:rsidP="005E4B1E">
            <w:pPr>
              <w:pStyle w:val="Heading2"/>
              <w:numPr>
                <w:ilvl w:val="0"/>
                <w:numId w:val="0"/>
              </w:numPr>
              <w:tabs>
                <w:tab w:val="clear" w:pos="567"/>
              </w:tabs>
              <w:spacing w:after="0"/>
              <w:jc w:val="both"/>
              <w:outlineLvl w:val="1"/>
              <w:rPr>
                <w:rFonts w:cs="Arial"/>
                <w:b w:val="0"/>
                <w:sz w:val="20"/>
              </w:rPr>
            </w:pPr>
            <w:r w:rsidRPr="00316E3C">
              <w:rPr>
                <w:rFonts w:cs="Arial"/>
                <w:b w:val="0"/>
                <w:sz w:val="20"/>
              </w:rPr>
              <w:t>Products and services Out of Scope, include, but are not limited to, any/all hardware &amp; infrastructure, hosting, software or software licensing, or non digital software development services, networks, connectivity services, consultancy services or contractors.  CCS will advise on suitable Framework Agreements for these.</w:t>
            </w:r>
          </w:p>
        </w:tc>
      </w:tr>
    </w:tbl>
    <w:p w:rsidR="005E4B1E" w:rsidRDefault="005E4B1E" w:rsidP="005E4B1E">
      <w:pPr>
        <w:pStyle w:val="Heading2"/>
        <w:numPr>
          <w:ilvl w:val="0"/>
          <w:numId w:val="0"/>
        </w:numPr>
        <w:tabs>
          <w:tab w:val="clear" w:pos="567"/>
        </w:tabs>
        <w:spacing w:after="0"/>
        <w:rPr>
          <w:rFonts w:cs="Arial"/>
          <w:sz w:val="20"/>
        </w:rPr>
      </w:pPr>
    </w:p>
    <w:p w:rsidR="005E4B1E" w:rsidRPr="00D728D2" w:rsidRDefault="005E4B1E" w:rsidP="005E4B1E">
      <w:pPr>
        <w:pStyle w:val="BodyText"/>
        <w:spacing w:after="0" w:line="240" w:lineRule="auto"/>
      </w:pPr>
    </w:p>
    <w:p w:rsidR="005E4B1E" w:rsidRPr="007E60D1" w:rsidRDefault="005E4B1E" w:rsidP="005E4B1E">
      <w:pPr>
        <w:pStyle w:val="Heading2"/>
        <w:numPr>
          <w:ilvl w:val="0"/>
          <w:numId w:val="0"/>
        </w:numPr>
        <w:tabs>
          <w:tab w:val="clear" w:pos="567"/>
        </w:tabs>
        <w:spacing w:after="0"/>
        <w:jc w:val="both"/>
        <w:rPr>
          <w:rFonts w:cs="Arial"/>
          <w:sz w:val="20"/>
        </w:rPr>
      </w:pPr>
      <w:bookmarkStart w:id="28" w:name="ACCEPTANCEOFSUBMISSIONS"/>
      <w:bookmarkStart w:id="29" w:name="_Toc246749087"/>
      <w:bookmarkStart w:id="30" w:name="_Toc373944865"/>
      <w:bookmarkStart w:id="31" w:name="_Toc374950699"/>
      <w:bookmarkStart w:id="32" w:name="_Toc246749094"/>
      <w:r w:rsidRPr="007E60D1">
        <w:rPr>
          <w:rFonts w:cs="Arial"/>
          <w:sz w:val="20"/>
        </w:rPr>
        <w:t>ACCEPTANCE OF SUBMISSION</w:t>
      </w:r>
      <w:r>
        <w:rPr>
          <w:rFonts w:cs="Arial"/>
          <w:sz w:val="20"/>
        </w:rPr>
        <w:t>S:</w:t>
      </w:r>
    </w:p>
    <w:bookmarkEnd w:id="28"/>
    <w:p w:rsidR="005E4B1E" w:rsidRPr="007E60D1" w:rsidRDefault="005E4B1E" w:rsidP="005E4B1E">
      <w:pPr>
        <w:pStyle w:val="Heading2"/>
        <w:numPr>
          <w:ilvl w:val="0"/>
          <w:numId w:val="0"/>
        </w:numPr>
        <w:tabs>
          <w:tab w:val="clear" w:pos="567"/>
        </w:tabs>
        <w:spacing w:after="0"/>
        <w:ind w:left="720"/>
        <w:jc w:val="both"/>
        <w:rPr>
          <w:rFonts w:cs="Arial"/>
          <w:b w:val="0"/>
          <w:sz w:val="20"/>
        </w:rPr>
      </w:pPr>
      <w:r w:rsidRPr="007E60D1">
        <w:rPr>
          <w:rFonts w:cs="Arial"/>
          <w:b w:val="0"/>
          <w:sz w:val="20"/>
        </w:rPr>
        <w:t xml:space="preserve">By issuing this RFP the Customer is not bound in any way and does not have to accept the lowest Price or any </w:t>
      </w:r>
      <w:r>
        <w:rPr>
          <w:rFonts w:cs="Arial"/>
          <w:b w:val="0"/>
          <w:sz w:val="20"/>
        </w:rPr>
        <w:t>provider</w:t>
      </w:r>
      <w:r w:rsidRPr="007E60D1">
        <w:rPr>
          <w:rFonts w:cs="Arial"/>
          <w:b w:val="0"/>
          <w:sz w:val="20"/>
        </w:rPr>
        <w:t xml:space="preserve">, and reserves the right to accept a portion of any </w:t>
      </w:r>
      <w:r>
        <w:rPr>
          <w:rFonts w:cs="Arial"/>
          <w:b w:val="0"/>
          <w:sz w:val="20"/>
        </w:rPr>
        <w:t>submission</w:t>
      </w:r>
      <w:r w:rsidRPr="007E60D1">
        <w:rPr>
          <w:rFonts w:cs="Arial"/>
          <w:b w:val="0"/>
          <w:sz w:val="20"/>
        </w:rPr>
        <w:t xml:space="preserve">, unless the </w:t>
      </w:r>
      <w:r>
        <w:rPr>
          <w:rFonts w:cs="Arial"/>
          <w:b w:val="0"/>
          <w:sz w:val="20"/>
        </w:rPr>
        <w:t>Potential Provider</w:t>
      </w:r>
      <w:r w:rsidRPr="007E60D1">
        <w:rPr>
          <w:rFonts w:cs="Arial"/>
          <w:b w:val="0"/>
          <w:sz w:val="20"/>
        </w:rPr>
        <w:t xml:space="preserve"> expressly stipulates</w:t>
      </w:r>
      <w:r>
        <w:rPr>
          <w:rFonts w:cs="Arial"/>
          <w:b w:val="0"/>
          <w:sz w:val="20"/>
        </w:rPr>
        <w:t xml:space="preserve"> </w:t>
      </w:r>
      <w:r w:rsidRPr="007E60D1">
        <w:rPr>
          <w:rFonts w:cs="Arial"/>
          <w:b w:val="0"/>
          <w:sz w:val="20"/>
        </w:rPr>
        <w:t xml:space="preserve">otherwise in their </w:t>
      </w:r>
      <w:r>
        <w:rPr>
          <w:rFonts w:cs="Arial"/>
          <w:b w:val="0"/>
          <w:sz w:val="20"/>
        </w:rPr>
        <w:t>submission</w:t>
      </w:r>
      <w:r w:rsidRPr="007E60D1">
        <w:rPr>
          <w:rFonts w:cs="Arial"/>
          <w:b w:val="0"/>
          <w:sz w:val="20"/>
        </w:rPr>
        <w:t>.</w:t>
      </w:r>
    </w:p>
    <w:p w:rsidR="005E4B1E" w:rsidRDefault="005E4B1E" w:rsidP="005E4B1E">
      <w:pPr>
        <w:pStyle w:val="Heading2"/>
        <w:numPr>
          <w:ilvl w:val="0"/>
          <w:numId w:val="0"/>
        </w:numPr>
        <w:tabs>
          <w:tab w:val="clear" w:pos="567"/>
        </w:tabs>
        <w:spacing w:after="0"/>
        <w:ind w:left="720"/>
        <w:jc w:val="both"/>
        <w:rPr>
          <w:rFonts w:cs="Arial"/>
          <w:b w:val="0"/>
          <w:sz w:val="20"/>
        </w:rPr>
      </w:pPr>
    </w:p>
    <w:p w:rsidR="005E4B1E" w:rsidRPr="007E60D1" w:rsidRDefault="005E4B1E" w:rsidP="005E4B1E">
      <w:pPr>
        <w:pStyle w:val="Heading2"/>
        <w:numPr>
          <w:ilvl w:val="0"/>
          <w:numId w:val="0"/>
        </w:numPr>
        <w:tabs>
          <w:tab w:val="clear" w:pos="567"/>
        </w:tabs>
        <w:spacing w:after="0"/>
        <w:ind w:left="720"/>
        <w:jc w:val="both"/>
        <w:rPr>
          <w:rFonts w:cs="Arial"/>
          <w:b w:val="0"/>
          <w:sz w:val="20"/>
        </w:rPr>
      </w:pPr>
      <w:r w:rsidRPr="007E60D1">
        <w:rPr>
          <w:rFonts w:cs="Arial"/>
          <w:b w:val="0"/>
          <w:sz w:val="20"/>
        </w:rPr>
        <w:t>Please note, under the Public Contract Regulations, an authority can disqualify a Potential Provider from a Further Competition if it has not fulfilled its UK tax obligations or the tax obligations of the relevant State in which the economic operator is established.</w:t>
      </w:r>
    </w:p>
    <w:p w:rsidR="005E4B1E" w:rsidRDefault="005E4B1E" w:rsidP="005E4B1E">
      <w:pPr>
        <w:pStyle w:val="Heading1"/>
        <w:tabs>
          <w:tab w:val="clear" w:pos="567"/>
        </w:tabs>
        <w:spacing w:after="0"/>
        <w:jc w:val="both"/>
        <w:rPr>
          <w:rFonts w:cs="Arial"/>
          <w:sz w:val="20"/>
        </w:rPr>
      </w:pPr>
      <w:bookmarkStart w:id="33" w:name="_Toc246749091"/>
      <w:bookmarkStart w:id="34" w:name="_Toc373944867"/>
      <w:bookmarkStart w:id="35" w:name="_Toc374950701"/>
      <w:bookmarkEnd w:id="29"/>
      <w:bookmarkEnd w:id="30"/>
      <w:bookmarkEnd w:id="31"/>
    </w:p>
    <w:p w:rsidR="005E4B1E" w:rsidRDefault="005E4B1E" w:rsidP="005E4B1E">
      <w:pPr>
        <w:pStyle w:val="Heading1"/>
        <w:tabs>
          <w:tab w:val="clear" w:pos="567"/>
        </w:tabs>
        <w:spacing w:after="0"/>
        <w:jc w:val="both"/>
        <w:rPr>
          <w:rFonts w:cs="Arial"/>
          <w:sz w:val="20"/>
        </w:rPr>
      </w:pPr>
    </w:p>
    <w:p w:rsidR="005E4B1E" w:rsidRDefault="005E4B1E">
      <w:pPr>
        <w:rPr>
          <w:rFonts w:ascii="Arial" w:eastAsia="Times New Roman" w:hAnsi="Arial" w:cs="Arial"/>
          <w:b/>
          <w:sz w:val="20"/>
          <w:szCs w:val="20"/>
        </w:rPr>
      </w:pPr>
      <w:r>
        <w:rPr>
          <w:rFonts w:cs="Arial"/>
          <w:sz w:val="20"/>
        </w:rPr>
        <w:br w:type="page"/>
      </w:r>
    </w:p>
    <w:p w:rsidR="005E4B1E" w:rsidRPr="007E60D1" w:rsidRDefault="005E4B1E" w:rsidP="005E4B1E">
      <w:pPr>
        <w:pStyle w:val="Heading1"/>
        <w:tabs>
          <w:tab w:val="clear" w:pos="567"/>
        </w:tabs>
        <w:spacing w:after="0"/>
        <w:jc w:val="both"/>
        <w:rPr>
          <w:rFonts w:cs="Arial"/>
          <w:sz w:val="20"/>
        </w:rPr>
      </w:pPr>
      <w:bookmarkStart w:id="36" w:name="SECURITY"/>
      <w:r w:rsidRPr="007E60D1">
        <w:rPr>
          <w:rFonts w:cs="Arial"/>
          <w:sz w:val="20"/>
        </w:rPr>
        <w:t>SECURITY</w:t>
      </w:r>
      <w:bookmarkEnd w:id="33"/>
      <w:bookmarkEnd w:id="34"/>
      <w:bookmarkEnd w:id="35"/>
      <w:r>
        <w:rPr>
          <w:rFonts w:cs="Arial"/>
          <w:sz w:val="20"/>
        </w:rPr>
        <w:t>:</w:t>
      </w:r>
    </w:p>
    <w:bookmarkEnd w:id="36"/>
    <w:p w:rsidR="005E4B1E" w:rsidRPr="007E60D1" w:rsidRDefault="005E4B1E" w:rsidP="005E4B1E">
      <w:pPr>
        <w:pStyle w:val="Heading2"/>
        <w:numPr>
          <w:ilvl w:val="0"/>
          <w:numId w:val="0"/>
        </w:numPr>
        <w:tabs>
          <w:tab w:val="clear" w:pos="567"/>
        </w:tabs>
        <w:spacing w:after="0"/>
        <w:ind w:left="720"/>
        <w:jc w:val="both"/>
        <w:rPr>
          <w:rFonts w:cs="Arial"/>
          <w:b w:val="0"/>
          <w:sz w:val="20"/>
        </w:rPr>
      </w:pPr>
      <w:r w:rsidRPr="007E60D1">
        <w:rPr>
          <w:rFonts w:cs="Arial"/>
          <w:b w:val="0"/>
          <w:sz w:val="20"/>
        </w:rPr>
        <w:t xml:space="preserve">The Customer has to comply with the Government Security Policy Framework (which may be downloaded from </w:t>
      </w:r>
      <w:hyperlink r:id="rId9" w:history="1">
        <w:r w:rsidRPr="007E60D1">
          <w:rPr>
            <w:rStyle w:val="Hyperlink"/>
            <w:rFonts w:cs="Arial"/>
            <w:b w:val="0"/>
            <w:sz w:val="20"/>
          </w:rPr>
          <w:t>https://www.gov.uk/government/publications/security-policy-framework</w:t>
        </w:r>
      </w:hyperlink>
      <w:r w:rsidRPr="007E60D1">
        <w:rPr>
          <w:rFonts w:cs="Arial"/>
          <w:b w:val="0"/>
          <w:sz w:val="20"/>
        </w:rPr>
        <w:t xml:space="preserve">). </w:t>
      </w:r>
    </w:p>
    <w:p w:rsidR="005E4B1E" w:rsidRDefault="005E4B1E" w:rsidP="005E4B1E">
      <w:pPr>
        <w:pStyle w:val="Heading2"/>
        <w:numPr>
          <w:ilvl w:val="0"/>
          <w:numId w:val="0"/>
        </w:numPr>
        <w:tabs>
          <w:tab w:val="clear" w:pos="567"/>
        </w:tabs>
        <w:spacing w:after="0"/>
        <w:ind w:left="720"/>
        <w:jc w:val="both"/>
        <w:rPr>
          <w:rFonts w:cs="Arial"/>
          <w:b w:val="0"/>
          <w:sz w:val="20"/>
        </w:rPr>
      </w:pPr>
    </w:p>
    <w:p w:rsidR="005E4B1E" w:rsidRPr="007E60D1" w:rsidRDefault="005E4B1E" w:rsidP="005E4B1E">
      <w:pPr>
        <w:pStyle w:val="Heading2"/>
        <w:numPr>
          <w:ilvl w:val="0"/>
          <w:numId w:val="0"/>
        </w:numPr>
        <w:tabs>
          <w:tab w:val="clear" w:pos="567"/>
        </w:tabs>
        <w:spacing w:after="0"/>
        <w:ind w:left="720"/>
        <w:jc w:val="both"/>
        <w:rPr>
          <w:rFonts w:cs="Arial"/>
          <w:b w:val="0"/>
          <w:sz w:val="20"/>
        </w:rPr>
      </w:pPr>
      <w:r w:rsidRPr="007E60D1">
        <w:rPr>
          <w:rFonts w:cs="Arial"/>
          <w:b w:val="0"/>
          <w:sz w:val="20"/>
        </w:rPr>
        <w:t>It is important that the successful Potential Provider employs the appropriate organisational, operational and technological processes and procedures to keep the Customer’s data safe from unauthorised use or access, loss, destruction, theft or disclosure. The organisational, operational and technological processes and procedures adopted are required to comply with the requirements of ISO/IEC 27001 as appropriate to the services being provided to the Cabinet Office.</w:t>
      </w:r>
    </w:p>
    <w:p w:rsidR="005E4B1E" w:rsidRDefault="005E4B1E" w:rsidP="005E4B1E">
      <w:pPr>
        <w:pStyle w:val="Heading2"/>
        <w:numPr>
          <w:ilvl w:val="0"/>
          <w:numId w:val="0"/>
        </w:numPr>
        <w:tabs>
          <w:tab w:val="clear" w:pos="567"/>
        </w:tabs>
        <w:spacing w:after="0"/>
        <w:ind w:left="720"/>
        <w:jc w:val="both"/>
        <w:rPr>
          <w:rFonts w:cs="Arial"/>
          <w:b w:val="0"/>
          <w:sz w:val="20"/>
        </w:rPr>
      </w:pPr>
    </w:p>
    <w:p w:rsidR="00FE026E" w:rsidRPr="00FE026E" w:rsidRDefault="00FE026E" w:rsidP="00FE026E">
      <w:pPr>
        <w:pStyle w:val="BodyText"/>
        <w:ind w:left="720"/>
        <w:rPr>
          <w:rFonts w:ascii="Arial" w:eastAsia="Times New Roman" w:hAnsi="Arial" w:cs="Arial"/>
          <w:sz w:val="20"/>
          <w:szCs w:val="20"/>
        </w:rPr>
      </w:pPr>
      <w:r w:rsidRPr="00FE026E">
        <w:rPr>
          <w:rFonts w:ascii="Arial" w:eastAsia="Times New Roman" w:hAnsi="Arial" w:cs="Arial"/>
          <w:sz w:val="20"/>
          <w:szCs w:val="20"/>
        </w:rPr>
        <w:t>All individuals in the proposed bidders team structure will be required to complete Baseline Standard Security Check (BPSS) as a minimum, before commencing work on site.</w:t>
      </w:r>
    </w:p>
    <w:p w:rsidR="005E4B1E" w:rsidRPr="00A818B0" w:rsidRDefault="005E4B1E" w:rsidP="005E4B1E">
      <w:pPr>
        <w:pStyle w:val="Heading2"/>
        <w:numPr>
          <w:ilvl w:val="0"/>
          <w:numId w:val="0"/>
        </w:numPr>
        <w:tabs>
          <w:tab w:val="clear" w:pos="567"/>
        </w:tabs>
        <w:spacing w:after="0"/>
        <w:ind w:left="720"/>
        <w:jc w:val="both"/>
        <w:rPr>
          <w:rFonts w:cs="Arial"/>
          <w:b w:val="0"/>
          <w:sz w:val="20"/>
        </w:rPr>
      </w:pPr>
      <w:r w:rsidRPr="00A818B0">
        <w:rPr>
          <w:rFonts w:cs="Arial"/>
          <w:b w:val="0"/>
          <w:sz w:val="20"/>
        </w:rPr>
        <w:t>Additional security requirements outlined in Customer Requirement Specification – Appendix A</w:t>
      </w:r>
    </w:p>
    <w:p w:rsidR="005E4B1E" w:rsidRPr="00B54F59" w:rsidRDefault="005E4B1E" w:rsidP="005E4B1E">
      <w:pPr>
        <w:pStyle w:val="BodyText"/>
        <w:spacing w:after="0" w:line="240" w:lineRule="auto"/>
        <w:jc w:val="both"/>
      </w:pPr>
    </w:p>
    <w:p w:rsidR="005E4B1E" w:rsidRDefault="005E4B1E" w:rsidP="005E4B1E">
      <w:pPr>
        <w:pStyle w:val="Heading1"/>
        <w:tabs>
          <w:tab w:val="clear" w:pos="567"/>
        </w:tabs>
        <w:spacing w:after="0"/>
        <w:ind w:left="709" w:hanging="709"/>
        <w:jc w:val="both"/>
        <w:rPr>
          <w:rFonts w:cs="Arial"/>
          <w:sz w:val="20"/>
        </w:rPr>
      </w:pPr>
      <w:bookmarkStart w:id="37" w:name="_Toc373944868"/>
      <w:bookmarkStart w:id="38" w:name="_Toc374950702"/>
    </w:p>
    <w:p w:rsidR="005E4B1E" w:rsidRPr="007E60D1" w:rsidRDefault="005E4B1E" w:rsidP="005E4B1E">
      <w:pPr>
        <w:pStyle w:val="Heading1"/>
        <w:tabs>
          <w:tab w:val="clear" w:pos="567"/>
        </w:tabs>
        <w:spacing w:after="0"/>
        <w:ind w:left="709" w:hanging="709"/>
        <w:jc w:val="both"/>
        <w:rPr>
          <w:rFonts w:cs="Arial"/>
          <w:sz w:val="20"/>
        </w:rPr>
      </w:pPr>
      <w:bookmarkStart w:id="39" w:name="SPECIALTERMS"/>
      <w:r w:rsidRPr="007E60D1">
        <w:rPr>
          <w:rFonts w:cs="Arial"/>
          <w:sz w:val="20"/>
        </w:rPr>
        <w:t>SPECIAL TERMS</w:t>
      </w:r>
      <w:bookmarkEnd w:id="32"/>
      <w:bookmarkEnd w:id="37"/>
      <w:bookmarkEnd w:id="38"/>
    </w:p>
    <w:bookmarkEnd w:id="39"/>
    <w:p w:rsidR="005E4B1E" w:rsidRPr="007E60D1" w:rsidRDefault="005E4B1E" w:rsidP="005E4B1E">
      <w:pPr>
        <w:pStyle w:val="Heading2"/>
        <w:numPr>
          <w:ilvl w:val="0"/>
          <w:numId w:val="0"/>
        </w:numPr>
        <w:tabs>
          <w:tab w:val="clear" w:pos="567"/>
        </w:tabs>
        <w:spacing w:after="0"/>
        <w:ind w:left="709"/>
        <w:jc w:val="both"/>
        <w:rPr>
          <w:rFonts w:cs="Arial"/>
          <w:b w:val="0"/>
          <w:sz w:val="20"/>
        </w:rPr>
      </w:pPr>
      <w:r w:rsidRPr="007E60D1">
        <w:rPr>
          <w:rFonts w:cs="Arial"/>
          <w:b w:val="0"/>
          <w:sz w:val="20"/>
        </w:rPr>
        <w:t xml:space="preserve">The terms and conditions of the Call-Off Contract will be as per the Framework Agreement plus any additional Special Terms included in </w:t>
      </w:r>
      <w:r>
        <w:rPr>
          <w:rFonts w:cs="Arial"/>
          <w:b w:val="0"/>
          <w:sz w:val="20"/>
        </w:rPr>
        <w:t xml:space="preserve">Call-Off Order Form and Contract - </w:t>
      </w:r>
      <w:r w:rsidRPr="00B37DE2">
        <w:rPr>
          <w:rFonts w:cs="Arial"/>
          <w:b w:val="0"/>
          <w:sz w:val="20"/>
        </w:rPr>
        <w:t xml:space="preserve">Appendix </w:t>
      </w:r>
      <w:r>
        <w:rPr>
          <w:rFonts w:cs="Arial"/>
          <w:b w:val="0"/>
          <w:sz w:val="20"/>
        </w:rPr>
        <w:t>E</w:t>
      </w:r>
      <w:r w:rsidRPr="007E60D1">
        <w:rPr>
          <w:rFonts w:cs="Arial"/>
          <w:b w:val="0"/>
          <w:sz w:val="20"/>
        </w:rPr>
        <w:t xml:space="preserve"> of this document.  </w:t>
      </w:r>
    </w:p>
    <w:p w:rsidR="005E4B1E" w:rsidRDefault="005E4B1E" w:rsidP="005E4B1E">
      <w:pPr>
        <w:pStyle w:val="Heading2"/>
        <w:numPr>
          <w:ilvl w:val="0"/>
          <w:numId w:val="0"/>
        </w:numPr>
        <w:tabs>
          <w:tab w:val="clear" w:pos="567"/>
        </w:tabs>
        <w:spacing w:after="0"/>
        <w:ind w:left="709"/>
        <w:jc w:val="both"/>
        <w:rPr>
          <w:rFonts w:cs="Arial"/>
          <w:b w:val="0"/>
          <w:sz w:val="20"/>
        </w:rPr>
      </w:pPr>
    </w:p>
    <w:p w:rsidR="005E4B1E" w:rsidRDefault="005E4B1E" w:rsidP="005E4B1E">
      <w:pPr>
        <w:pStyle w:val="Heading2"/>
        <w:numPr>
          <w:ilvl w:val="0"/>
          <w:numId w:val="0"/>
        </w:numPr>
        <w:tabs>
          <w:tab w:val="clear" w:pos="567"/>
        </w:tabs>
        <w:spacing w:after="0"/>
        <w:ind w:left="709"/>
        <w:jc w:val="both"/>
        <w:rPr>
          <w:rFonts w:cs="Arial"/>
          <w:b w:val="0"/>
          <w:sz w:val="20"/>
        </w:rPr>
      </w:pPr>
      <w:r w:rsidRPr="007E60D1">
        <w:rPr>
          <w:rFonts w:cs="Arial"/>
          <w:b w:val="0"/>
          <w:sz w:val="20"/>
        </w:rPr>
        <w:t xml:space="preserve">In response to this formal RFP, Potential Providers must confirm compliance to the Special Terms. Such confirmation of compliance will be deemed to be acceptance of these terms, which will then flow-through into the formal Call-Off Contract for the successful Potential Providers. </w:t>
      </w:r>
      <w:bookmarkStart w:id="40" w:name="_Toc374881750"/>
      <w:bookmarkStart w:id="41" w:name="_Toc374882255"/>
      <w:bookmarkStart w:id="42" w:name="_Toc374881751"/>
      <w:bookmarkStart w:id="43" w:name="_Toc374882256"/>
      <w:bookmarkStart w:id="44" w:name="_Toc374881752"/>
      <w:bookmarkStart w:id="45" w:name="_Toc374882257"/>
      <w:bookmarkStart w:id="46" w:name="_Toc374881753"/>
      <w:bookmarkStart w:id="47" w:name="_Toc374882258"/>
      <w:bookmarkStart w:id="48" w:name="_Toc374881754"/>
      <w:bookmarkStart w:id="49" w:name="_Toc374882259"/>
      <w:bookmarkStart w:id="50" w:name="_Toc374881755"/>
      <w:bookmarkStart w:id="51" w:name="_Toc374882260"/>
      <w:bookmarkStart w:id="52" w:name="_Toc374881757"/>
      <w:bookmarkStart w:id="53" w:name="_Toc374882262"/>
      <w:bookmarkStart w:id="54" w:name="_Toc374881758"/>
      <w:bookmarkStart w:id="55" w:name="_Toc374882263"/>
      <w:bookmarkStart w:id="56" w:name="_Toc374881759"/>
      <w:bookmarkStart w:id="57" w:name="_Toc374882264"/>
      <w:bookmarkStart w:id="58" w:name="_Toc374881760"/>
      <w:bookmarkStart w:id="59" w:name="_Toc374882265"/>
      <w:bookmarkStart w:id="60" w:name="_Toc374881761"/>
      <w:bookmarkStart w:id="61" w:name="_Toc374882266"/>
      <w:bookmarkStart w:id="62" w:name="_Toc374881762"/>
      <w:bookmarkStart w:id="63" w:name="_Toc374882267"/>
      <w:bookmarkStart w:id="64" w:name="_Toc374881763"/>
      <w:bookmarkStart w:id="65" w:name="_Toc374882268"/>
      <w:bookmarkStart w:id="66" w:name="_Toc374881764"/>
      <w:bookmarkStart w:id="67" w:name="_Toc374882269"/>
      <w:bookmarkStart w:id="68" w:name="_Toc374881765"/>
      <w:bookmarkStart w:id="69" w:name="_Toc374882270"/>
      <w:bookmarkStart w:id="70" w:name="_Toc374881766"/>
      <w:bookmarkStart w:id="71" w:name="_Toc374882271"/>
      <w:bookmarkStart w:id="72" w:name="_Toc374881767"/>
      <w:bookmarkStart w:id="73" w:name="_Toc374882272"/>
      <w:bookmarkStart w:id="74" w:name="_Toc374881768"/>
      <w:bookmarkStart w:id="75" w:name="_Toc374882273"/>
      <w:bookmarkStart w:id="76" w:name="_Toc374881769"/>
      <w:bookmarkStart w:id="77" w:name="_Toc374882274"/>
      <w:bookmarkStart w:id="78" w:name="_Toc374881770"/>
      <w:bookmarkStart w:id="79" w:name="_Toc374882275"/>
      <w:bookmarkStart w:id="80" w:name="_Toc374881771"/>
      <w:bookmarkStart w:id="81" w:name="_Toc374882276"/>
      <w:bookmarkStart w:id="82" w:name="_Toc374881772"/>
      <w:bookmarkStart w:id="83" w:name="_Toc374882277"/>
      <w:bookmarkStart w:id="84" w:name="_Toc374881773"/>
      <w:bookmarkStart w:id="85" w:name="_Toc374882278"/>
      <w:bookmarkStart w:id="86" w:name="_Toc374881774"/>
      <w:bookmarkStart w:id="87" w:name="_Toc374882279"/>
      <w:bookmarkStart w:id="88" w:name="_Toc374881775"/>
      <w:bookmarkStart w:id="89" w:name="_Toc374882280"/>
      <w:bookmarkStart w:id="90" w:name="_Toc374881776"/>
      <w:bookmarkStart w:id="91" w:name="_Toc374882281"/>
      <w:bookmarkStart w:id="92" w:name="_Toc374881777"/>
      <w:bookmarkStart w:id="93" w:name="_Toc374882282"/>
      <w:bookmarkStart w:id="94" w:name="_Toc374881778"/>
      <w:bookmarkStart w:id="95" w:name="_Toc374882283"/>
      <w:bookmarkStart w:id="96" w:name="_Toc374881779"/>
      <w:bookmarkStart w:id="97" w:name="_Toc374882284"/>
      <w:bookmarkStart w:id="98" w:name="_Toc374881780"/>
      <w:bookmarkStart w:id="99" w:name="_Toc374882285"/>
      <w:bookmarkStart w:id="100" w:name="_Toc374881781"/>
      <w:bookmarkStart w:id="101" w:name="_Toc374882286"/>
      <w:bookmarkStart w:id="102" w:name="_Toc374881782"/>
      <w:bookmarkStart w:id="103" w:name="_Toc374882287"/>
      <w:bookmarkStart w:id="104" w:name="_Toc374881783"/>
      <w:bookmarkStart w:id="105" w:name="_Toc374882288"/>
      <w:bookmarkStart w:id="106" w:name="_Toc374881784"/>
      <w:bookmarkStart w:id="107" w:name="_Toc374882289"/>
      <w:bookmarkStart w:id="108" w:name="_Toc374881785"/>
      <w:bookmarkStart w:id="109" w:name="_Toc374882290"/>
      <w:bookmarkStart w:id="110" w:name="_Toc374881786"/>
      <w:bookmarkStart w:id="111" w:name="_Toc374882291"/>
      <w:bookmarkStart w:id="112" w:name="_Toc374881787"/>
      <w:bookmarkStart w:id="113" w:name="_Toc374882292"/>
      <w:bookmarkStart w:id="114" w:name="_Toc374881788"/>
      <w:bookmarkStart w:id="115" w:name="_Toc374882293"/>
      <w:bookmarkStart w:id="116" w:name="_Toc374881789"/>
      <w:bookmarkStart w:id="117" w:name="_Toc374882294"/>
      <w:bookmarkStart w:id="118" w:name="_Toc374881790"/>
      <w:bookmarkStart w:id="119" w:name="_Toc374882295"/>
      <w:bookmarkStart w:id="120" w:name="_Toc374881791"/>
      <w:bookmarkStart w:id="121" w:name="_Toc374882296"/>
      <w:bookmarkStart w:id="122" w:name="_Toc374881792"/>
      <w:bookmarkStart w:id="123" w:name="_Toc374882297"/>
      <w:bookmarkStart w:id="124" w:name="_Toc374881793"/>
      <w:bookmarkStart w:id="125" w:name="_Toc374882298"/>
      <w:bookmarkStart w:id="126" w:name="_Toc374881794"/>
      <w:bookmarkStart w:id="127" w:name="_Toc374882299"/>
      <w:bookmarkStart w:id="128" w:name="_Toc374881795"/>
      <w:bookmarkStart w:id="129" w:name="_Toc374882300"/>
      <w:bookmarkStart w:id="130" w:name="_Toc374881796"/>
      <w:bookmarkStart w:id="131" w:name="_Toc374882301"/>
      <w:bookmarkStart w:id="132" w:name="_Toc374881797"/>
      <w:bookmarkStart w:id="133" w:name="_Toc374882302"/>
      <w:bookmarkStart w:id="134" w:name="_Toc374881798"/>
      <w:bookmarkStart w:id="135" w:name="_Toc374882303"/>
      <w:bookmarkStart w:id="136" w:name="_Toc374881799"/>
      <w:bookmarkStart w:id="137" w:name="_Toc374882304"/>
      <w:bookmarkStart w:id="138" w:name="_Toc374881800"/>
      <w:bookmarkStart w:id="139" w:name="_Toc374882305"/>
      <w:bookmarkStart w:id="140" w:name="_Toc374881801"/>
      <w:bookmarkStart w:id="141" w:name="_Toc374882306"/>
      <w:bookmarkStart w:id="142" w:name="_Toc374881802"/>
      <w:bookmarkStart w:id="143" w:name="_Toc374882307"/>
      <w:bookmarkStart w:id="144" w:name="_Toc374881803"/>
      <w:bookmarkStart w:id="145" w:name="_Toc374882308"/>
      <w:bookmarkStart w:id="146" w:name="_Toc374881804"/>
      <w:bookmarkStart w:id="147" w:name="_Toc374882309"/>
      <w:bookmarkStart w:id="148" w:name="_Toc374881805"/>
      <w:bookmarkStart w:id="149" w:name="_Toc374882310"/>
      <w:bookmarkStart w:id="150" w:name="_Toc374881806"/>
      <w:bookmarkStart w:id="151" w:name="_Toc374882311"/>
      <w:bookmarkStart w:id="152" w:name="_Toc374881807"/>
      <w:bookmarkStart w:id="153" w:name="_Toc374882312"/>
      <w:bookmarkStart w:id="154" w:name="_Toc374881808"/>
      <w:bookmarkStart w:id="155" w:name="_Toc374882313"/>
      <w:bookmarkStart w:id="156" w:name="_Toc374881809"/>
      <w:bookmarkStart w:id="157" w:name="_Toc374882314"/>
      <w:bookmarkStart w:id="158" w:name="_Toc374881810"/>
      <w:bookmarkStart w:id="159" w:name="_Toc374882315"/>
      <w:bookmarkStart w:id="160" w:name="_Toc374881811"/>
      <w:bookmarkStart w:id="161" w:name="_Toc374882316"/>
      <w:bookmarkStart w:id="162" w:name="_Toc374881812"/>
      <w:bookmarkStart w:id="163" w:name="_Toc374882317"/>
      <w:bookmarkStart w:id="164" w:name="_Toc374881813"/>
      <w:bookmarkStart w:id="165" w:name="_Toc374882318"/>
      <w:bookmarkStart w:id="166" w:name="_Toc374881814"/>
      <w:bookmarkStart w:id="167" w:name="_Toc374882319"/>
      <w:bookmarkStart w:id="168" w:name="_Toc374881815"/>
      <w:bookmarkStart w:id="169" w:name="_Toc374882320"/>
      <w:bookmarkStart w:id="170" w:name="_Toc374881816"/>
      <w:bookmarkStart w:id="171" w:name="_Toc374882321"/>
      <w:bookmarkStart w:id="172" w:name="_Toc374881817"/>
      <w:bookmarkStart w:id="173" w:name="_Toc374882322"/>
      <w:bookmarkStart w:id="174" w:name="_Toc374881818"/>
      <w:bookmarkStart w:id="175" w:name="_Toc374882323"/>
      <w:bookmarkStart w:id="176" w:name="_Toc374881819"/>
      <w:bookmarkStart w:id="177" w:name="_Toc374882324"/>
      <w:bookmarkStart w:id="178" w:name="_Toc374881820"/>
      <w:bookmarkStart w:id="179" w:name="_Toc374882325"/>
      <w:bookmarkStart w:id="180" w:name="_Toc374881821"/>
      <w:bookmarkStart w:id="181" w:name="_Toc374882326"/>
      <w:bookmarkStart w:id="182" w:name="_Toc374881822"/>
      <w:bookmarkStart w:id="183" w:name="_Toc374882327"/>
      <w:bookmarkStart w:id="184" w:name="_Toc374881835"/>
      <w:bookmarkStart w:id="185" w:name="_Toc374882340"/>
      <w:bookmarkStart w:id="186" w:name="_Toc374881836"/>
      <w:bookmarkStart w:id="187" w:name="_Toc374882341"/>
      <w:bookmarkStart w:id="188" w:name="_Toc374881837"/>
      <w:bookmarkStart w:id="189" w:name="_Toc374882342"/>
      <w:bookmarkStart w:id="190" w:name="_Toc374881838"/>
      <w:bookmarkStart w:id="191" w:name="_Toc374882343"/>
      <w:bookmarkStart w:id="192" w:name="_Toc374881839"/>
      <w:bookmarkStart w:id="193" w:name="_Toc374882344"/>
      <w:bookmarkStart w:id="194" w:name="_Toc374881840"/>
      <w:bookmarkStart w:id="195" w:name="_Toc374882345"/>
      <w:bookmarkStart w:id="196" w:name="_Toc374881841"/>
      <w:bookmarkStart w:id="197" w:name="_Toc374882346"/>
      <w:bookmarkStart w:id="198" w:name="_Toc374881842"/>
      <w:bookmarkStart w:id="199" w:name="_Toc374882347"/>
      <w:bookmarkStart w:id="200" w:name="_Toc374881843"/>
      <w:bookmarkStart w:id="201" w:name="_Toc374882348"/>
      <w:bookmarkStart w:id="202" w:name="_Toc374881844"/>
      <w:bookmarkStart w:id="203" w:name="_Toc374882349"/>
      <w:bookmarkStart w:id="204" w:name="_Toc374881845"/>
      <w:bookmarkStart w:id="205" w:name="_Toc374882350"/>
      <w:bookmarkStart w:id="206" w:name="_Toc374881846"/>
      <w:bookmarkStart w:id="207" w:name="_Toc374882351"/>
      <w:bookmarkStart w:id="208" w:name="_Toc374881847"/>
      <w:bookmarkStart w:id="209" w:name="_Toc374882352"/>
      <w:bookmarkStart w:id="210" w:name="_Toc374881848"/>
      <w:bookmarkStart w:id="211" w:name="_Toc374882353"/>
      <w:bookmarkStart w:id="212" w:name="_Toc374881849"/>
      <w:bookmarkStart w:id="213" w:name="_Toc374882354"/>
      <w:bookmarkStart w:id="214" w:name="_Toc374881850"/>
      <w:bookmarkStart w:id="215" w:name="_Toc374882355"/>
      <w:bookmarkStart w:id="216" w:name="_Toc374881851"/>
      <w:bookmarkStart w:id="217" w:name="_Toc374882356"/>
      <w:bookmarkStart w:id="218" w:name="_Toc374881852"/>
      <w:bookmarkStart w:id="219" w:name="_Toc374882357"/>
      <w:bookmarkStart w:id="220" w:name="_Toc374881853"/>
      <w:bookmarkStart w:id="221" w:name="_Toc374882358"/>
      <w:bookmarkStart w:id="222" w:name="_Toc308084286"/>
      <w:bookmarkStart w:id="223" w:name="_Toc308084287"/>
      <w:bookmarkStart w:id="224" w:name="_Toc308084289"/>
      <w:bookmarkStart w:id="225" w:name="_Toc308084291"/>
      <w:bookmarkStart w:id="226" w:name="_Toc308084294"/>
      <w:bookmarkStart w:id="227" w:name="_Toc374881854"/>
      <w:bookmarkStart w:id="228" w:name="_Toc374882359"/>
      <w:bookmarkStart w:id="229" w:name="_Toc374881855"/>
      <w:bookmarkStart w:id="230" w:name="_Toc374882360"/>
      <w:bookmarkStart w:id="231" w:name="_Toc374881856"/>
      <w:bookmarkStart w:id="232" w:name="_Toc374882361"/>
      <w:bookmarkStart w:id="233" w:name="_Toc374881857"/>
      <w:bookmarkStart w:id="234" w:name="_Toc374882362"/>
      <w:bookmarkStart w:id="235" w:name="_Toc374881858"/>
      <w:bookmarkStart w:id="236" w:name="_Toc374882363"/>
      <w:bookmarkStart w:id="237" w:name="_Toc374881859"/>
      <w:bookmarkStart w:id="238" w:name="_Toc374882364"/>
      <w:bookmarkStart w:id="239" w:name="_Toc374881860"/>
      <w:bookmarkStart w:id="240" w:name="_Toc374882365"/>
      <w:bookmarkStart w:id="241" w:name="_Toc374881861"/>
      <w:bookmarkStart w:id="242" w:name="_Toc374882366"/>
      <w:bookmarkStart w:id="243" w:name="_Toc374881862"/>
      <w:bookmarkStart w:id="244" w:name="_Toc374882367"/>
      <w:bookmarkStart w:id="245" w:name="_Toc374881863"/>
      <w:bookmarkStart w:id="246" w:name="_Toc374882368"/>
      <w:bookmarkStart w:id="247" w:name="_Toc374881864"/>
      <w:bookmarkStart w:id="248" w:name="_Toc374882369"/>
      <w:bookmarkStart w:id="249" w:name="_Toc374881865"/>
      <w:bookmarkStart w:id="250" w:name="_Toc374882370"/>
      <w:bookmarkStart w:id="251" w:name="_Toc374881866"/>
      <w:bookmarkStart w:id="252" w:name="_Toc374882371"/>
      <w:bookmarkStart w:id="253" w:name="_Toc374881867"/>
      <w:bookmarkStart w:id="254" w:name="_Toc374882372"/>
      <w:bookmarkStart w:id="255" w:name="_Toc374881868"/>
      <w:bookmarkStart w:id="256" w:name="_Toc374882373"/>
      <w:bookmarkStart w:id="257" w:name="_Toc374881869"/>
      <w:bookmarkStart w:id="258" w:name="_Toc374882374"/>
      <w:bookmarkStart w:id="259" w:name="_Toc374881870"/>
      <w:bookmarkStart w:id="260" w:name="_Toc374882375"/>
      <w:bookmarkStart w:id="261" w:name="_Toc374881871"/>
      <w:bookmarkStart w:id="262" w:name="_Toc374882376"/>
      <w:bookmarkStart w:id="263" w:name="_Toc374881872"/>
      <w:bookmarkStart w:id="264" w:name="_Toc374882377"/>
      <w:bookmarkStart w:id="265" w:name="_Toc374881873"/>
      <w:bookmarkStart w:id="266" w:name="_Toc374882378"/>
      <w:bookmarkStart w:id="267" w:name="_Toc374881874"/>
      <w:bookmarkStart w:id="268" w:name="_Toc374882379"/>
      <w:bookmarkStart w:id="269" w:name="_Toc374881875"/>
      <w:bookmarkStart w:id="270" w:name="_Toc374882380"/>
      <w:bookmarkStart w:id="271" w:name="_Toc374881876"/>
      <w:bookmarkStart w:id="272" w:name="_Toc374882381"/>
      <w:bookmarkStart w:id="273" w:name="_Toc374881877"/>
      <w:bookmarkStart w:id="274" w:name="_Toc374882382"/>
      <w:bookmarkStart w:id="275" w:name="_Toc374881878"/>
      <w:bookmarkStart w:id="276" w:name="_Toc374882383"/>
      <w:bookmarkStart w:id="277" w:name="_Toc374881879"/>
      <w:bookmarkStart w:id="278" w:name="_Toc374882384"/>
      <w:bookmarkStart w:id="279" w:name="_Toc374881880"/>
      <w:bookmarkStart w:id="280" w:name="_Toc374882385"/>
      <w:bookmarkStart w:id="281" w:name="_Toc374881881"/>
      <w:bookmarkStart w:id="282" w:name="_Toc374882386"/>
      <w:bookmarkStart w:id="283" w:name="_Toc374881882"/>
      <w:bookmarkStart w:id="284" w:name="_Toc374882387"/>
      <w:bookmarkStart w:id="285" w:name="_Toc374881883"/>
      <w:bookmarkStart w:id="286" w:name="_Toc374882388"/>
      <w:bookmarkStart w:id="287" w:name="_Toc374881884"/>
      <w:bookmarkStart w:id="288" w:name="_Toc374882389"/>
      <w:bookmarkStart w:id="289" w:name="_Toc374881885"/>
      <w:bookmarkStart w:id="290" w:name="_Toc374882390"/>
      <w:bookmarkStart w:id="291" w:name="_Toc374881886"/>
      <w:bookmarkStart w:id="292" w:name="_Toc374882391"/>
      <w:bookmarkStart w:id="293" w:name="_Toc374881887"/>
      <w:bookmarkStart w:id="294" w:name="_Toc374882392"/>
      <w:bookmarkStart w:id="295" w:name="_Toc374881888"/>
      <w:bookmarkStart w:id="296" w:name="_Toc374882393"/>
      <w:bookmarkStart w:id="297" w:name="_Toc374881889"/>
      <w:bookmarkStart w:id="298" w:name="_Toc374882394"/>
      <w:bookmarkStart w:id="299" w:name="_Toc374881890"/>
      <w:bookmarkStart w:id="300" w:name="_Toc374882395"/>
      <w:bookmarkStart w:id="301" w:name="_Toc374881891"/>
      <w:bookmarkStart w:id="302" w:name="_Toc374882396"/>
      <w:bookmarkStart w:id="303" w:name="_Toc374881892"/>
      <w:bookmarkStart w:id="304" w:name="_Toc374882397"/>
      <w:bookmarkStart w:id="305" w:name="_Toc374881893"/>
      <w:bookmarkStart w:id="306" w:name="_Toc374882398"/>
      <w:bookmarkStart w:id="307" w:name="_Toc374881894"/>
      <w:bookmarkStart w:id="308" w:name="_Toc374882399"/>
      <w:bookmarkStart w:id="309" w:name="_Toc374881895"/>
      <w:bookmarkStart w:id="310" w:name="_Toc374882400"/>
      <w:bookmarkStart w:id="311" w:name="_Toc374881896"/>
      <w:bookmarkStart w:id="312" w:name="_Toc374882401"/>
      <w:bookmarkStart w:id="313" w:name="_Toc374881897"/>
      <w:bookmarkStart w:id="314" w:name="_Toc374882402"/>
      <w:bookmarkStart w:id="315" w:name="_Toc374881898"/>
      <w:bookmarkStart w:id="316" w:name="_Toc374882403"/>
      <w:bookmarkStart w:id="317" w:name="_Toc374881899"/>
      <w:bookmarkStart w:id="318" w:name="_Toc374882404"/>
      <w:bookmarkStart w:id="319" w:name="_Toc374881900"/>
      <w:bookmarkStart w:id="320" w:name="_Toc374882405"/>
      <w:bookmarkStart w:id="321" w:name="_Toc374881901"/>
      <w:bookmarkStart w:id="322" w:name="_Toc374882406"/>
      <w:bookmarkStart w:id="323" w:name="_Toc374881902"/>
      <w:bookmarkStart w:id="324" w:name="_Toc374882407"/>
      <w:bookmarkStart w:id="325" w:name="_Toc374881903"/>
      <w:bookmarkStart w:id="326" w:name="_Toc374882408"/>
      <w:bookmarkStart w:id="327" w:name="_Toc374881904"/>
      <w:bookmarkStart w:id="328" w:name="_Toc374882409"/>
      <w:bookmarkStart w:id="329" w:name="_Toc374881905"/>
      <w:bookmarkStart w:id="330" w:name="_Toc374882410"/>
      <w:bookmarkStart w:id="331" w:name="_Toc374881906"/>
      <w:bookmarkStart w:id="332" w:name="_Toc374882411"/>
      <w:bookmarkStart w:id="333" w:name="_Toc374881908"/>
      <w:bookmarkStart w:id="334" w:name="_Toc374882413"/>
      <w:bookmarkStart w:id="335" w:name="_Toc374881909"/>
      <w:bookmarkStart w:id="336" w:name="_Toc374882414"/>
      <w:bookmarkStart w:id="337" w:name="_Toc374881910"/>
      <w:bookmarkStart w:id="338" w:name="_Toc374882415"/>
      <w:bookmarkStart w:id="339" w:name="_Toc374881911"/>
      <w:bookmarkStart w:id="340" w:name="_Toc374882416"/>
      <w:bookmarkStart w:id="341" w:name="_Toc374881912"/>
      <w:bookmarkStart w:id="342" w:name="_Toc374882417"/>
      <w:bookmarkStart w:id="343" w:name="_Toc374881913"/>
      <w:bookmarkStart w:id="344" w:name="_Toc374882418"/>
      <w:bookmarkStart w:id="345" w:name="_Toc374881914"/>
      <w:bookmarkStart w:id="346" w:name="_Toc374882419"/>
      <w:bookmarkStart w:id="347" w:name="_Toc374881915"/>
      <w:bookmarkStart w:id="348" w:name="_Toc374882420"/>
      <w:bookmarkStart w:id="349" w:name="_Toc374950703"/>
      <w:bookmarkStart w:id="350" w:name="_Toc26101774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5E4B1E" w:rsidRDefault="005E4B1E" w:rsidP="005E4B1E">
      <w:pPr>
        <w:pStyle w:val="Heading2"/>
        <w:numPr>
          <w:ilvl w:val="0"/>
          <w:numId w:val="0"/>
        </w:numPr>
        <w:tabs>
          <w:tab w:val="clear" w:pos="567"/>
        </w:tabs>
        <w:spacing w:after="0"/>
        <w:jc w:val="both"/>
        <w:rPr>
          <w:rFonts w:cs="Arial"/>
          <w:b w:val="0"/>
          <w:sz w:val="20"/>
        </w:rPr>
      </w:pPr>
    </w:p>
    <w:p w:rsidR="005E4B1E" w:rsidRPr="00B54F59" w:rsidRDefault="005E4B1E" w:rsidP="005E4B1E">
      <w:pPr>
        <w:pStyle w:val="Heading2"/>
        <w:numPr>
          <w:ilvl w:val="0"/>
          <w:numId w:val="0"/>
        </w:numPr>
        <w:tabs>
          <w:tab w:val="clear" w:pos="567"/>
        </w:tabs>
        <w:spacing w:after="0"/>
        <w:jc w:val="both"/>
        <w:rPr>
          <w:rFonts w:cs="Arial"/>
          <w:b w:val="0"/>
          <w:sz w:val="20"/>
        </w:rPr>
      </w:pPr>
      <w:bookmarkStart w:id="351" w:name="MANAGEMENTINFORMATIONANDREPORTIN"/>
      <w:r w:rsidRPr="00B54F59">
        <w:rPr>
          <w:rFonts w:cs="Arial"/>
          <w:sz w:val="20"/>
        </w:rPr>
        <w:t>MANAGEMENT INFORMATION (MI) AND REPORTING</w:t>
      </w:r>
      <w:bookmarkEnd w:id="349"/>
    </w:p>
    <w:p w:rsidR="005E4B1E" w:rsidRDefault="005E4B1E" w:rsidP="005E4B1E">
      <w:pPr>
        <w:pStyle w:val="Heading2"/>
        <w:tabs>
          <w:tab w:val="clear" w:pos="567"/>
        </w:tabs>
        <w:spacing w:after="0"/>
        <w:ind w:left="720"/>
        <w:jc w:val="both"/>
        <w:rPr>
          <w:rFonts w:cs="Arial"/>
          <w:b w:val="0"/>
          <w:sz w:val="20"/>
        </w:rPr>
      </w:pPr>
      <w:bookmarkStart w:id="352" w:name="_Toc374881935"/>
      <w:bookmarkStart w:id="353" w:name="_Toc374881936"/>
      <w:bookmarkStart w:id="354" w:name="_Toc374881937"/>
      <w:bookmarkStart w:id="355" w:name="_Toc374881938"/>
      <w:bookmarkStart w:id="356" w:name="_Toc374881939"/>
      <w:bookmarkEnd w:id="350"/>
      <w:bookmarkEnd w:id="351"/>
      <w:bookmarkEnd w:id="352"/>
      <w:bookmarkEnd w:id="353"/>
      <w:bookmarkEnd w:id="354"/>
      <w:bookmarkEnd w:id="355"/>
      <w:bookmarkEnd w:id="356"/>
      <w:r w:rsidRPr="00B54F59">
        <w:rPr>
          <w:rFonts w:cs="Arial"/>
          <w:b w:val="0"/>
          <w:sz w:val="20"/>
        </w:rPr>
        <w:t xml:space="preserve">In addition to the standard framework MI requirements, the Potential Provider shall provide delivery performance reporting to the customer and </w:t>
      </w:r>
      <w:r>
        <w:rPr>
          <w:rFonts w:cs="Arial"/>
          <w:b w:val="0"/>
          <w:sz w:val="20"/>
        </w:rPr>
        <w:t>CCS</w:t>
      </w:r>
      <w:r w:rsidRPr="00B54F59">
        <w:rPr>
          <w:rFonts w:cs="Arial"/>
          <w:b w:val="0"/>
          <w:sz w:val="20"/>
        </w:rPr>
        <w:t>, recording the outcome of the delivery and customer satisfaction.</w:t>
      </w:r>
    </w:p>
    <w:p w:rsidR="005E4B1E" w:rsidRDefault="005E4B1E" w:rsidP="005E4B1E">
      <w:pPr>
        <w:pStyle w:val="Heading2"/>
        <w:tabs>
          <w:tab w:val="clear" w:pos="567"/>
        </w:tabs>
        <w:spacing w:after="0"/>
        <w:ind w:left="720"/>
        <w:jc w:val="both"/>
        <w:rPr>
          <w:rFonts w:cs="Arial"/>
          <w:b w:val="0"/>
          <w:sz w:val="20"/>
        </w:rPr>
      </w:pPr>
    </w:p>
    <w:p w:rsidR="005E4B1E" w:rsidRDefault="005E4B1E" w:rsidP="005E4B1E">
      <w:pPr>
        <w:pStyle w:val="Heading1"/>
        <w:tabs>
          <w:tab w:val="clear" w:pos="567"/>
        </w:tabs>
        <w:spacing w:after="0"/>
        <w:ind w:left="432" w:hanging="432"/>
        <w:jc w:val="both"/>
        <w:rPr>
          <w:rFonts w:cs="Arial"/>
          <w:sz w:val="20"/>
        </w:rPr>
      </w:pPr>
      <w:bookmarkStart w:id="357" w:name="_Toc374881941"/>
      <w:bookmarkStart w:id="358" w:name="_Toc374881942"/>
      <w:bookmarkStart w:id="359" w:name="_Toc374881943"/>
      <w:bookmarkStart w:id="360" w:name="_Toc374881944"/>
      <w:bookmarkStart w:id="361" w:name="_Toc374881945"/>
      <w:bookmarkStart w:id="362" w:name="_Toc374881946"/>
      <w:bookmarkStart w:id="363" w:name="_Toc374881947"/>
      <w:bookmarkStart w:id="364" w:name="_Toc374881948"/>
      <w:bookmarkStart w:id="365" w:name="_Toc374881949"/>
      <w:bookmarkStart w:id="366" w:name="_Toc374881950"/>
      <w:bookmarkStart w:id="367" w:name="_Toc374881951"/>
      <w:bookmarkStart w:id="368" w:name="_Toc374881953"/>
      <w:bookmarkStart w:id="369" w:name="_Toc374882440"/>
      <w:bookmarkStart w:id="370" w:name="_Toc374881954"/>
      <w:bookmarkStart w:id="371" w:name="_Toc374882441"/>
      <w:bookmarkStart w:id="372" w:name="_Toc374881955"/>
      <w:bookmarkStart w:id="373" w:name="_Toc374882442"/>
      <w:bookmarkStart w:id="374" w:name="_Toc374881956"/>
      <w:bookmarkStart w:id="375" w:name="_Toc374882443"/>
      <w:bookmarkStart w:id="376" w:name="_Toc374881957"/>
      <w:bookmarkStart w:id="377" w:name="_Toc374882444"/>
      <w:bookmarkStart w:id="378" w:name="_Toc374881958"/>
      <w:bookmarkStart w:id="379" w:name="_Toc374882445"/>
      <w:bookmarkStart w:id="380" w:name="_Toc374881959"/>
      <w:bookmarkStart w:id="381" w:name="_Toc374882446"/>
      <w:bookmarkStart w:id="382" w:name="_Toc374881960"/>
      <w:bookmarkStart w:id="383" w:name="_Toc374882447"/>
      <w:bookmarkStart w:id="384" w:name="_Toc374881961"/>
      <w:bookmarkStart w:id="385" w:name="_Toc374882448"/>
      <w:bookmarkStart w:id="386" w:name="_Toc374881962"/>
      <w:bookmarkStart w:id="387" w:name="_Toc374882449"/>
      <w:bookmarkStart w:id="388" w:name="_Toc374881963"/>
      <w:bookmarkStart w:id="389" w:name="_Toc374882450"/>
      <w:bookmarkStart w:id="390" w:name="_Toc374881964"/>
      <w:bookmarkStart w:id="391" w:name="_Toc374882451"/>
      <w:bookmarkStart w:id="392" w:name="_Toc374881965"/>
      <w:bookmarkStart w:id="393" w:name="_Toc374882452"/>
      <w:bookmarkStart w:id="394" w:name="_Toc374881966"/>
      <w:bookmarkStart w:id="395" w:name="_Toc374882453"/>
      <w:bookmarkStart w:id="396" w:name="_Toc374881967"/>
      <w:bookmarkStart w:id="397" w:name="_Toc374882454"/>
      <w:bookmarkStart w:id="398" w:name="_Toc374881968"/>
      <w:bookmarkStart w:id="399" w:name="_Toc374882455"/>
      <w:bookmarkStart w:id="400" w:name="_Toc374881969"/>
      <w:bookmarkStart w:id="401" w:name="_Toc374882456"/>
      <w:bookmarkStart w:id="402" w:name="_Toc374881970"/>
      <w:bookmarkStart w:id="403" w:name="_Toc374882457"/>
      <w:bookmarkStart w:id="404" w:name="_Toc374881971"/>
      <w:bookmarkStart w:id="405" w:name="_Toc374882458"/>
      <w:bookmarkStart w:id="406" w:name="_Toc374881972"/>
      <w:bookmarkStart w:id="407" w:name="_Toc374882459"/>
      <w:bookmarkStart w:id="408" w:name="_Toc374881973"/>
      <w:bookmarkStart w:id="409" w:name="_Toc374882460"/>
      <w:bookmarkStart w:id="410" w:name="_Toc374881974"/>
      <w:bookmarkStart w:id="411" w:name="_Toc374882461"/>
      <w:bookmarkStart w:id="412" w:name="_Toc374882178"/>
      <w:bookmarkStart w:id="413" w:name="_Toc374882665"/>
      <w:bookmarkStart w:id="414" w:name="_Toc374882179"/>
      <w:bookmarkStart w:id="415" w:name="_Toc374882666"/>
      <w:bookmarkStart w:id="416" w:name="_Toc374882180"/>
      <w:bookmarkStart w:id="417" w:name="_Toc374882667"/>
      <w:bookmarkStart w:id="418" w:name="_Toc374882181"/>
      <w:bookmarkStart w:id="419" w:name="_Toc374882668"/>
      <w:bookmarkStart w:id="420" w:name="_Toc374882182"/>
      <w:bookmarkStart w:id="421" w:name="_Toc374882669"/>
      <w:bookmarkStart w:id="422" w:name="_Toc374882183"/>
      <w:bookmarkStart w:id="423" w:name="_Toc374882670"/>
      <w:bookmarkStart w:id="424" w:name="_Toc374882184"/>
      <w:bookmarkStart w:id="425" w:name="_Toc374882671"/>
      <w:bookmarkStart w:id="426" w:name="_Toc374882185"/>
      <w:bookmarkStart w:id="427" w:name="_Toc374882672"/>
      <w:bookmarkStart w:id="428" w:name="_Toc374882203"/>
      <w:bookmarkStart w:id="429" w:name="_Toc374882690"/>
      <w:bookmarkStart w:id="430" w:name="_Toc374882204"/>
      <w:bookmarkStart w:id="431" w:name="_Toc374882691"/>
      <w:bookmarkStart w:id="432" w:name="_Toc374882205"/>
      <w:bookmarkStart w:id="433" w:name="_Toc374882692"/>
      <w:bookmarkStart w:id="434" w:name="_Toc374882206"/>
      <w:bookmarkStart w:id="435" w:name="_Toc374882693"/>
      <w:bookmarkStart w:id="436" w:name="_Toc374882207"/>
      <w:bookmarkStart w:id="437" w:name="_Toc374882694"/>
      <w:bookmarkStart w:id="438" w:name="_Toc374882208"/>
      <w:bookmarkStart w:id="439" w:name="_Toc374882695"/>
      <w:bookmarkStart w:id="440" w:name="_Toc374882209"/>
      <w:bookmarkStart w:id="441" w:name="_Toc374882696"/>
      <w:bookmarkStart w:id="442" w:name="_Toc374882210"/>
      <w:bookmarkStart w:id="443" w:name="_Toc374882697"/>
      <w:bookmarkStart w:id="444" w:name="_Toc374882211"/>
      <w:bookmarkStart w:id="445" w:name="_Toc374882698"/>
      <w:bookmarkStart w:id="446" w:name="_Toc374882212"/>
      <w:bookmarkStart w:id="447" w:name="_Toc374882699"/>
      <w:bookmarkStart w:id="448" w:name="_Toc374882213"/>
      <w:bookmarkStart w:id="449" w:name="_Toc374882700"/>
      <w:bookmarkStart w:id="450" w:name="_Toc374882214"/>
      <w:bookmarkStart w:id="451" w:name="_Toc374882701"/>
      <w:bookmarkStart w:id="452" w:name="_Toc374882215"/>
      <w:bookmarkStart w:id="453" w:name="_Toc374882702"/>
      <w:bookmarkStart w:id="454" w:name="_Toc374882216"/>
      <w:bookmarkStart w:id="455" w:name="_Toc374882703"/>
      <w:bookmarkStart w:id="456" w:name="_Toc374882217"/>
      <w:bookmarkStart w:id="457" w:name="_Toc374882704"/>
      <w:bookmarkStart w:id="458" w:name="_Toc374882218"/>
      <w:bookmarkStart w:id="459" w:name="_Toc374882705"/>
      <w:bookmarkStart w:id="460" w:name="_Toc374882219"/>
      <w:bookmarkStart w:id="461" w:name="_Toc374882706"/>
      <w:bookmarkStart w:id="462" w:name="_Toc374882220"/>
      <w:bookmarkStart w:id="463" w:name="_Toc374882707"/>
      <w:bookmarkStart w:id="464" w:name="_Toc374882221"/>
      <w:bookmarkStart w:id="465" w:name="_Toc374882708"/>
      <w:bookmarkStart w:id="466" w:name="_Toc374882222"/>
      <w:bookmarkStart w:id="467" w:name="_Toc374882709"/>
      <w:bookmarkStart w:id="468" w:name="_Toc374882223"/>
      <w:bookmarkStart w:id="469" w:name="_Toc374882710"/>
      <w:bookmarkStart w:id="470" w:name="_Toc374882224"/>
      <w:bookmarkStart w:id="471" w:name="_Toc374882711"/>
      <w:bookmarkStart w:id="472" w:name="_Toc374882225"/>
      <w:bookmarkStart w:id="473" w:name="_Toc374882712"/>
      <w:bookmarkStart w:id="474" w:name="_Toc374882226"/>
      <w:bookmarkStart w:id="475" w:name="_Toc374882713"/>
      <w:bookmarkStart w:id="476" w:name="_Toc374882227"/>
      <w:bookmarkStart w:id="477" w:name="_Toc374882714"/>
      <w:bookmarkStart w:id="478" w:name="_Toc374882228"/>
      <w:bookmarkStart w:id="479" w:name="_Toc374882715"/>
      <w:bookmarkStart w:id="480" w:name="_Toc374882229"/>
      <w:bookmarkStart w:id="481" w:name="_Toc374882716"/>
      <w:bookmarkStart w:id="482" w:name="_Toc374882230"/>
      <w:bookmarkStart w:id="483" w:name="_Toc374882717"/>
      <w:bookmarkStart w:id="484" w:name="IPR"/>
      <w:bookmarkStart w:id="485" w:name="_Toc373944872"/>
      <w:bookmarkStart w:id="486" w:name="_Toc37495070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7E60D1">
        <w:rPr>
          <w:rFonts w:cs="Arial"/>
          <w:sz w:val="20"/>
        </w:rPr>
        <w:t>INTELLECTUAL PROPERTY RIGHTS</w:t>
      </w:r>
      <w:r>
        <w:rPr>
          <w:rFonts w:cs="Arial"/>
          <w:sz w:val="20"/>
        </w:rPr>
        <w:t xml:space="preserve"> (IPR)</w:t>
      </w:r>
    </w:p>
    <w:bookmarkEnd w:id="484"/>
    <w:p w:rsidR="00D27ECE" w:rsidRDefault="005E4B1E">
      <w:pPr>
        <w:pStyle w:val="Heading1"/>
        <w:tabs>
          <w:tab w:val="clear" w:pos="567"/>
        </w:tabs>
        <w:spacing w:after="0"/>
        <w:ind w:left="720"/>
        <w:jc w:val="both"/>
        <w:rPr>
          <w:rFonts w:cs="Arial"/>
          <w:b w:val="0"/>
          <w:sz w:val="20"/>
        </w:rPr>
      </w:pPr>
      <w:r w:rsidRPr="005E4B1E">
        <w:rPr>
          <w:rFonts w:cs="Arial"/>
          <w:b w:val="0"/>
          <w:sz w:val="20"/>
        </w:rPr>
        <w:t xml:space="preserve">There will be a number of parties who will be able to benefit from the Discovery phase, and therefore will be able to re-use any IPR. These include but are not limited to, Cabinet Office (as the Customer), CCS (as the procurer), Central Government (as the departments/ users), Wider Public Sector (as extended users of the new solution), </w:t>
      </w:r>
      <w:r w:rsidR="00BA3A95" w:rsidRPr="005E4B1E">
        <w:rPr>
          <w:rFonts w:cs="Arial"/>
          <w:b w:val="0"/>
          <w:sz w:val="20"/>
        </w:rPr>
        <w:t>and Potential</w:t>
      </w:r>
      <w:r w:rsidRPr="005E4B1E">
        <w:rPr>
          <w:rFonts w:cs="Arial"/>
          <w:b w:val="0"/>
          <w:sz w:val="20"/>
        </w:rPr>
        <w:t xml:space="preserve"> Providers (as those who will design and build the new solution).</w:t>
      </w:r>
    </w:p>
    <w:p w:rsidR="005E4B1E" w:rsidRPr="005E4B1E" w:rsidRDefault="005E4B1E" w:rsidP="005E4B1E">
      <w:pPr>
        <w:pStyle w:val="BodyText"/>
        <w:ind w:left="720"/>
        <w:rPr>
          <w:rFonts w:ascii="Arial" w:hAnsi="Arial" w:cs="Arial"/>
          <w:sz w:val="20"/>
          <w:szCs w:val="20"/>
        </w:rPr>
      </w:pPr>
    </w:p>
    <w:p w:rsidR="00D27ECE" w:rsidRDefault="004A44BD">
      <w:pPr>
        <w:pStyle w:val="BodyText"/>
        <w:ind w:left="720"/>
        <w:rPr>
          <w:rFonts w:cs="Arial"/>
          <w:b/>
          <w:sz w:val="20"/>
        </w:rPr>
      </w:pPr>
      <w:r w:rsidRPr="004A44BD">
        <w:rPr>
          <w:rFonts w:ascii="Arial" w:hAnsi="Arial" w:cs="Arial"/>
          <w:sz w:val="20"/>
          <w:szCs w:val="20"/>
        </w:rPr>
        <w:t xml:space="preserve">The Potential Provider shall, at agreed points in the </w:t>
      </w:r>
      <w:r w:rsidR="00BA3A95">
        <w:rPr>
          <w:rFonts w:ascii="Arial" w:hAnsi="Arial" w:cs="Arial"/>
          <w:sz w:val="20"/>
          <w:szCs w:val="20"/>
        </w:rPr>
        <w:t>P</w:t>
      </w:r>
      <w:r w:rsidRPr="004A44BD">
        <w:rPr>
          <w:rFonts w:ascii="Arial" w:hAnsi="Arial" w:cs="Arial"/>
          <w:sz w:val="20"/>
          <w:szCs w:val="20"/>
        </w:rPr>
        <w:t xml:space="preserve">roject, shall share all </w:t>
      </w:r>
      <w:r w:rsidR="00BA3A95">
        <w:rPr>
          <w:rFonts w:ascii="Arial" w:hAnsi="Arial" w:cs="Arial"/>
          <w:sz w:val="20"/>
          <w:szCs w:val="20"/>
        </w:rPr>
        <w:t>P</w:t>
      </w:r>
      <w:r w:rsidRPr="004A44BD">
        <w:rPr>
          <w:rFonts w:ascii="Arial" w:hAnsi="Arial" w:cs="Arial"/>
          <w:sz w:val="20"/>
          <w:szCs w:val="20"/>
        </w:rPr>
        <w:t>roject specific documentation or items as may be requested by the Cabinet Office.</w:t>
      </w:r>
    </w:p>
    <w:p w:rsidR="00D27ECE" w:rsidRDefault="00D27ECE">
      <w:pPr>
        <w:pStyle w:val="BodyText"/>
      </w:pPr>
      <w:bookmarkStart w:id="487" w:name="_Toc246749088"/>
      <w:bookmarkStart w:id="488" w:name="_Toc373944866"/>
      <w:bookmarkStart w:id="489" w:name="_Toc374950700"/>
    </w:p>
    <w:p w:rsidR="005E4B1E" w:rsidRDefault="005E4B1E" w:rsidP="005E4B1E">
      <w:pPr>
        <w:pStyle w:val="Heading1"/>
        <w:tabs>
          <w:tab w:val="clear" w:pos="567"/>
        </w:tabs>
        <w:spacing w:after="0"/>
        <w:ind w:left="432" w:hanging="432"/>
        <w:jc w:val="both"/>
        <w:rPr>
          <w:rFonts w:cs="Arial"/>
          <w:sz w:val="20"/>
        </w:rPr>
      </w:pPr>
      <w:bookmarkStart w:id="490" w:name="DOCUMENTSOURCE"/>
      <w:r w:rsidRPr="007E60D1">
        <w:rPr>
          <w:rFonts w:cs="Arial"/>
          <w:sz w:val="20"/>
        </w:rPr>
        <w:t>DOCUMENT AND SOURCE CODE MANAGEMENT REPOSITORY</w:t>
      </w:r>
      <w:bookmarkEnd w:id="487"/>
      <w:bookmarkEnd w:id="488"/>
      <w:bookmarkEnd w:id="489"/>
    </w:p>
    <w:bookmarkEnd w:id="490"/>
    <w:p w:rsidR="00BA3A95" w:rsidRDefault="00BA3A95" w:rsidP="005E4B1E">
      <w:pPr>
        <w:pStyle w:val="MFNumLev2"/>
        <w:numPr>
          <w:ilvl w:val="0"/>
          <w:numId w:val="0"/>
        </w:numPr>
        <w:spacing w:before="0" w:after="0"/>
        <w:ind w:left="709"/>
        <w:rPr>
          <w:sz w:val="20"/>
          <w:szCs w:val="20"/>
        </w:rPr>
      </w:pPr>
      <w:r>
        <w:rPr>
          <w:sz w:val="20"/>
          <w:szCs w:val="20"/>
        </w:rPr>
        <w:t xml:space="preserve">The Potential Provider shall provide outcomes to the project by sharing the following items to an agreed central repository. This shall include, but is not limited to: </w:t>
      </w:r>
    </w:p>
    <w:p w:rsidR="005E4B1E" w:rsidRDefault="00D56DCA" w:rsidP="005E4B1E">
      <w:pPr>
        <w:pStyle w:val="MFNumLev2"/>
        <w:numPr>
          <w:ilvl w:val="0"/>
          <w:numId w:val="0"/>
        </w:numPr>
        <w:spacing w:before="0" w:after="0"/>
        <w:ind w:left="709"/>
        <w:rPr>
          <w:sz w:val="20"/>
          <w:szCs w:val="20"/>
        </w:rPr>
      </w:pPr>
      <w:r>
        <w:rPr>
          <w:sz w:val="20"/>
          <w:szCs w:val="20"/>
        </w:rPr>
        <w:t>D</w:t>
      </w:r>
      <w:r w:rsidR="005E4B1E" w:rsidRPr="007E60D1">
        <w:rPr>
          <w:sz w:val="20"/>
          <w:szCs w:val="20"/>
        </w:rPr>
        <w:t>ocument a</w:t>
      </w:r>
      <w:r w:rsidR="005E4B1E">
        <w:rPr>
          <w:sz w:val="20"/>
          <w:szCs w:val="20"/>
        </w:rPr>
        <w:t xml:space="preserve">nd Source Code </w:t>
      </w:r>
      <w:r w:rsidR="005E4B1E" w:rsidRPr="007E60D1">
        <w:rPr>
          <w:sz w:val="20"/>
          <w:szCs w:val="20"/>
        </w:rPr>
        <w:t>Management</w:t>
      </w:r>
      <w:r>
        <w:rPr>
          <w:sz w:val="20"/>
          <w:szCs w:val="20"/>
        </w:rPr>
        <w:t>,</w:t>
      </w:r>
      <w:r w:rsidR="005E4B1E" w:rsidRPr="007E60D1">
        <w:rPr>
          <w:sz w:val="20"/>
          <w:szCs w:val="20"/>
        </w:rPr>
        <w:t>: all developed live code for the current software release, daily software builds, test scripts, technical libraries, archive libraries, source code, object code, automated build configurations, dependencies, environments, schema, Sprint and Release details, current development orders, change control notices, Product Backlog/ice box) and any other project specific documentation or items as may be requested by the Customer.</w:t>
      </w:r>
    </w:p>
    <w:p w:rsidR="005E4B1E" w:rsidRPr="000029C7" w:rsidRDefault="005E4B1E" w:rsidP="005E4B1E">
      <w:pPr>
        <w:pStyle w:val="MFNumLev2"/>
        <w:numPr>
          <w:ilvl w:val="0"/>
          <w:numId w:val="0"/>
        </w:numPr>
        <w:spacing w:before="0" w:after="0"/>
        <w:rPr>
          <w:sz w:val="20"/>
          <w:szCs w:val="20"/>
        </w:rPr>
      </w:pPr>
    </w:p>
    <w:p w:rsidR="005E4B1E" w:rsidRPr="000029C7" w:rsidRDefault="005E4B1E" w:rsidP="005E4B1E">
      <w:pPr>
        <w:pStyle w:val="MFNumLev2"/>
        <w:numPr>
          <w:ilvl w:val="0"/>
          <w:numId w:val="0"/>
        </w:numPr>
        <w:spacing w:before="0" w:after="0"/>
        <w:ind w:left="709"/>
        <w:rPr>
          <w:sz w:val="20"/>
          <w:szCs w:val="20"/>
        </w:rPr>
      </w:pPr>
      <w:r w:rsidRPr="000029C7">
        <w:rPr>
          <w:sz w:val="20"/>
        </w:rPr>
        <w:t>Location of the Document and Source Code Management Repository</w:t>
      </w:r>
    </w:p>
    <w:p w:rsidR="005E4B1E" w:rsidRDefault="005E4B1E" w:rsidP="005E4B1E">
      <w:pPr>
        <w:pStyle w:val="Heading1"/>
        <w:tabs>
          <w:tab w:val="clear" w:pos="567"/>
        </w:tabs>
        <w:spacing w:after="0"/>
        <w:ind w:left="709" w:hanging="709"/>
        <w:jc w:val="both"/>
        <w:rPr>
          <w:rFonts w:cs="Arial"/>
          <w:sz w:val="20"/>
        </w:rPr>
      </w:pPr>
    </w:p>
    <w:p w:rsidR="005E4B1E" w:rsidRPr="007E60D1" w:rsidRDefault="005E4B1E" w:rsidP="005E4B1E">
      <w:pPr>
        <w:pStyle w:val="Heading1"/>
        <w:tabs>
          <w:tab w:val="clear" w:pos="567"/>
        </w:tabs>
        <w:spacing w:after="0"/>
        <w:ind w:left="709" w:hanging="709"/>
        <w:jc w:val="both"/>
        <w:rPr>
          <w:rFonts w:cs="Arial"/>
          <w:sz w:val="20"/>
        </w:rPr>
      </w:pPr>
      <w:bookmarkStart w:id="491" w:name="GLOSSARY"/>
      <w:r w:rsidRPr="007E60D1">
        <w:rPr>
          <w:rFonts w:cs="Arial"/>
          <w:sz w:val="20"/>
        </w:rPr>
        <w:t>GLOSSARY OF TERMS</w:t>
      </w:r>
      <w:bookmarkEnd w:id="485"/>
      <w:bookmarkEnd w:id="486"/>
    </w:p>
    <w:bookmarkEnd w:id="491"/>
    <w:p w:rsidR="005E4B1E" w:rsidRDefault="005E4B1E" w:rsidP="005E4B1E">
      <w:pPr>
        <w:pStyle w:val="Normal1"/>
        <w:ind w:left="709"/>
        <w:jc w:val="both"/>
        <w:rPr>
          <w:rFonts w:ascii="Arial" w:hAnsi="Arial" w:cs="Arial"/>
          <w:sz w:val="20"/>
          <w:szCs w:val="20"/>
        </w:rPr>
      </w:pPr>
      <w:r>
        <w:rPr>
          <w:rFonts w:ascii="Arial" w:hAnsi="Arial" w:cs="Arial"/>
          <w:sz w:val="20"/>
          <w:szCs w:val="20"/>
        </w:rPr>
        <w:t>For a full Glossary of the words and phrases used within this document, please refer to the Digital Services Framework Agreement – RM1043.</w:t>
      </w:r>
    </w:p>
    <w:p w:rsidR="005E4B1E" w:rsidRDefault="005E4B1E" w:rsidP="005E4B1E">
      <w:pPr>
        <w:pStyle w:val="Normal1"/>
        <w:jc w:val="both"/>
        <w:rPr>
          <w:rFonts w:ascii="Arial" w:hAnsi="Arial" w:cs="Arial"/>
          <w:sz w:val="20"/>
          <w:szCs w:val="20"/>
        </w:rPr>
      </w:pPr>
    </w:p>
    <w:p w:rsidR="005E4B1E" w:rsidRDefault="005E4B1E">
      <w:pPr>
        <w:rPr>
          <w:rFonts w:cs="Arial"/>
          <w:color w:val="4F81BD" w:themeColor="accent1"/>
          <w:sz w:val="28"/>
          <w:szCs w:val="28"/>
        </w:rPr>
      </w:pPr>
      <w:r>
        <w:rPr>
          <w:rFonts w:cs="Arial"/>
          <w:color w:val="4F81BD" w:themeColor="accent1"/>
          <w:sz w:val="28"/>
          <w:szCs w:val="28"/>
        </w:rPr>
        <w:br w:type="page"/>
      </w:r>
    </w:p>
    <w:p w:rsidR="0001366F" w:rsidRPr="0001366F" w:rsidRDefault="0001366F" w:rsidP="0001366F">
      <w:pPr>
        <w:pStyle w:val="Heading2"/>
        <w:numPr>
          <w:ilvl w:val="0"/>
          <w:numId w:val="0"/>
        </w:numPr>
        <w:tabs>
          <w:tab w:val="clear" w:pos="567"/>
        </w:tabs>
        <w:spacing w:before="120" w:after="120"/>
        <w:jc w:val="center"/>
        <w:rPr>
          <w:rFonts w:cs="Arial"/>
          <w:color w:val="4F81BD" w:themeColor="accent1"/>
          <w:sz w:val="32"/>
          <w:szCs w:val="28"/>
        </w:rPr>
      </w:pPr>
      <w:bookmarkStart w:id="492" w:name="_GoBack"/>
      <w:bookmarkEnd w:id="492"/>
      <w:r w:rsidRPr="0001366F">
        <w:rPr>
          <w:rFonts w:cs="Arial"/>
          <w:color w:val="4F81BD" w:themeColor="accent1"/>
          <w:sz w:val="32"/>
          <w:szCs w:val="28"/>
        </w:rPr>
        <w:t>EVALUATION AND METHODOLOGY</w:t>
      </w:r>
    </w:p>
    <w:p w:rsidR="0001366F" w:rsidRDefault="0001366F" w:rsidP="00001851">
      <w:pPr>
        <w:pStyle w:val="Heading2"/>
        <w:numPr>
          <w:ilvl w:val="0"/>
          <w:numId w:val="0"/>
        </w:numPr>
        <w:tabs>
          <w:tab w:val="clear" w:pos="567"/>
        </w:tabs>
        <w:spacing w:before="120" w:after="120"/>
        <w:jc w:val="both"/>
        <w:rPr>
          <w:rFonts w:cs="Arial"/>
          <w:color w:val="4F81BD" w:themeColor="accent1"/>
          <w:sz w:val="28"/>
          <w:szCs w:val="28"/>
        </w:rPr>
      </w:pPr>
    </w:p>
    <w:p w:rsidR="00182C08" w:rsidRPr="00B57219" w:rsidRDefault="00182C08" w:rsidP="00001851">
      <w:pPr>
        <w:pStyle w:val="Heading2"/>
        <w:numPr>
          <w:ilvl w:val="0"/>
          <w:numId w:val="0"/>
        </w:numPr>
        <w:tabs>
          <w:tab w:val="clear" w:pos="567"/>
        </w:tabs>
        <w:spacing w:before="120" w:after="120"/>
        <w:jc w:val="both"/>
        <w:rPr>
          <w:rFonts w:cs="Arial"/>
          <w:b w:val="0"/>
          <w:color w:val="4F81BD" w:themeColor="accent1"/>
          <w:sz w:val="28"/>
          <w:szCs w:val="28"/>
        </w:rPr>
      </w:pPr>
      <w:bookmarkStart w:id="493" w:name="TOPLEVELEVALUATIONWEIGHTING"/>
      <w:r w:rsidRPr="00B57219">
        <w:rPr>
          <w:rFonts w:cs="Arial"/>
          <w:color w:val="4F81BD" w:themeColor="accent1"/>
          <w:sz w:val="28"/>
          <w:szCs w:val="28"/>
        </w:rPr>
        <w:t>TOP-LEVEL EVALUATION WEIGHTING</w:t>
      </w:r>
      <w:r w:rsidRPr="00B57219">
        <w:rPr>
          <w:rFonts w:cs="Arial"/>
          <w:b w:val="0"/>
          <w:color w:val="4F81BD" w:themeColor="accent1"/>
          <w:sz w:val="28"/>
          <w:szCs w:val="28"/>
        </w:rPr>
        <w:t xml:space="preserve"> </w:t>
      </w:r>
    </w:p>
    <w:bookmarkEnd w:id="493"/>
    <w:p w:rsidR="001A2506" w:rsidRPr="001A2506" w:rsidRDefault="00612625" w:rsidP="00001851">
      <w:pPr>
        <w:pStyle w:val="Heading2"/>
        <w:numPr>
          <w:ilvl w:val="0"/>
          <w:numId w:val="0"/>
        </w:numPr>
        <w:tabs>
          <w:tab w:val="clear" w:pos="567"/>
        </w:tabs>
        <w:spacing w:before="120" w:after="120"/>
      </w:pPr>
      <w:r w:rsidRPr="00AE74AB">
        <w:rPr>
          <w:b w:val="0"/>
          <w:sz w:val="20"/>
        </w:rPr>
        <w:t>Th</w:t>
      </w:r>
      <w:r>
        <w:rPr>
          <w:b w:val="0"/>
          <w:sz w:val="20"/>
        </w:rPr>
        <w:t>is will align with the weighting ranges set out in the Further Competition Award Criteria defined in Table 2 of Schedule 4 (Call-Off Procedure) of the Digital Services Framework Agreement</w:t>
      </w:r>
      <w:r w:rsidR="00C75602">
        <w:rPr>
          <w:b w:val="0"/>
          <w:sz w:val="20"/>
        </w:rPr>
        <w:t xml:space="preserve"> – RM1043</w:t>
      </w:r>
      <w:r>
        <w:rPr>
          <w:b w:val="0"/>
          <w:sz w:val="20"/>
        </w:rPr>
        <w:t>, replicated in the following table</w:t>
      </w:r>
      <w:r w:rsidR="00A14DD4">
        <w:rPr>
          <w:b w:val="0"/>
          <w:sz w:val="20"/>
        </w:rPr>
        <w:t xml:space="preserve"> (not all applicable for this Project)</w:t>
      </w:r>
      <w:r>
        <w:rPr>
          <w:b w:val="0"/>
          <w:sz w:val="20"/>
        </w:rPr>
        <w: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4981"/>
        <w:gridCol w:w="4981"/>
      </w:tblGrid>
      <w:tr w:rsidR="00182C08" w:rsidRPr="00AC64B4" w:rsidTr="001A2506">
        <w:trPr>
          <w:trHeight w:val="690"/>
        </w:trPr>
        <w:tc>
          <w:tcPr>
            <w:tcW w:w="2500" w:type="pct"/>
            <w:shd w:val="clear" w:color="auto" w:fill="C6D9F1" w:themeFill="text2" w:themeFillTint="33"/>
            <w:tcMar>
              <w:top w:w="0" w:type="dxa"/>
              <w:left w:w="108" w:type="dxa"/>
              <w:bottom w:w="0" w:type="dxa"/>
              <w:right w:w="108" w:type="dxa"/>
            </w:tcMar>
            <w:vAlign w:val="center"/>
            <w:hideMark/>
          </w:tcPr>
          <w:p w:rsidR="00182C08" w:rsidRPr="00AC64B4" w:rsidRDefault="001A2506" w:rsidP="00001851">
            <w:pPr>
              <w:spacing w:before="120" w:after="120" w:line="240" w:lineRule="auto"/>
              <w:rPr>
                <w:rFonts w:ascii="Arial" w:eastAsia="Calibri" w:hAnsi="Arial" w:cs="Arial"/>
                <w:b/>
                <w:sz w:val="20"/>
                <w:szCs w:val="20"/>
              </w:rPr>
            </w:pPr>
            <w:r w:rsidRPr="00AC64B4">
              <w:rPr>
                <w:rFonts w:ascii="Arial" w:hAnsi="Arial" w:cs="Arial"/>
                <w:b/>
                <w:sz w:val="20"/>
                <w:szCs w:val="20"/>
              </w:rPr>
              <w:t>CRITERION NUMBER</w:t>
            </w:r>
          </w:p>
        </w:tc>
        <w:tc>
          <w:tcPr>
            <w:tcW w:w="2500" w:type="pct"/>
            <w:shd w:val="clear" w:color="auto" w:fill="C6D9F1" w:themeFill="text2" w:themeFillTint="33"/>
            <w:tcMar>
              <w:top w:w="0" w:type="dxa"/>
              <w:left w:w="108" w:type="dxa"/>
              <w:bottom w:w="0" w:type="dxa"/>
              <w:right w:w="108" w:type="dxa"/>
            </w:tcMar>
            <w:vAlign w:val="center"/>
            <w:hideMark/>
          </w:tcPr>
          <w:p w:rsidR="00182C08" w:rsidRPr="00AC64B4" w:rsidRDefault="001A2506" w:rsidP="00001851">
            <w:pPr>
              <w:spacing w:before="120" w:after="120" w:line="240" w:lineRule="auto"/>
              <w:rPr>
                <w:rFonts w:ascii="Arial" w:eastAsia="Calibri" w:hAnsi="Arial" w:cs="Arial"/>
                <w:b/>
                <w:sz w:val="20"/>
                <w:szCs w:val="20"/>
              </w:rPr>
            </w:pPr>
            <w:r w:rsidRPr="00AC64B4">
              <w:rPr>
                <w:rFonts w:ascii="Arial" w:hAnsi="Arial" w:cs="Arial"/>
                <w:b/>
                <w:sz w:val="20"/>
                <w:szCs w:val="20"/>
              </w:rPr>
              <w:t xml:space="preserve">FURTHER COMPETITION AWARD CRITERIA </w:t>
            </w:r>
          </w:p>
        </w:tc>
      </w:tr>
      <w:tr w:rsidR="00182C08" w:rsidRPr="00AC64B4" w:rsidTr="001A2506">
        <w:trPr>
          <w:trHeight w:val="690"/>
        </w:trPr>
        <w:tc>
          <w:tcPr>
            <w:tcW w:w="2500" w:type="pct"/>
            <w:tcMar>
              <w:top w:w="0" w:type="dxa"/>
              <w:left w:w="108" w:type="dxa"/>
              <w:bottom w:w="0" w:type="dxa"/>
              <w:right w:w="108" w:type="dxa"/>
            </w:tcMar>
            <w:vAlign w:val="center"/>
            <w:hideMark/>
          </w:tcPr>
          <w:p w:rsidR="00182C08" w:rsidRPr="00AC64B4" w:rsidRDefault="00182C08" w:rsidP="003749A8">
            <w:pPr>
              <w:pStyle w:val="ListParagraph"/>
              <w:numPr>
                <w:ilvl w:val="0"/>
                <w:numId w:val="4"/>
              </w:numPr>
              <w:spacing w:before="120" w:after="120" w:line="240" w:lineRule="auto"/>
              <w:rPr>
                <w:rFonts w:ascii="Arial" w:eastAsia="Calibri" w:hAnsi="Arial" w:cs="Arial"/>
                <w:sz w:val="20"/>
                <w:szCs w:val="20"/>
              </w:rPr>
            </w:pPr>
            <w:r w:rsidRPr="00AC64B4">
              <w:rPr>
                <w:rFonts w:ascii="Arial" w:hAnsi="Arial" w:cs="Arial"/>
                <w:sz w:val="20"/>
                <w:szCs w:val="20"/>
              </w:rPr>
              <w:t>Weighting 20% or more (up to 80%)</w:t>
            </w:r>
          </w:p>
        </w:tc>
        <w:tc>
          <w:tcPr>
            <w:tcW w:w="2500" w:type="pct"/>
            <w:tcMar>
              <w:top w:w="0" w:type="dxa"/>
              <w:left w:w="108" w:type="dxa"/>
              <w:bottom w:w="0" w:type="dxa"/>
              <w:right w:w="108" w:type="dxa"/>
            </w:tcMar>
            <w:vAlign w:val="center"/>
            <w:hideMark/>
          </w:tcPr>
          <w:p w:rsidR="00182C08" w:rsidRPr="00316E3C" w:rsidRDefault="000F45FA" w:rsidP="00316E3C">
            <w:pPr>
              <w:spacing w:before="120" w:after="120" w:line="240" w:lineRule="auto"/>
              <w:rPr>
                <w:rFonts w:ascii="Arial" w:eastAsiaTheme="minorHAnsi" w:hAnsi="Arial" w:cs="Arial"/>
                <w:sz w:val="20"/>
                <w:szCs w:val="20"/>
              </w:rPr>
            </w:pPr>
            <w:r>
              <w:rPr>
                <w:rFonts w:ascii="Arial" w:hAnsi="Arial" w:cs="Arial"/>
                <w:b/>
                <w:sz w:val="20"/>
                <w:szCs w:val="20"/>
              </w:rPr>
              <w:t>Price</w:t>
            </w:r>
            <w:r w:rsidR="00316E3C">
              <w:rPr>
                <w:rFonts w:ascii="Arial" w:hAnsi="Arial" w:cs="Arial"/>
                <w:sz w:val="20"/>
                <w:szCs w:val="20"/>
              </w:rPr>
              <w:t xml:space="preserve"> cost effectiveness; price</w:t>
            </w:r>
            <w:r w:rsidR="00182C08" w:rsidRPr="00AC64B4">
              <w:rPr>
                <w:rFonts w:ascii="Arial" w:hAnsi="Arial" w:cs="Arial"/>
                <w:sz w:val="20"/>
                <w:szCs w:val="20"/>
              </w:rPr>
              <w:t>;</w:t>
            </w:r>
          </w:p>
        </w:tc>
      </w:tr>
      <w:tr w:rsidR="00182C08" w:rsidRPr="00AC64B4" w:rsidTr="001A2506">
        <w:trPr>
          <w:trHeight w:val="690"/>
        </w:trPr>
        <w:tc>
          <w:tcPr>
            <w:tcW w:w="2500" w:type="pct"/>
            <w:tcMar>
              <w:top w:w="0" w:type="dxa"/>
              <w:left w:w="108" w:type="dxa"/>
              <w:bottom w:w="0" w:type="dxa"/>
              <w:right w:w="108" w:type="dxa"/>
            </w:tcMar>
            <w:vAlign w:val="center"/>
            <w:hideMark/>
          </w:tcPr>
          <w:p w:rsidR="00182C08" w:rsidRPr="00AC64B4" w:rsidRDefault="00182C08" w:rsidP="003749A8">
            <w:pPr>
              <w:pStyle w:val="ListParagraph"/>
              <w:numPr>
                <w:ilvl w:val="0"/>
                <w:numId w:val="4"/>
              </w:numPr>
              <w:spacing w:before="120" w:after="120" w:line="240" w:lineRule="auto"/>
              <w:rPr>
                <w:rFonts w:ascii="Arial" w:eastAsia="Calibri" w:hAnsi="Arial" w:cs="Arial"/>
                <w:sz w:val="20"/>
                <w:szCs w:val="20"/>
              </w:rPr>
            </w:pPr>
            <w:r w:rsidRPr="00AC64B4">
              <w:rPr>
                <w:rFonts w:ascii="Arial" w:hAnsi="Arial" w:cs="Arial"/>
                <w:sz w:val="20"/>
                <w:szCs w:val="20"/>
              </w:rPr>
              <w:t>Weighting 10% or more (up to 40%)</w:t>
            </w:r>
          </w:p>
        </w:tc>
        <w:tc>
          <w:tcPr>
            <w:tcW w:w="2500" w:type="pct"/>
            <w:tcMar>
              <w:top w:w="0" w:type="dxa"/>
              <w:left w:w="108" w:type="dxa"/>
              <w:bottom w:w="0" w:type="dxa"/>
              <w:right w:w="108" w:type="dxa"/>
            </w:tcMar>
            <w:vAlign w:val="center"/>
            <w:hideMark/>
          </w:tcPr>
          <w:p w:rsidR="00182C08" w:rsidRPr="00AC64B4" w:rsidRDefault="00182C08" w:rsidP="00001851">
            <w:pPr>
              <w:spacing w:before="120" w:after="120" w:line="240" w:lineRule="auto"/>
              <w:rPr>
                <w:rFonts w:ascii="Arial" w:eastAsia="Calibri" w:hAnsi="Arial" w:cs="Arial"/>
                <w:sz w:val="20"/>
                <w:szCs w:val="20"/>
              </w:rPr>
            </w:pPr>
            <w:r w:rsidRPr="00AC64B4">
              <w:rPr>
                <w:rFonts w:ascii="Arial" w:hAnsi="Arial" w:cs="Arial"/>
                <w:b/>
                <w:sz w:val="20"/>
                <w:szCs w:val="20"/>
              </w:rPr>
              <w:t>Technical merit &amp; functional fit</w:t>
            </w:r>
            <w:r w:rsidRPr="00AC64B4">
              <w:rPr>
                <w:rFonts w:ascii="Arial" w:hAnsi="Arial" w:cs="Arial"/>
                <w:sz w:val="20"/>
                <w:szCs w:val="20"/>
              </w:rPr>
              <w:t>: solution to deliver the project outcomes</w:t>
            </w:r>
          </w:p>
        </w:tc>
      </w:tr>
      <w:tr w:rsidR="00182C08" w:rsidRPr="00AC64B4" w:rsidTr="001A2506">
        <w:trPr>
          <w:trHeight w:val="690"/>
        </w:trPr>
        <w:tc>
          <w:tcPr>
            <w:tcW w:w="2500" w:type="pct"/>
            <w:tcMar>
              <w:top w:w="0" w:type="dxa"/>
              <w:left w:w="108" w:type="dxa"/>
              <w:bottom w:w="0" w:type="dxa"/>
              <w:right w:w="108" w:type="dxa"/>
            </w:tcMar>
            <w:vAlign w:val="center"/>
            <w:hideMark/>
          </w:tcPr>
          <w:p w:rsidR="00182C08" w:rsidRPr="00AC64B4" w:rsidRDefault="00182C08" w:rsidP="003749A8">
            <w:pPr>
              <w:pStyle w:val="ListParagraph"/>
              <w:numPr>
                <w:ilvl w:val="0"/>
                <w:numId w:val="4"/>
              </w:numPr>
              <w:spacing w:before="120" w:after="120" w:line="240" w:lineRule="auto"/>
              <w:rPr>
                <w:rFonts w:ascii="Arial" w:eastAsia="Calibri" w:hAnsi="Arial" w:cs="Arial"/>
                <w:sz w:val="20"/>
                <w:szCs w:val="20"/>
              </w:rPr>
            </w:pPr>
            <w:r w:rsidRPr="00AC64B4">
              <w:rPr>
                <w:rFonts w:ascii="Arial" w:hAnsi="Arial" w:cs="Arial"/>
                <w:sz w:val="20"/>
                <w:szCs w:val="20"/>
              </w:rPr>
              <w:t xml:space="preserve">Weighting 10% or more (up to 40%) </w:t>
            </w:r>
          </w:p>
        </w:tc>
        <w:tc>
          <w:tcPr>
            <w:tcW w:w="2500" w:type="pct"/>
            <w:tcMar>
              <w:top w:w="0" w:type="dxa"/>
              <w:left w:w="108" w:type="dxa"/>
              <w:bottom w:w="0" w:type="dxa"/>
              <w:right w:w="108" w:type="dxa"/>
            </w:tcMar>
            <w:vAlign w:val="center"/>
            <w:hideMark/>
          </w:tcPr>
          <w:p w:rsidR="00182C08" w:rsidRPr="00AC64B4" w:rsidRDefault="00182C08" w:rsidP="00001851">
            <w:pPr>
              <w:spacing w:before="120" w:after="120" w:line="240" w:lineRule="auto"/>
              <w:rPr>
                <w:rFonts w:ascii="Arial" w:eastAsia="Calibri" w:hAnsi="Arial" w:cs="Arial"/>
                <w:sz w:val="20"/>
                <w:szCs w:val="20"/>
              </w:rPr>
            </w:pPr>
            <w:r w:rsidRPr="00AC64B4">
              <w:rPr>
                <w:rFonts w:ascii="Arial" w:hAnsi="Arial" w:cs="Arial"/>
                <w:b/>
                <w:sz w:val="20"/>
                <w:szCs w:val="20"/>
              </w:rPr>
              <w:t>Cultural fit:</w:t>
            </w:r>
            <w:r w:rsidRPr="00AC64B4">
              <w:rPr>
                <w:rFonts w:ascii="Arial" w:hAnsi="Arial" w:cs="Arial"/>
                <w:sz w:val="20"/>
                <w:szCs w:val="20"/>
              </w:rPr>
              <w:t xml:space="preserve"> supplier team &amp; customer team ability to work as an integrated, co-located, effective and efficient team</w:t>
            </w:r>
          </w:p>
        </w:tc>
      </w:tr>
    </w:tbl>
    <w:p w:rsidR="00182C08" w:rsidRPr="00AC64B4" w:rsidRDefault="00182C08" w:rsidP="00001851">
      <w:pPr>
        <w:pStyle w:val="BodyText"/>
        <w:spacing w:before="120" w:line="240" w:lineRule="auto"/>
        <w:ind w:left="720"/>
        <w:jc w:val="both"/>
        <w:rPr>
          <w:rFonts w:ascii="Arial" w:hAnsi="Arial" w:cs="Arial"/>
          <w:sz w:val="20"/>
          <w:szCs w:val="20"/>
        </w:rPr>
      </w:pPr>
    </w:p>
    <w:p w:rsidR="00182C08" w:rsidRPr="00AC64B4" w:rsidRDefault="00182C08" w:rsidP="00001851">
      <w:pPr>
        <w:pStyle w:val="Heading2"/>
        <w:numPr>
          <w:ilvl w:val="0"/>
          <w:numId w:val="0"/>
        </w:numPr>
        <w:tabs>
          <w:tab w:val="clear" w:pos="567"/>
        </w:tabs>
        <w:spacing w:before="120" w:after="120"/>
        <w:jc w:val="both"/>
        <w:rPr>
          <w:rFonts w:cs="Arial"/>
          <w:sz w:val="20"/>
        </w:rPr>
      </w:pPr>
      <w:r w:rsidRPr="00AC64B4">
        <w:rPr>
          <w:rFonts w:cs="Arial"/>
          <w:sz w:val="20"/>
        </w:rPr>
        <w:t>Clarity:</w:t>
      </w:r>
    </w:p>
    <w:p w:rsidR="00182C08" w:rsidRPr="00AC64B4" w:rsidRDefault="000F45FA" w:rsidP="003749A8">
      <w:pPr>
        <w:pStyle w:val="Heading2"/>
        <w:numPr>
          <w:ilvl w:val="0"/>
          <w:numId w:val="8"/>
        </w:numPr>
        <w:tabs>
          <w:tab w:val="clear" w:pos="567"/>
        </w:tabs>
        <w:spacing w:before="120" w:after="120"/>
        <w:jc w:val="both"/>
        <w:rPr>
          <w:rFonts w:cs="Arial"/>
          <w:sz w:val="20"/>
        </w:rPr>
      </w:pPr>
      <w:r>
        <w:rPr>
          <w:rFonts w:cs="Arial"/>
          <w:sz w:val="20"/>
        </w:rPr>
        <w:t>Price</w:t>
      </w:r>
      <w:r w:rsidR="00182C08" w:rsidRPr="00AC64B4">
        <w:rPr>
          <w:rFonts w:cs="Arial"/>
          <w:sz w:val="20"/>
        </w:rPr>
        <w:t xml:space="preserve"> evaluation (20%-80%)</w:t>
      </w:r>
      <w:bookmarkEnd w:id="0"/>
    </w:p>
    <w:p w:rsidR="00316E3C" w:rsidRDefault="00182C08" w:rsidP="00316E3C">
      <w:pPr>
        <w:pStyle w:val="Heading2"/>
        <w:numPr>
          <w:ilvl w:val="0"/>
          <w:numId w:val="0"/>
        </w:numPr>
        <w:tabs>
          <w:tab w:val="clear" w:pos="567"/>
        </w:tabs>
        <w:spacing w:before="120" w:after="120"/>
        <w:ind w:left="720"/>
        <w:jc w:val="both"/>
        <w:rPr>
          <w:rFonts w:cs="Arial"/>
          <w:b w:val="0"/>
          <w:sz w:val="20"/>
        </w:rPr>
      </w:pPr>
      <w:r w:rsidRPr="00AC64B4">
        <w:rPr>
          <w:rFonts w:cs="Arial"/>
          <w:b w:val="0"/>
          <w:sz w:val="20"/>
        </w:rPr>
        <w:t xml:space="preserve">This will evaluate the price for the delivery proposed for this </w:t>
      </w:r>
      <w:r w:rsidR="00316E3C">
        <w:rPr>
          <w:rFonts w:cs="Arial"/>
          <w:b w:val="0"/>
          <w:sz w:val="20"/>
        </w:rPr>
        <w:t>project.</w:t>
      </w:r>
    </w:p>
    <w:p w:rsidR="00182C08" w:rsidRPr="00AC64B4" w:rsidRDefault="00182C08" w:rsidP="00316E3C">
      <w:pPr>
        <w:pStyle w:val="Heading2"/>
        <w:numPr>
          <w:ilvl w:val="0"/>
          <w:numId w:val="8"/>
        </w:numPr>
        <w:tabs>
          <w:tab w:val="clear" w:pos="567"/>
        </w:tabs>
        <w:spacing w:before="120" w:after="120"/>
        <w:jc w:val="both"/>
        <w:rPr>
          <w:rFonts w:cs="Arial"/>
          <w:b w:val="0"/>
          <w:sz w:val="20"/>
        </w:rPr>
      </w:pPr>
      <w:r w:rsidRPr="00AC64B4">
        <w:rPr>
          <w:rFonts w:cs="Arial"/>
          <w:sz w:val="20"/>
        </w:rPr>
        <w:t>Technical merit and functional fit (10%-40%)</w:t>
      </w:r>
    </w:p>
    <w:p w:rsidR="00182C08" w:rsidRPr="00AC64B4" w:rsidRDefault="00182C08" w:rsidP="00001851">
      <w:pPr>
        <w:pStyle w:val="Heading2"/>
        <w:numPr>
          <w:ilvl w:val="0"/>
          <w:numId w:val="0"/>
        </w:numPr>
        <w:tabs>
          <w:tab w:val="clear" w:pos="567"/>
        </w:tabs>
        <w:spacing w:before="120" w:after="120"/>
        <w:ind w:left="720"/>
        <w:jc w:val="both"/>
        <w:rPr>
          <w:rFonts w:cs="Arial"/>
          <w:b w:val="0"/>
          <w:sz w:val="20"/>
        </w:rPr>
      </w:pPr>
      <w:r w:rsidRPr="00AC64B4">
        <w:rPr>
          <w:rFonts w:cs="Arial"/>
          <w:b w:val="0"/>
          <w:sz w:val="20"/>
        </w:rPr>
        <w:t>This will evaluate the Potential Provider’s proposed technical solution together with the makeup of the proposed team, including number, type and level of role and duration of key personnel including CVs of key personnel; and availability of the delivery team Roles at the Customer’s required location.</w:t>
      </w:r>
    </w:p>
    <w:p w:rsidR="00182C08" w:rsidRDefault="00182C08" w:rsidP="00001851">
      <w:pPr>
        <w:pStyle w:val="Heading2"/>
        <w:numPr>
          <w:ilvl w:val="0"/>
          <w:numId w:val="0"/>
        </w:numPr>
        <w:tabs>
          <w:tab w:val="clear" w:pos="567"/>
        </w:tabs>
        <w:spacing w:before="120" w:after="120"/>
        <w:ind w:left="720"/>
        <w:jc w:val="both"/>
        <w:rPr>
          <w:rFonts w:cs="Arial"/>
          <w:b w:val="0"/>
          <w:sz w:val="20"/>
        </w:rPr>
      </w:pPr>
      <w:r w:rsidRPr="00AC64B4">
        <w:rPr>
          <w:rFonts w:cs="Arial"/>
          <w:b w:val="0"/>
          <w:sz w:val="20"/>
        </w:rPr>
        <w:t xml:space="preserve">Potential Providers should include all Roles proposed to deliver the Customer’s required Capabilities over the duration of the Project, as the Price (day rates and travel and subsistence expenses) will be set at Call-Off Contract for any </w:t>
      </w:r>
      <w:r w:rsidR="00C75602">
        <w:rPr>
          <w:rFonts w:cs="Arial"/>
          <w:b w:val="0"/>
          <w:sz w:val="20"/>
        </w:rPr>
        <w:t>Schedule of Works (</w:t>
      </w:r>
      <w:r w:rsidRPr="00AC64B4">
        <w:rPr>
          <w:rFonts w:cs="Arial"/>
          <w:b w:val="0"/>
          <w:sz w:val="20"/>
        </w:rPr>
        <w:t>SOW</w:t>
      </w:r>
      <w:r w:rsidR="00C75602">
        <w:rPr>
          <w:rFonts w:cs="Arial"/>
          <w:b w:val="0"/>
          <w:sz w:val="20"/>
        </w:rPr>
        <w:t>)</w:t>
      </w:r>
      <w:r w:rsidRPr="00AC64B4">
        <w:rPr>
          <w:rFonts w:cs="Arial"/>
          <w:b w:val="0"/>
          <w:sz w:val="20"/>
        </w:rPr>
        <w:t xml:space="preserve"> under that Call-Off Contract.</w:t>
      </w:r>
    </w:p>
    <w:p w:rsidR="00182C08" w:rsidRPr="00AC64B4" w:rsidRDefault="00182C08" w:rsidP="003749A8">
      <w:pPr>
        <w:pStyle w:val="Heading2"/>
        <w:numPr>
          <w:ilvl w:val="0"/>
          <w:numId w:val="8"/>
        </w:numPr>
        <w:tabs>
          <w:tab w:val="clear" w:pos="567"/>
        </w:tabs>
        <w:spacing w:before="120" w:after="120"/>
        <w:jc w:val="both"/>
        <w:rPr>
          <w:rFonts w:cs="Arial"/>
          <w:sz w:val="20"/>
        </w:rPr>
      </w:pPr>
      <w:r w:rsidRPr="00AC64B4">
        <w:rPr>
          <w:rFonts w:cs="Arial"/>
          <w:sz w:val="20"/>
        </w:rPr>
        <w:t>Cultural fit evaluation (10%-40%)</w:t>
      </w:r>
    </w:p>
    <w:p w:rsidR="00182C08" w:rsidRPr="00AC64B4" w:rsidRDefault="00182C08" w:rsidP="00001851">
      <w:pPr>
        <w:pStyle w:val="Heading2"/>
        <w:numPr>
          <w:ilvl w:val="0"/>
          <w:numId w:val="0"/>
        </w:numPr>
        <w:tabs>
          <w:tab w:val="clear" w:pos="567"/>
        </w:tabs>
        <w:spacing w:before="120" w:after="120"/>
        <w:ind w:left="720"/>
        <w:jc w:val="both"/>
        <w:rPr>
          <w:rFonts w:cs="Arial"/>
          <w:b w:val="0"/>
          <w:sz w:val="20"/>
        </w:rPr>
      </w:pPr>
      <w:r w:rsidRPr="00AC64B4">
        <w:rPr>
          <w:rFonts w:cs="Arial"/>
          <w:b w:val="0"/>
          <w:sz w:val="20"/>
        </w:rPr>
        <w:t>This will evaluate the Potential Provider’s cultural fit through their proposed approach working as part of a cross functional, multi-supplier/customer delivery team.</w:t>
      </w:r>
    </w:p>
    <w:p w:rsidR="00182C08" w:rsidRPr="00AC64B4" w:rsidRDefault="00182C08" w:rsidP="00001851">
      <w:pPr>
        <w:pStyle w:val="Heading2"/>
        <w:numPr>
          <w:ilvl w:val="0"/>
          <w:numId w:val="0"/>
        </w:numPr>
        <w:tabs>
          <w:tab w:val="clear" w:pos="567"/>
        </w:tabs>
        <w:spacing w:before="120" w:after="120"/>
        <w:ind w:left="567"/>
        <w:jc w:val="both"/>
        <w:rPr>
          <w:rFonts w:cs="Arial"/>
          <w:sz w:val="20"/>
        </w:rPr>
      </w:pPr>
    </w:p>
    <w:p w:rsidR="00001851" w:rsidRDefault="00001851">
      <w:pPr>
        <w:rPr>
          <w:rFonts w:ascii="Arial" w:hAnsi="Arial" w:cs="Arial"/>
          <w:b/>
          <w:color w:val="4F81BD" w:themeColor="accent1"/>
          <w:sz w:val="28"/>
        </w:rPr>
      </w:pPr>
      <w:r>
        <w:rPr>
          <w:rFonts w:ascii="Arial" w:hAnsi="Arial" w:cs="Arial"/>
          <w:b/>
          <w:color w:val="4F81BD" w:themeColor="accent1"/>
          <w:sz w:val="28"/>
        </w:rPr>
        <w:br w:type="page"/>
      </w:r>
    </w:p>
    <w:p w:rsidR="00182C08" w:rsidRPr="00B57219" w:rsidRDefault="00182C08" w:rsidP="00001851">
      <w:pPr>
        <w:spacing w:before="120" w:after="120" w:line="240" w:lineRule="auto"/>
        <w:jc w:val="both"/>
        <w:rPr>
          <w:rFonts w:ascii="Arial" w:eastAsia="Times New Roman" w:hAnsi="Arial" w:cs="Arial"/>
          <w:b/>
          <w:color w:val="4F81BD" w:themeColor="accent1"/>
          <w:sz w:val="28"/>
          <w:szCs w:val="20"/>
        </w:rPr>
      </w:pPr>
      <w:bookmarkStart w:id="494" w:name="GENERICMARKINGSCHEME"/>
      <w:r w:rsidRPr="00B57219">
        <w:rPr>
          <w:rFonts w:ascii="Arial" w:hAnsi="Arial" w:cs="Arial"/>
          <w:b/>
          <w:color w:val="4F81BD" w:themeColor="accent1"/>
          <w:sz w:val="28"/>
        </w:rPr>
        <w:t xml:space="preserve">GENERIC MARKING SCHEME </w:t>
      </w:r>
    </w:p>
    <w:bookmarkEnd w:id="494"/>
    <w:p w:rsidR="00182C08" w:rsidRPr="00AC64B4" w:rsidRDefault="00182C08" w:rsidP="00001851">
      <w:pPr>
        <w:pStyle w:val="Heading2"/>
        <w:numPr>
          <w:ilvl w:val="0"/>
          <w:numId w:val="0"/>
        </w:numPr>
        <w:spacing w:before="120" w:after="120"/>
        <w:jc w:val="both"/>
        <w:rPr>
          <w:rFonts w:cs="Arial"/>
          <w:b w:val="0"/>
          <w:sz w:val="20"/>
        </w:rPr>
      </w:pPr>
      <w:r w:rsidRPr="00AC64B4">
        <w:rPr>
          <w:rFonts w:cs="Arial"/>
          <w:b w:val="0"/>
          <w:sz w:val="20"/>
        </w:rPr>
        <w:t xml:space="preserve">For many of the questions in the </w:t>
      </w:r>
      <w:r w:rsidR="00C75602">
        <w:rPr>
          <w:rFonts w:cs="Arial"/>
          <w:b w:val="0"/>
          <w:sz w:val="20"/>
        </w:rPr>
        <w:t>Award Questionnaire (Appendix C)</w:t>
      </w:r>
      <w:r w:rsidRPr="00AC64B4">
        <w:rPr>
          <w:rFonts w:cs="Arial"/>
          <w:b w:val="0"/>
          <w:sz w:val="20"/>
        </w:rPr>
        <w:t>, the Marking Scheme and Evaluation Criteria will follow, or be based on, the table below.  However, the specific Marking Scheme and Evaluation Criteria vary, and Potential Providers must read the evaluation criteria and response guidance carefully. This is provided in for each question of the Award Questionnaire</w:t>
      </w:r>
      <w:r w:rsidR="00612625">
        <w:rPr>
          <w:rFonts w:cs="Arial"/>
          <w:b w:val="0"/>
          <w:sz w:val="20"/>
        </w:rPr>
        <w:t xml:space="preserve"> (Appendix C)</w:t>
      </w:r>
      <w:r w:rsidRPr="00AC64B4">
        <w:rPr>
          <w:rFonts w:cs="Arial"/>
          <w:b w:val="0"/>
          <w:sz w:val="20"/>
        </w:rPr>
        <w:t>.</w:t>
      </w:r>
    </w:p>
    <w:p w:rsidR="0069276F" w:rsidRPr="00AC64B4" w:rsidRDefault="0069276F" w:rsidP="00001851">
      <w:pPr>
        <w:pStyle w:val="BodyText"/>
        <w:spacing w:before="120" w:line="240" w:lineRule="auto"/>
        <w:rPr>
          <w:rFonts w:ascii="Arial" w:hAnsi="Arial" w:cs="Arial"/>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
        <w:gridCol w:w="1867"/>
        <w:gridCol w:w="7167"/>
      </w:tblGrid>
      <w:tr w:rsidR="00182C08" w:rsidRPr="00AC64B4" w:rsidTr="006C665F">
        <w:trPr>
          <w:trHeight w:val="690"/>
        </w:trPr>
        <w:tc>
          <w:tcPr>
            <w:tcW w:w="466" w:type="pct"/>
            <w:shd w:val="clear" w:color="auto" w:fill="C6D9F1" w:themeFill="text2" w:themeFillTint="33"/>
            <w:vAlign w:val="center"/>
          </w:tcPr>
          <w:p w:rsidR="00182C08" w:rsidRPr="00AC64B4" w:rsidRDefault="001A2506" w:rsidP="00001851">
            <w:pPr>
              <w:pStyle w:val="Heading2"/>
              <w:numPr>
                <w:ilvl w:val="0"/>
                <w:numId w:val="0"/>
              </w:numPr>
              <w:spacing w:before="120" w:after="120"/>
              <w:outlineLvl w:val="1"/>
              <w:rPr>
                <w:rFonts w:cs="Arial"/>
                <w:sz w:val="20"/>
              </w:rPr>
            </w:pPr>
            <w:r w:rsidRPr="00AC64B4">
              <w:rPr>
                <w:rFonts w:cs="Arial"/>
                <w:sz w:val="20"/>
              </w:rPr>
              <w:t>SCORE</w:t>
            </w:r>
          </w:p>
        </w:tc>
        <w:tc>
          <w:tcPr>
            <w:tcW w:w="937" w:type="pct"/>
            <w:shd w:val="clear" w:color="auto" w:fill="C6D9F1" w:themeFill="text2" w:themeFillTint="33"/>
            <w:vAlign w:val="center"/>
          </w:tcPr>
          <w:p w:rsidR="00182C08" w:rsidRPr="00AC64B4" w:rsidRDefault="001A2506" w:rsidP="00001851">
            <w:pPr>
              <w:pStyle w:val="Heading2"/>
              <w:numPr>
                <w:ilvl w:val="0"/>
                <w:numId w:val="0"/>
              </w:numPr>
              <w:spacing w:before="120" w:after="120"/>
              <w:outlineLvl w:val="1"/>
              <w:rPr>
                <w:rFonts w:cs="Arial"/>
                <w:sz w:val="20"/>
              </w:rPr>
            </w:pPr>
            <w:r w:rsidRPr="00AC64B4">
              <w:rPr>
                <w:rFonts w:cs="Arial"/>
                <w:sz w:val="20"/>
              </w:rPr>
              <w:t>RATING</w:t>
            </w:r>
          </w:p>
        </w:tc>
        <w:tc>
          <w:tcPr>
            <w:tcW w:w="3598" w:type="pct"/>
            <w:shd w:val="clear" w:color="auto" w:fill="C6D9F1" w:themeFill="text2" w:themeFillTint="33"/>
            <w:vAlign w:val="center"/>
          </w:tcPr>
          <w:p w:rsidR="00182C08" w:rsidRPr="00AC64B4" w:rsidRDefault="001A2506" w:rsidP="00001851">
            <w:pPr>
              <w:pStyle w:val="Heading2"/>
              <w:numPr>
                <w:ilvl w:val="0"/>
                <w:numId w:val="0"/>
              </w:numPr>
              <w:spacing w:before="120" w:after="120"/>
              <w:outlineLvl w:val="1"/>
              <w:rPr>
                <w:rFonts w:cs="Arial"/>
                <w:sz w:val="20"/>
              </w:rPr>
            </w:pPr>
            <w:r w:rsidRPr="00AC64B4">
              <w:rPr>
                <w:rFonts w:cs="Arial"/>
                <w:sz w:val="20"/>
              </w:rPr>
              <w:t>CRITERIA FOR AWARDING SCORE</w:t>
            </w:r>
          </w:p>
        </w:tc>
      </w:tr>
      <w:tr w:rsidR="00182C08" w:rsidRPr="00AC64B4" w:rsidTr="0072182C">
        <w:trPr>
          <w:trHeight w:val="690"/>
        </w:trPr>
        <w:tc>
          <w:tcPr>
            <w:tcW w:w="466" w:type="pct"/>
            <w:vAlign w:val="center"/>
          </w:tcPr>
          <w:p w:rsidR="00182C08" w:rsidRPr="00AC64B4" w:rsidRDefault="00182C08" w:rsidP="00001851">
            <w:pPr>
              <w:pStyle w:val="Heading1"/>
              <w:spacing w:before="120" w:after="120"/>
              <w:outlineLvl w:val="0"/>
              <w:rPr>
                <w:rFonts w:cs="Arial"/>
                <w:sz w:val="20"/>
              </w:rPr>
            </w:pPr>
            <w:r w:rsidRPr="00AC64B4">
              <w:rPr>
                <w:rFonts w:cs="Arial"/>
                <w:sz w:val="20"/>
              </w:rPr>
              <w:t>0</w:t>
            </w:r>
          </w:p>
        </w:tc>
        <w:tc>
          <w:tcPr>
            <w:tcW w:w="937" w:type="pct"/>
            <w:vAlign w:val="center"/>
          </w:tcPr>
          <w:p w:rsidR="004A44BD" w:rsidRDefault="006C665F">
            <w:pPr>
              <w:pStyle w:val="Heading1"/>
              <w:spacing w:before="120" w:after="120"/>
              <w:outlineLvl w:val="0"/>
            </w:pPr>
            <w:r>
              <w:rPr>
                <w:rFonts w:cs="Arial"/>
                <w:sz w:val="20"/>
              </w:rPr>
              <w:t>Unacceptable</w:t>
            </w:r>
          </w:p>
        </w:tc>
        <w:tc>
          <w:tcPr>
            <w:tcW w:w="3598" w:type="pct"/>
            <w:vAlign w:val="center"/>
          </w:tcPr>
          <w:p w:rsidR="00182C08" w:rsidRPr="00AC64B4" w:rsidRDefault="00182C08" w:rsidP="00001851">
            <w:pPr>
              <w:pStyle w:val="Heading1"/>
              <w:spacing w:before="120" w:after="120"/>
              <w:outlineLvl w:val="0"/>
              <w:rPr>
                <w:rFonts w:cs="Arial"/>
                <w:sz w:val="20"/>
              </w:rPr>
            </w:pPr>
            <w:r w:rsidRPr="00AC64B4">
              <w:rPr>
                <w:rFonts w:cs="Arial"/>
                <w:sz w:val="20"/>
              </w:rPr>
              <w:t>No ability or no evidence</w:t>
            </w:r>
          </w:p>
        </w:tc>
      </w:tr>
      <w:tr w:rsidR="00182C08" w:rsidRPr="00AC64B4" w:rsidTr="006C665F">
        <w:trPr>
          <w:trHeight w:val="690"/>
        </w:trPr>
        <w:tc>
          <w:tcPr>
            <w:tcW w:w="466" w:type="pct"/>
            <w:vAlign w:val="center"/>
          </w:tcPr>
          <w:p w:rsidR="00182C08" w:rsidRPr="00AC64B4" w:rsidRDefault="00182C08" w:rsidP="00001851">
            <w:pPr>
              <w:pStyle w:val="Heading1"/>
              <w:spacing w:before="120" w:after="120"/>
              <w:outlineLvl w:val="0"/>
              <w:rPr>
                <w:rFonts w:cs="Arial"/>
                <w:sz w:val="20"/>
              </w:rPr>
            </w:pPr>
            <w:r w:rsidRPr="00AC64B4">
              <w:rPr>
                <w:rFonts w:cs="Arial"/>
                <w:sz w:val="20"/>
              </w:rPr>
              <w:t>1</w:t>
            </w:r>
          </w:p>
        </w:tc>
        <w:tc>
          <w:tcPr>
            <w:tcW w:w="937" w:type="pct"/>
            <w:vAlign w:val="center"/>
          </w:tcPr>
          <w:p w:rsidR="00182C08" w:rsidRPr="00AC64B4" w:rsidRDefault="00182C08" w:rsidP="00001851">
            <w:pPr>
              <w:pStyle w:val="Heading1"/>
              <w:spacing w:before="120" w:after="120"/>
              <w:outlineLvl w:val="0"/>
              <w:rPr>
                <w:rFonts w:cs="Arial"/>
                <w:sz w:val="20"/>
              </w:rPr>
            </w:pPr>
            <w:r w:rsidRPr="00AC64B4">
              <w:rPr>
                <w:rFonts w:cs="Arial"/>
                <w:sz w:val="20"/>
              </w:rPr>
              <w:t>Not Met</w:t>
            </w:r>
          </w:p>
        </w:tc>
        <w:tc>
          <w:tcPr>
            <w:tcW w:w="3598" w:type="pct"/>
            <w:vAlign w:val="center"/>
          </w:tcPr>
          <w:p w:rsidR="00182C08" w:rsidRPr="00AC64B4" w:rsidRDefault="00182C08" w:rsidP="00001851">
            <w:pPr>
              <w:pStyle w:val="Heading1"/>
              <w:spacing w:before="120" w:after="120"/>
              <w:outlineLvl w:val="0"/>
              <w:rPr>
                <w:rFonts w:cs="Arial"/>
                <w:sz w:val="20"/>
              </w:rPr>
            </w:pPr>
            <w:r w:rsidRPr="00AC64B4">
              <w:rPr>
                <w:rFonts w:cs="Arial"/>
                <w:sz w:val="20"/>
              </w:rPr>
              <w:t xml:space="preserve">Evidence is insufficient or unrelated – response unconnected to the requirement or fails to demonstrate that the requirement </w:t>
            </w:r>
          </w:p>
        </w:tc>
      </w:tr>
      <w:tr w:rsidR="00182C08" w:rsidRPr="00AC64B4" w:rsidTr="006C665F">
        <w:trPr>
          <w:trHeight w:val="690"/>
        </w:trPr>
        <w:tc>
          <w:tcPr>
            <w:tcW w:w="466" w:type="pct"/>
            <w:vAlign w:val="center"/>
          </w:tcPr>
          <w:p w:rsidR="00182C08" w:rsidRPr="00AC64B4" w:rsidRDefault="00182C08" w:rsidP="00001851">
            <w:pPr>
              <w:pStyle w:val="Heading1"/>
              <w:spacing w:before="120" w:after="120"/>
              <w:outlineLvl w:val="0"/>
              <w:rPr>
                <w:rFonts w:cs="Arial"/>
                <w:sz w:val="20"/>
              </w:rPr>
            </w:pPr>
            <w:r w:rsidRPr="00AC64B4">
              <w:rPr>
                <w:rFonts w:cs="Arial"/>
                <w:sz w:val="20"/>
              </w:rPr>
              <w:t>2</w:t>
            </w:r>
          </w:p>
        </w:tc>
        <w:tc>
          <w:tcPr>
            <w:tcW w:w="937" w:type="pct"/>
            <w:vAlign w:val="center"/>
          </w:tcPr>
          <w:p w:rsidR="00182C08" w:rsidRPr="00AC64B4" w:rsidRDefault="00182C08" w:rsidP="00001851">
            <w:pPr>
              <w:pStyle w:val="Heading1"/>
              <w:spacing w:before="120" w:after="120"/>
              <w:outlineLvl w:val="0"/>
              <w:rPr>
                <w:rFonts w:cs="Arial"/>
                <w:sz w:val="20"/>
              </w:rPr>
            </w:pPr>
            <w:r w:rsidRPr="00AC64B4">
              <w:rPr>
                <w:rFonts w:cs="Arial"/>
                <w:sz w:val="20"/>
              </w:rPr>
              <w:t>Partially Met</w:t>
            </w:r>
          </w:p>
        </w:tc>
        <w:tc>
          <w:tcPr>
            <w:tcW w:w="3598" w:type="pct"/>
            <w:vAlign w:val="center"/>
          </w:tcPr>
          <w:p w:rsidR="00182C08" w:rsidRPr="00AC64B4" w:rsidRDefault="00182C08" w:rsidP="00001851">
            <w:pPr>
              <w:pStyle w:val="Heading1"/>
              <w:spacing w:before="120" w:after="120"/>
              <w:outlineLvl w:val="0"/>
              <w:rPr>
                <w:rFonts w:cs="Arial"/>
                <w:sz w:val="20"/>
              </w:rPr>
            </w:pPr>
            <w:r w:rsidRPr="00AC64B4">
              <w:rPr>
                <w:rFonts w:cs="Arial"/>
                <w:sz w:val="20"/>
              </w:rPr>
              <w:t xml:space="preserve">Partial criteria evidenced – or the response is generic </w:t>
            </w:r>
          </w:p>
        </w:tc>
      </w:tr>
      <w:tr w:rsidR="00182C08" w:rsidRPr="00AC64B4" w:rsidTr="006C665F">
        <w:trPr>
          <w:trHeight w:val="690"/>
        </w:trPr>
        <w:tc>
          <w:tcPr>
            <w:tcW w:w="466" w:type="pct"/>
            <w:vAlign w:val="center"/>
          </w:tcPr>
          <w:p w:rsidR="00182C08" w:rsidRPr="00AC64B4" w:rsidRDefault="00182C08" w:rsidP="00001851">
            <w:pPr>
              <w:pStyle w:val="Heading1"/>
              <w:spacing w:before="120" w:after="120"/>
              <w:outlineLvl w:val="0"/>
              <w:rPr>
                <w:rFonts w:cs="Arial"/>
                <w:sz w:val="20"/>
              </w:rPr>
            </w:pPr>
            <w:r w:rsidRPr="00AC64B4">
              <w:rPr>
                <w:rFonts w:cs="Arial"/>
                <w:sz w:val="20"/>
              </w:rPr>
              <w:t>3</w:t>
            </w:r>
          </w:p>
        </w:tc>
        <w:tc>
          <w:tcPr>
            <w:tcW w:w="937" w:type="pct"/>
            <w:vAlign w:val="center"/>
          </w:tcPr>
          <w:p w:rsidR="00182C08" w:rsidRPr="00AC64B4" w:rsidRDefault="00182C08" w:rsidP="00001851">
            <w:pPr>
              <w:pStyle w:val="Heading1"/>
              <w:spacing w:before="120" w:after="120"/>
              <w:outlineLvl w:val="0"/>
              <w:rPr>
                <w:rFonts w:cs="Arial"/>
                <w:sz w:val="20"/>
              </w:rPr>
            </w:pPr>
            <w:r w:rsidRPr="00AC64B4">
              <w:rPr>
                <w:rFonts w:cs="Arial"/>
                <w:sz w:val="20"/>
              </w:rPr>
              <w:t>Met</w:t>
            </w:r>
          </w:p>
        </w:tc>
        <w:tc>
          <w:tcPr>
            <w:tcW w:w="3598" w:type="pct"/>
            <w:vAlign w:val="center"/>
          </w:tcPr>
          <w:p w:rsidR="00182C08" w:rsidRPr="00AC64B4" w:rsidRDefault="00182C08" w:rsidP="00001851">
            <w:pPr>
              <w:pStyle w:val="Heading1"/>
              <w:spacing w:before="120" w:after="120"/>
              <w:outlineLvl w:val="0"/>
              <w:rPr>
                <w:rFonts w:cs="Arial"/>
                <w:sz w:val="20"/>
              </w:rPr>
            </w:pPr>
            <w:r w:rsidRPr="00AC64B4">
              <w:rPr>
                <w:rFonts w:cs="Arial"/>
                <w:sz w:val="20"/>
              </w:rPr>
              <w:t>Criteria evidenced – the requirement is met and the response is robust</w:t>
            </w:r>
          </w:p>
        </w:tc>
      </w:tr>
    </w:tbl>
    <w:p w:rsidR="00FC4ACC" w:rsidRDefault="00FC4ACC" w:rsidP="00FC4ACC">
      <w:pPr>
        <w:pStyle w:val="Heading2"/>
        <w:numPr>
          <w:ilvl w:val="0"/>
          <w:numId w:val="0"/>
        </w:numPr>
        <w:tabs>
          <w:tab w:val="clear" w:pos="567"/>
        </w:tabs>
        <w:spacing w:before="120" w:after="120"/>
        <w:rPr>
          <w:rFonts w:cs="Arial"/>
          <w:b w:val="0"/>
          <w:sz w:val="20"/>
        </w:rPr>
      </w:pPr>
      <w:bookmarkStart w:id="495" w:name="_Ref374873101"/>
    </w:p>
    <w:p w:rsidR="00FC4ACC" w:rsidRDefault="00FC4ACC" w:rsidP="00FC4ACC">
      <w:pPr>
        <w:pStyle w:val="Heading2"/>
        <w:numPr>
          <w:ilvl w:val="0"/>
          <w:numId w:val="0"/>
        </w:numPr>
        <w:tabs>
          <w:tab w:val="clear" w:pos="567"/>
        </w:tabs>
        <w:spacing w:before="120" w:after="120"/>
        <w:rPr>
          <w:rFonts w:cs="Arial"/>
          <w:b w:val="0"/>
          <w:sz w:val="20"/>
        </w:rPr>
      </w:pPr>
    </w:p>
    <w:p w:rsidR="00FC4ACC" w:rsidRDefault="001C2F0B" w:rsidP="00FC4ACC">
      <w:pPr>
        <w:pStyle w:val="Heading2"/>
        <w:numPr>
          <w:ilvl w:val="0"/>
          <w:numId w:val="0"/>
        </w:numPr>
        <w:tabs>
          <w:tab w:val="clear" w:pos="567"/>
        </w:tabs>
        <w:spacing w:before="120" w:after="120"/>
        <w:rPr>
          <w:rFonts w:cs="Arial"/>
          <w:b w:val="0"/>
          <w:sz w:val="20"/>
        </w:rPr>
      </w:pPr>
      <w:r w:rsidRPr="00DE3B33">
        <w:rPr>
          <w:rFonts w:cs="Arial"/>
          <w:b w:val="0"/>
          <w:sz w:val="20"/>
        </w:rPr>
        <w:t xml:space="preserve">This RFP will be evaluated </w:t>
      </w:r>
      <w:r w:rsidR="00FC4ACC">
        <w:rPr>
          <w:rFonts w:cs="Arial"/>
          <w:b w:val="0"/>
          <w:sz w:val="20"/>
        </w:rPr>
        <w:t>as follows:</w:t>
      </w:r>
    </w:p>
    <w:p w:rsidR="00FC4ACC" w:rsidRDefault="001C2F0B" w:rsidP="00FC4ACC">
      <w:pPr>
        <w:pStyle w:val="Heading2"/>
        <w:numPr>
          <w:ilvl w:val="0"/>
          <w:numId w:val="8"/>
        </w:numPr>
        <w:tabs>
          <w:tab w:val="clear" w:pos="567"/>
        </w:tabs>
        <w:spacing w:before="120" w:after="120"/>
        <w:rPr>
          <w:rFonts w:cs="Arial"/>
          <w:b w:val="0"/>
          <w:sz w:val="20"/>
        </w:rPr>
      </w:pPr>
      <w:r w:rsidRPr="00DE3B33">
        <w:rPr>
          <w:rFonts w:cs="Arial"/>
          <w:b w:val="0"/>
          <w:sz w:val="20"/>
        </w:rPr>
        <w:t>Technical &amp; Cultural evaluation</w:t>
      </w:r>
    </w:p>
    <w:p w:rsidR="001C2F0B" w:rsidRPr="00FC4ACC" w:rsidRDefault="001C2F0B" w:rsidP="00FC4ACC">
      <w:pPr>
        <w:pStyle w:val="Heading2"/>
        <w:numPr>
          <w:ilvl w:val="0"/>
          <w:numId w:val="8"/>
        </w:numPr>
        <w:tabs>
          <w:tab w:val="clear" w:pos="567"/>
        </w:tabs>
        <w:spacing w:before="120" w:after="120"/>
        <w:rPr>
          <w:rFonts w:cs="Arial"/>
          <w:b w:val="0"/>
          <w:sz w:val="20"/>
        </w:rPr>
      </w:pPr>
      <w:r w:rsidRPr="00FC4ACC">
        <w:rPr>
          <w:rFonts w:cs="Arial"/>
          <w:b w:val="0"/>
          <w:sz w:val="20"/>
        </w:rPr>
        <w:t>Pricing evaluation</w:t>
      </w:r>
    </w:p>
    <w:p w:rsidR="001C2F0B" w:rsidRPr="00DE3B33" w:rsidRDefault="001C2F0B" w:rsidP="001C2F0B">
      <w:pPr>
        <w:pStyle w:val="BodyText"/>
        <w:spacing w:before="120" w:line="240" w:lineRule="auto"/>
        <w:rPr>
          <w:rFonts w:ascii="Arial" w:hAnsi="Arial" w:cs="Arial"/>
          <w:sz w:val="20"/>
          <w:szCs w:val="20"/>
        </w:rPr>
      </w:pPr>
    </w:p>
    <w:p w:rsidR="001C2F0B" w:rsidRPr="00DE3B33" w:rsidRDefault="001C2F0B" w:rsidP="001C2F0B">
      <w:pPr>
        <w:pStyle w:val="BodyText"/>
        <w:spacing w:before="120" w:line="240" w:lineRule="auto"/>
      </w:pPr>
    </w:p>
    <w:p w:rsidR="001C2F0B" w:rsidRDefault="001C2F0B" w:rsidP="001C2F0B">
      <w:pPr>
        <w:pStyle w:val="Heading2"/>
        <w:numPr>
          <w:ilvl w:val="0"/>
          <w:numId w:val="0"/>
        </w:numPr>
        <w:tabs>
          <w:tab w:val="clear" w:pos="567"/>
        </w:tabs>
        <w:spacing w:before="120" w:after="120"/>
        <w:rPr>
          <w:rFonts w:cs="Arial"/>
          <w:sz w:val="20"/>
        </w:rPr>
      </w:pPr>
    </w:p>
    <w:p w:rsidR="001C2F0B" w:rsidRDefault="001C2F0B" w:rsidP="001C2F0B">
      <w:pPr>
        <w:rPr>
          <w:rFonts w:ascii="Arial" w:eastAsia="Times New Roman" w:hAnsi="Arial" w:cs="Arial"/>
          <w:b/>
          <w:color w:val="4F81BD" w:themeColor="accent1"/>
          <w:sz w:val="28"/>
          <w:szCs w:val="28"/>
        </w:rPr>
      </w:pPr>
      <w:r>
        <w:rPr>
          <w:rFonts w:cs="Arial"/>
          <w:color w:val="4F81BD" w:themeColor="accent1"/>
          <w:sz w:val="28"/>
          <w:szCs w:val="28"/>
        </w:rPr>
        <w:br w:type="page"/>
      </w:r>
    </w:p>
    <w:p w:rsidR="001C2F0B" w:rsidRDefault="001C2F0B" w:rsidP="001C2F0B">
      <w:pPr>
        <w:pStyle w:val="Heading2"/>
        <w:numPr>
          <w:ilvl w:val="0"/>
          <w:numId w:val="0"/>
        </w:numPr>
        <w:tabs>
          <w:tab w:val="clear" w:pos="567"/>
        </w:tabs>
        <w:spacing w:before="120" w:after="120"/>
        <w:jc w:val="both"/>
        <w:rPr>
          <w:rFonts w:cs="Arial"/>
          <w:color w:val="4F81BD" w:themeColor="accent1"/>
          <w:sz w:val="28"/>
          <w:szCs w:val="28"/>
        </w:rPr>
      </w:pPr>
      <w:bookmarkStart w:id="496" w:name="PriceScoring"/>
      <w:r>
        <w:rPr>
          <w:rFonts w:cs="Arial"/>
          <w:color w:val="4F81BD" w:themeColor="accent1"/>
          <w:sz w:val="28"/>
          <w:szCs w:val="28"/>
        </w:rPr>
        <w:t>PRICE SCORING</w:t>
      </w:r>
    </w:p>
    <w:bookmarkEnd w:id="496"/>
    <w:p w:rsidR="001C2F0B" w:rsidRPr="001A2506" w:rsidRDefault="001C2F0B" w:rsidP="001C2F0B">
      <w:pPr>
        <w:pStyle w:val="Heading2"/>
        <w:numPr>
          <w:ilvl w:val="0"/>
          <w:numId w:val="0"/>
        </w:numPr>
        <w:tabs>
          <w:tab w:val="clear" w:pos="567"/>
        </w:tabs>
        <w:spacing w:before="120" w:after="120"/>
        <w:jc w:val="both"/>
        <w:rPr>
          <w:rFonts w:cs="Arial"/>
          <w:sz w:val="20"/>
          <w:szCs w:val="28"/>
        </w:rPr>
      </w:pPr>
      <w:r w:rsidRPr="001A2506">
        <w:rPr>
          <w:rFonts w:cs="Arial"/>
          <w:sz w:val="20"/>
          <w:szCs w:val="28"/>
        </w:rPr>
        <w:t>Current Project</w:t>
      </w:r>
      <w:bookmarkEnd w:id="495"/>
    </w:p>
    <w:p w:rsidR="001C2F0B" w:rsidRDefault="001C2F0B" w:rsidP="001C2F0B">
      <w:pPr>
        <w:pStyle w:val="Heading2"/>
        <w:numPr>
          <w:ilvl w:val="0"/>
          <w:numId w:val="0"/>
        </w:numPr>
        <w:tabs>
          <w:tab w:val="clear" w:pos="567"/>
        </w:tabs>
        <w:spacing w:before="120" w:after="120"/>
        <w:rPr>
          <w:b w:val="0"/>
          <w:sz w:val="20"/>
        </w:rPr>
      </w:pPr>
      <w:bookmarkStart w:id="497" w:name="_Ref374873115"/>
      <w:permStart w:id="1422095836" w:edGrp="everyone"/>
      <w:permEnd w:id="1422095836"/>
      <w:r w:rsidRPr="00BE5A77">
        <w:rPr>
          <w:b w:val="0"/>
          <w:sz w:val="20"/>
        </w:rPr>
        <w:t xml:space="preserve">The Potential Provider is required to provide, in the Pricing Matrix (Appendix </w:t>
      </w:r>
      <w:r w:rsidR="00D81EC7">
        <w:rPr>
          <w:b w:val="0"/>
          <w:sz w:val="20"/>
        </w:rPr>
        <w:t>B</w:t>
      </w:r>
      <w:r w:rsidRPr="00BE5A77">
        <w:rPr>
          <w:b w:val="0"/>
          <w:sz w:val="20"/>
        </w:rPr>
        <w:t xml:space="preserve"> of this RFP), the following, for each phase in this project:</w:t>
      </w:r>
    </w:p>
    <w:p w:rsidR="001C2F0B" w:rsidRDefault="001C2F0B" w:rsidP="003749A8">
      <w:pPr>
        <w:pStyle w:val="Heading2"/>
        <w:numPr>
          <w:ilvl w:val="1"/>
          <w:numId w:val="9"/>
        </w:numPr>
        <w:tabs>
          <w:tab w:val="clear" w:pos="567"/>
        </w:tabs>
        <w:spacing w:before="120" w:after="120"/>
        <w:ind w:left="1276"/>
        <w:rPr>
          <w:b w:val="0"/>
          <w:sz w:val="20"/>
        </w:rPr>
      </w:pPr>
      <w:r>
        <w:rPr>
          <w:b w:val="0"/>
          <w:sz w:val="20"/>
        </w:rPr>
        <w:t>a</w:t>
      </w:r>
      <w:r w:rsidRPr="00E24FDA">
        <w:rPr>
          <w:b w:val="0"/>
          <w:sz w:val="20"/>
        </w:rPr>
        <w:t xml:space="preserve"> </w:t>
      </w:r>
      <w:r>
        <w:rPr>
          <w:b w:val="0"/>
          <w:sz w:val="20"/>
        </w:rPr>
        <w:t xml:space="preserve">day rate </w:t>
      </w:r>
      <w:r w:rsidRPr="00E24FDA">
        <w:rPr>
          <w:b w:val="0"/>
          <w:sz w:val="20"/>
        </w:rPr>
        <w:t xml:space="preserve">for each </w:t>
      </w:r>
      <w:r>
        <w:rPr>
          <w:b w:val="0"/>
          <w:sz w:val="20"/>
        </w:rPr>
        <w:t>proposed</w:t>
      </w:r>
      <w:r w:rsidRPr="00E24FDA">
        <w:rPr>
          <w:b w:val="0"/>
          <w:sz w:val="20"/>
        </w:rPr>
        <w:t xml:space="preserve"> role</w:t>
      </w:r>
      <w:r>
        <w:rPr>
          <w:b w:val="0"/>
          <w:sz w:val="20"/>
        </w:rPr>
        <w:t xml:space="preserve"> function;</w:t>
      </w:r>
    </w:p>
    <w:p w:rsidR="001C2F0B" w:rsidRPr="00DE3B33" w:rsidRDefault="001C2F0B" w:rsidP="003749A8">
      <w:pPr>
        <w:pStyle w:val="Heading2"/>
        <w:numPr>
          <w:ilvl w:val="1"/>
          <w:numId w:val="9"/>
        </w:numPr>
        <w:tabs>
          <w:tab w:val="clear" w:pos="567"/>
        </w:tabs>
        <w:spacing w:before="120" w:after="120"/>
        <w:ind w:left="1276"/>
        <w:rPr>
          <w:b w:val="0"/>
          <w:sz w:val="20"/>
        </w:rPr>
      </w:pPr>
      <w:r w:rsidRPr="00DE3B33">
        <w:rPr>
          <w:b w:val="0"/>
          <w:sz w:val="20"/>
        </w:rPr>
        <w:t xml:space="preserve">a travel and subsistence (T&amp;S) rate for each proposed role function, in respect of locations listed in the Customer Requirements Specification; </w:t>
      </w:r>
    </w:p>
    <w:p w:rsidR="001C2F0B" w:rsidRDefault="001C2F0B" w:rsidP="003749A8">
      <w:pPr>
        <w:pStyle w:val="Heading2"/>
        <w:numPr>
          <w:ilvl w:val="1"/>
          <w:numId w:val="9"/>
        </w:numPr>
        <w:tabs>
          <w:tab w:val="clear" w:pos="567"/>
        </w:tabs>
        <w:spacing w:before="120" w:after="120"/>
        <w:ind w:left="1276"/>
        <w:rPr>
          <w:sz w:val="20"/>
        </w:rPr>
      </w:pPr>
      <w:r>
        <w:rPr>
          <w:b w:val="0"/>
          <w:sz w:val="20"/>
        </w:rPr>
        <w:t>the number of roles proposed for each function;</w:t>
      </w:r>
    </w:p>
    <w:p w:rsidR="00D81EC7" w:rsidRPr="00D81EC7" w:rsidRDefault="001C2F0B" w:rsidP="003749A8">
      <w:pPr>
        <w:pStyle w:val="Heading2"/>
        <w:numPr>
          <w:ilvl w:val="1"/>
          <w:numId w:val="9"/>
        </w:numPr>
        <w:tabs>
          <w:tab w:val="clear" w:pos="567"/>
        </w:tabs>
        <w:spacing w:before="120" w:after="120"/>
        <w:ind w:left="1276"/>
        <w:rPr>
          <w:sz w:val="20"/>
        </w:rPr>
      </w:pPr>
      <w:r>
        <w:rPr>
          <w:b w:val="0"/>
          <w:sz w:val="20"/>
        </w:rPr>
        <w:t>the level (Junior or Senior) of roles proposed for each function</w:t>
      </w:r>
      <w:r w:rsidR="00D81EC7">
        <w:rPr>
          <w:b w:val="0"/>
          <w:sz w:val="20"/>
        </w:rPr>
        <w:t>;</w:t>
      </w:r>
    </w:p>
    <w:p w:rsidR="001C2F0B" w:rsidRDefault="00D81EC7" w:rsidP="003749A8">
      <w:pPr>
        <w:pStyle w:val="Heading2"/>
        <w:numPr>
          <w:ilvl w:val="1"/>
          <w:numId w:val="9"/>
        </w:numPr>
        <w:tabs>
          <w:tab w:val="clear" w:pos="567"/>
        </w:tabs>
        <w:spacing w:before="120" w:after="120"/>
        <w:ind w:left="1276"/>
        <w:rPr>
          <w:sz w:val="20"/>
        </w:rPr>
      </w:pPr>
      <w:r>
        <w:rPr>
          <w:b w:val="0"/>
          <w:sz w:val="20"/>
        </w:rPr>
        <w:t>The number of days proposed for each function</w:t>
      </w:r>
      <w:r w:rsidR="001C2F0B">
        <w:rPr>
          <w:b w:val="0"/>
          <w:sz w:val="20"/>
        </w:rPr>
        <w:t>;</w:t>
      </w:r>
    </w:p>
    <w:p w:rsidR="001C2F0B" w:rsidRDefault="001C2F0B" w:rsidP="003749A8">
      <w:pPr>
        <w:pStyle w:val="Heading2"/>
        <w:numPr>
          <w:ilvl w:val="1"/>
          <w:numId w:val="9"/>
        </w:numPr>
        <w:tabs>
          <w:tab w:val="clear" w:pos="567"/>
        </w:tabs>
        <w:spacing w:before="120" w:after="120"/>
        <w:ind w:left="1276"/>
        <w:rPr>
          <w:sz w:val="20"/>
        </w:rPr>
      </w:pPr>
      <w:r>
        <w:rPr>
          <w:b w:val="0"/>
          <w:sz w:val="20"/>
        </w:rPr>
        <w:t>the applicable discount levels.</w:t>
      </w:r>
    </w:p>
    <w:p w:rsidR="001C2F0B" w:rsidRPr="00BE5A77" w:rsidRDefault="001C2F0B" w:rsidP="001C2F0B">
      <w:pPr>
        <w:pStyle w:val="Heading2"/>
        <w:numPr>
          <w:ilvl w:val="0"/>
          <w:numId w:val="0"/>
        </w:numPr>
        <w:tabs>
          <w:tab w:val="clear" w:pos="567"/>
        </w:tabs>
        <w:spacing w:before="120" w:after="120"/>
        <w:rPr>
          <w:b w:val="0"/>
          <w:sz w:val="20"/>
        </w:rPr>
      </w:pPr>
      <w:r w:rsidRPr="00BE5A77">
        <w:rPr>
          <w:b w:val="0"/>
          <w:sz w:val="20"/>
        </w:rPr>
        <w:t>The Total Price is calculated as follows:</w:t>
      </w:r>
    </w:p>
    <w:p w:rsidR="001C2F0B" w:rsidRDefault="001C2F0B" w:rsidP="003749A8">
      <w:pPr>
        <w:pStyle w:val="Heading2"/>
        <w:numPr>
          <w:ilvl w:val="0"/>
          <w:numId w:val="10"/>
        </w:numPr>
        <w:tabs>
          <w:tab w:val="clear" w:pos="567"/>
        </w:tabs>
        <w:spacing w:before="120" w:after="120"/>
        <w:ind w:left="1276" w:hanging="567"/>
        <w:rPr>
          <w:sz w:val="20"/>
        </w:rPr>
      </w:pPr>
      <w:r>
        <w:rPr>
          <w:b w:val="0"/>
          <w:sz w:val="20"/>
        </w:rPr>
        <w:t xml:space="preserve">For each role function, in each phase: </w:t>
      </w:r>
      <w:r>
        <w:rPr>
          <w:b w:val="0"/>
          <w:sz w:val="20"/>
        </w:rPr>
        <w:br/>
        <w:t>(Day Rate + T&amp;S) x (</w:t>
      </w:r>
      <w:r w:rsidRPr="0072189A">
        <w:rPr>
          <w:b w:val="0"/>
          <w:sz w:val="20"/>
        </w:rPr>
        <w:t>N</w:t>
      </w:r>
      <w:r>
        <w:rPr>
          <w:b w:val="0"/>
          <w:sz w:val="20"/>
        </w:rPr>
        <w:t>o.</w:t>
      </w:r>
      <w:r w:rsidRPr="0072189A">
        <w:rPr>
          <w:b w:val="0"/>
          <w:sz w:val="20"/>
        </w:rPr>
        <w:t xml:space="preserve"> of role</w:t>
      </w:r>
      <w:r>
        <w:rPr>
          <w:b w:val="0"/>
          <w:sz w:val="20"/>
        </w:rPr>
        <w:t>s</w:t>
      </w:r>
      <w:r w:rsidRPr="0072189A">
        <w:rPr>
          <w:b w:val="0"/>
          <w:sz w:val="20"/>
        </w:rPr>
        <w:t xml:space="preserve"> per phase</w:t>
      </w:r>
      <w:r>
        <w:rPr>
          <w:b w:val="0"/>
          <w:sz w:val="20"/>
        </w:rPr>
        <w:t>) x (</w:t>
      </w:r>
      <w:r w:rsidRPr="0072189A">
        <w:rPr>
          <w:b w:val="0"/>
          <w:sz w:val="20"/>
        </w:rPr>
        <w:t>N</w:t>
      </w:r>
      <w:r>
        <w:rPr>
          <w:b w:val="0"/>
          <w:sz w:val="20"/>
        </w:rPr>
        <w:t>o.</w:t>
      </w:r>
      <w:r w:rsidRPr="0072189A">
        <w:rPr>
          <w:b w:val="0"/>
          <w:sz w:val="20"/>
        </w:rPr>
        <w:t xml:space="preserve"> of </w:t>
      </w:r>
      <w:r>
        <w:rPr>
          <w:b w:val="0"/>
          <w:sz w:val="20"/>
        </w:rPr>
        <w:t>days</w:t>
      </w:r>
      <w:r w:rsidRPr="0072189A">
        <w:rPr>
          <w:b w:val="0"/>
          <w:sz w:val="20"/>
        </w:rPr>
        <w:t xml:space="preserve"> per phase</w:t>
      </w:r>
      <w:r>
        <w:rPr>
          <w:b w:val="0"/>
          <w:sz w:val="20"/>
        </w:rPr>
        <w:t>)</w:t>
      </w:r>
    </w:p>
    <w:p w:rsidR="001C2F0B" w:rsidRDefault="001C2F0B" w:rsidP="003749A8">
      <w:pPr>
        <w:pStyle w:val="Heading2"/>
        <w:numPr>
          <w:ilvl w:val="0"/>
          <w:numId w:val="10"/>
        </w:numPr>
        <w:tabs>
          <w:tab w:val="clear" w:pos="567"/>
        </w:tabs>
        <w:spacing w:before="120" w:after="120"/>
        <w:ind w:left="1276" w:hanging="567"/>
        <w:rPr>
          <w:b w:val="0"/>
          <w:sz w:val="20"/>
        </w:rPr>
      </w:pPr>
      <w:r>
        <w:rPr>
          <w:b w:val="0"/>
          <w:sz w:val="20"/>
        </w:rPr>
        <w:t>Sum of (1) above for all phases</w:t>
      </w:r>
    </w:p>
    <w:p w:rsidR="001C2F0B" w:rsidRDefault="001C2F0B" w:rsidP="003749A8">
      <w:pPr>
        <w:pStyle w:val="Heading2"/>
        <w:numPr>
          <w:ilvl w:val="0"/>
          <w:numId w:val="10"/>
        </w:numPr>
        <w:tabs>
          <w:tab w:val="clear" w:pos="567"/>
        </w:tabs>
        <w:spacing w:before="120" w:after="120"/>
        <w:ind w:left="1276" w:hanging="567"/>
        <w:rPr>
          <w:b w:val="0"/>
          <w:sz w:val="20"/>
        </w:rPr>
      </w:pPr>
      <w:r>
        <w:rPr>
          <w:b w:val="0"/>
          <w:sz w:val="20"/>
        </w:rPr>
        <w:t>Sum of (2) above for all role functions</w:t>
      </w:r>
    </w:p>
    <w:p w:rsidR="001C2F0B" w:rsidRDefault="001C2F0B" w:rsidP="003749A8">
      <w:pPr>
        <w:pStyle w:val="Heading2"/>
        <w:numPr>
          <w:ilvl w:val="0"/>
          <w:numId w:val="10"/>
        </w:numPr>
        <w:tabs>
          <w:tab w:val="clear" w:pos="567"/>
        </w:tabs>
        <w:spacing w:before="120" w:after="120"/>
        <w:ind w:left="1276" w:hanging="567"/>
        <w:rPr>
          <w:b w:val="0"/>
          <w:sz w:val="20"/>
        </w:rPr>
      </w:pPr>
      <w:r>
        <w:rPr>
          <w:b w:val="0"/>
          <w:sz w:val="20"/>
        </w:rPr>
        <w:t>Subtract discount from (3) above based on the total number of working days spent on the project.</w:t>
      </w:r>
    </w:p>
    <w:p w:rsidR="001C2F0B" w:rsidRDefault="001C2F0B" w:rsidP="001C2F0B">
      <w:pPr>
        <w:pStyle w:val="Heading2"/>
        <w:numPr>
          <w:ilvl w:val="0"/>
          <w:numId w:val="0"/>
        </w:numPr>
        <w:tabs>
          <w:tab w:val="clear" w:pos="567"/>
        </w:tabs>
        <w:spacing w:before="120" w:after="120"/>
        <w:rPr>
          <w:sz w:val="20"/>
          <w:highlight w:val="yellow"/>
        </w:rPr>
      </w:pPr>
    </w:p>
    <w:p w:rsidR="001C2F0B" w:rsidRDefault="001C2F0B" w:rsidP="001C2F0B">
      <w:pPr>
        <w:rPr>
          <w:rFonts w:ascii="Arial" w:eastAsia="Times New Roman" w:hAnsi="Arial" w:cs="Arial"/>
          <w:b/>
          <w:color w:val="4F81BD" w:themeColor="accent1"/>
          <w:sz w:val="28"/>
          <w:szCs w:val="28"/>
          <w:highlight w:val="yellow"/>
        </w:rPr>
      </w:pPr>
      <w:permStart w:id="1276838776" w:edGrp="everyone"/>
      <w:permEnd w:id="1276838776"/>
      <w:r>
        <w:rPr>
          <w:rFonts w:cs="Arial"/>
          <w:color w:val="4F81BD" w:themeColor="accent1"/>
          <w:sz w:val="28"/>
          <w:szCs w:val="28"/>
          <w:highlight w:val="yellow"/>
        </w:rPr>
        <w:br w:type="page"/>
      </w:r>
    </w:p>
    <w:p w:rsidR="001C2F0B" w:rsidRPr="00001851" w:rsidRDefault="001C2F0B" w:rsidP="001C2F0B">
      <w:pPr>
        <w:pStyle w:val="Heading2"/>
        <w:numPr>
          <w:ilvl w:val="0"/>
          <w:numId w:val="0"/>
        </w:numPr>
        <w:tabs>
          <w:tab w:val="clear" w:pos="567"/>
        </w:tabs>
        <w:spacing w:before="120" w:after="120"/>
        <w:jc w:val="both"/>
        <w:rPr>
          <w:rFonts w:cs="Arial"/>
          <w:b w:val="0"/>
          <w:color w:val="4F81BD" w:themeColor="accent1"/>
          <w:sz w:val="28"/>
          <w:szCs w:val="28"/>
        </w:rPr>
      </w:pPr>
      <w:bookmarkStart w:id="498" w:name="FinalEvaulationCalculation"/>
      <w:r w:rsidRPr="00001851">
        <w:rPr>
          <w:rFonts w:cs="Arial"/>
          <w:color w:val="4F81BD" w:themeColor="accent1"/>
          <w:sz w:val="28"/>
          <w:szCs w:val="28"/>
        </w:rPr>
        <w:t>FINAL EVALUATION CALCULATION</w:t>
      </w:r>
      <w:bookmarkEnd w:id="497"/>
    </w:p>
    <w:bookmarkEnd w:id="498"/>
    <w:p w:rsidR="001C2F0B" w:rsidRPr="007F2260" w:rsidRDefault="001C2F0B" w:rsidP="00FC4ACC">
      <w:pPr>
        <w:pStyle w:val="BodyText"/>
        <w:spacing w:before="120" w:line="240" w:lineRule="auto"/>
        <w:jc w:val="both"/>
        <w:rPr>
          <w:rFonts w:ascii="Arial" w:hAnsi="Arial" w:cs="Arial"/>
          <w:sz w:val="20"/>
          <w:highlight w:val="yellow"/>
        </w:rPr>
      </w:pPr>
      <w:permStart w:id="1966500530" w:edGrp="everyone"/>
      <w:r w:rsidRPr="007F2260">
        <w:rPr>
          <w:rFonts w:ascii="Arial" w:hAnsi="Arial" w:cs="Arial"/>
          <w:sz w:val="20"/>
          <w:szCs w:val="20"/>
          <w:highlight w:val="yellow"/>
        </w:rPr>
        <w:t xml:space="preserve">Combined evaluation:  Price evaluation will be conducted as described in the Lotting Structure of the RFP </w:t>
      </w:r>
      <w:r w:rsidRPr="007F2260">
        <w:rPr>
          <w:rFonts w:ascii="Arial" w:hAnsi="Arial" w:cs="Arial"/>
          <w:sz w:val="20"/>
          <w:highlight w:val="yellow"/>
        </w:rPr>
        <w:t>(inverse proportion to the best price, which will obtain maximum marks).  The mark thereby obtained will be combined with the marks from stage 1 (in accordance with the weighting factors defined in the Award Questionnaire (Appendix C)]</w:t>
      </w:r>
    </w:p>
    <w:p w:rsidR="001C2F0B" w:rsidRDefault="001C2F0B" w:rsidP="001C2F0B">
      <w:pPr>
        <w:pStyle w:val="BodyText"/>
        <w:spacing w:before="120" w:line="240" w:lineRule="auto"/>
        <w:jc w:val="both"/>
        <w:rPr>
          <w:rFonts w:ascii="Arial" w:hAnsi="Arial" w:cs="Arial"/>
          <w:b/>
          <w:sz w:val="20"/>
          <w:szCs w:val="20"/>
          <w:highlight w:val="yellow"/>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62"/>
      </w:tblGrid>
      <w:tr w:rsidR="001C2F0B" w:rsidTr="00506555">
        <w:trPr>
          <w:trHeight w:val="652"/>
        </w:trPr>
        <w:tc>
          <w:tcPr>
            <w:tcW w:w="9962" w:type="dxa"/>
            <w:shd w:val="clear" w:color="auto" w:fill="DBE5F1" w:themeFill="accent1" w:themeFillTint="33"/>
            <w:vAlign w:val="center"/>
          </w:tcPr>
          <w:p w:rsidR="001C2F0B" w:rsidRDefault="001C2F0B" w:rsidP="00506555">
            <w:pPr>
              <w:pStyle w:val="BodyText"/>
              <w:spacing w:before="120"/>
              <w:rPr>
                <w:rFonts w:ascii="Arial" w:hAnsi="Arial" w:cs="Arial"/>
                <w:b/>
                <w:sz w:val="20"/>
                <w:szCs w:val="20"/>
                <w:highlight w:val="yellow"/>
              </w:rPr>
            </w:pPr>
            <w:r w:rsidRPr="00AC64B4">
              <w:rPr>
                <w:rFonts w:ascii="Arial" w:hAnsi="Arial" w:cs="Arial"/>
                <w:b/>
                <w:sz w:val="20"/>
                <w:szCs w:val="20"/>
                <w:highlight w:val="yellow"/>
              </w:rPr>
              <w:t>[Option (1) “</w:t>
            </w:r>
            <w:r>
              <w:rPr>
                <w:rFonts w:ascii="Arial" w:hAnsi="Arial" w:cs="Arial"/>
                <w:b/>
                <w:sz w:val="20"/>
                <w:szCs w:val="20"/>
                <w:highlight w:val="yellow"/>
              </w:rPr>
              <w:t>Combined evaluation”:]</w:t>
            </w:r>
          </w:p>
        </w:tc>
      </w:tr>
      <w:tr w:rsidR="001C2F0B" w:rsidTr="00506555">
        <w:tc>
          <w:tcPr>
            <w:tcW w:w="9962" w:type="dxa"/>
          </w:tcPr>
          <w:p w:rsidR="001C2F0B" w:rsidRPr="00BE5A77" w:rsidRDefault="001C2F0B" w:rsidP="00506555">
            <w:pPr>
              <w:pStyle w:val="Heading2"/>
              <w:numPr>
                <w:ilvl w:val="0"/>
                <w:numId w:val="0"/>
              </w:numPr>
              <w:tabs>
                <w:tab w:val="clear" w:pos="567"/>
              </w:tabs>
              <w:spacing w:before="120" w:after="120"/>
              <w:outlineLvl w:val="1"/>
              <w:rPr>
                <w:b w:val="0"/>
                <w:sz w:val="20"/>
              </w:rPr>
            </w:pPr>
            <w:r w:rsidRPr="00BE5A77">
              <w:rPr>
                <w:b w:val="0"/>
                <w:sz w:val="20"/>
              </w:rPr>
              <w:t>The Potential Provider’s price mark for each Lot will be evaluated by comparing the Total Price offered against all other total prices submitted by other Potential Providers.</w:t>
            </w:r>
          </w:p>
          <w:p w:rsidR="001C2F0B" w:rsidRDefault="001C2F0B" w:rsidP="00506555">
            <w:pPr>
              <w:pStyle w:val="Heading2"/>
              <w:numPr>
                <w:ilvl w:val="0"/>
                <w:numId w:val="0"/>
              </w:numPr>
              <w:tabs>
                <w:tab w:val="clear" w:pos="567"/>
              </w:tabs>
              <w:spacing w:before="120" w:after="120"/>
              <w:outlineLvl w:val="1"/>
              <w:rPr>
                <w:b w:val="0"/>
                <w:sz w:val="20"/>
              </w:rPr>
            </w:pPr>
            <w:r w:rsidRPr="00E24FDA">
              <w:rPr>
                <w:b w:val="0"/>
                <w:sz w:val="20"/>
              </w:rPr>
              <w:t xml:space="preserve">The Potential Provider who offers the lowest Total Price for a Lot will achieve the maximum score for that Lot. Every Potential Provider will, for each Lot, be awarded a percentage of the maximum score on a reducing basis based on the following formula: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3"/>
              <w:gridCol w:w="2263"/>
            </w:tblGrid>
            <w:tr w:rsidR="001C2F0B" w:rsidRPr="00AC64B4" w:rsidTr="00506555">
              <w:trPr>
                <w:trHeight w:val="385"/>
                <w:jc w:val="center"/>
              </w:trPr>
              <w:tc>
                <w:tcPr>
                  <w:tcW w:w="7483" w:type="dxa"/>
                  <w:tcBorders>
                    <w:bottom w:val="single" w:sz="24" w:space="0" w:color="808080" w:themeColor="background1" w:themeShade="80"/>
                  </w:tcBorders>
                  <w:shd w:val="clear" w:color="auto" w:fill="auto"/>
                  <w:vAlign w:val="center"/>
                </w:tcPr>
                <w:p w:rsidR="001C2F0B" w:rsidRPr="00AC64B4" w:rsidRDefault="001C2F0B" w:rsidP="00506555">
                  <w:pPr>
                    <w:spacing w:before="120" w:after="120"/>
                    <w:ind w:left="357"/>
                    <w:jc w:val="center"/>
                    <w:rPr>
                      <w:rFonts w:ascii="Arial" w:hAnsi="Arial" w:cs="Arial"/>
                      <w:b/>
                      <w:color w:val="000000"/>
                      <w:sz w:val="20"/>
                      <w:szCs w:val="20"/>
                    </w:rPr>
                  </w:pPr>
                  <w:r w:rsidRPr="00AC64B4">
                    <w:rPr>
                      <w:rFonts w:ascii="Arial" w:hAnsi="Arial" w:cs="Arial"/>
                      <w:b/>
                      <w:color w:val="000000"/>
                      <w:sz w:val="20"/>
                      <w:szCs w:val="20"/>
                    </w:rPr>
                    <w:t>Lowest Price Submitted Per Lot</w:t>
                  </w:r>
                </w:p>
              </w:tc>
              <w:tc>
                <w:tcPr>
                  <w:tcW w:w="2263" w:type="dxa"/>
                  <w:vMerge w:val="restart"/>
                  <w:shd w:val="clear" w:color="auto" w:fill="auto"/>
                  <w:vAlign w:val="center"/>
                </w:tcPr>
                <w:p w:rsidR="001C2F0B" w:rsidRPr="00AC64B4" w:rsidRDefault="001C2F0B" w:rsidP="00506555">
                  <w:pPr>
                    <w:spacing w:before="120" w:after="120"/>
                    <w:jc w:val="center"/>
                    <w:rPr>
                      <w:rFonts w:ascii="Arial" w:hAnsi="Arial" w:cs="Arial"/>
                      <w:b/>
                      <w:color w:val="000000"/>
                      <w:sz w:val="20"/>
                      <w:szCs w:val="20"/>
                    </w:rPr>
                  </w:pPr>
                  <w:r w:rsidRPr="00AC64B4">
                    <w:rPr>
                      <w:rFonts w:ascii="Arial" w:hAnsi="Arial" w:cs="Arial"/>
                      <w:b/>
                      <w:color w:val="000000"/>
                      <w:sz w:val="20"/>
                      <w:szCs w:val="20"/>
                    </w:rPr>
                    <w:t>x 100</w:t>
                  </w:r>
                </w:p>
              </w:tc>
            </w:tr>
            <w:tr w:rsidR="001C2F0B" w:rsidRPr="00AC64B4" w:rsidTr="00506555">
              <w:trPr>
                <w:trHeight w:val="385"/>
                <w:jc w:val="center"/>
              </w:trPr>
              <w:tc>
                <w:tcPr>
                  <w:tcW w:w="7483" w:type="dxa"/>
                  <w:tcBorders>
                    <w:top w:val="single" w:sz="24" w:space="0" w:color="808080" w:themeColor="background1" w:themeShade="80"/>
                  </w:tcBorders>
                  <w:shd w:val="clear" w:color="auto" w:fill="auto"/>
                  <w:vAlign w:val="center"/>
                </w:tcPr>
                <w:p w:rsidR="001C2F0B" w:rsidRPr="00AC64B4" w:rsidRDefault="001C2F0B" w:rsidP="00506555">
                  <w:pPr>
                    <w:spacing w:before="120" w:after="120"/>
                    <w:jc w:val="center"/>
                    <w:rPr>
                      <w:rFonts w:ascii="Arial" w:hAnsi="Arial" w:cs="Arial"/>
                      <w:b/>
                      <w:color w:val="000000"/>
                      <w:sz w:val="20"/>
                      <w:szCs w:val="20"/>
                    </w:rPr>
                  </w:pPr>
                  <w:r w:rsidRPr="00AC64B4">
                    <w:rPr>
                      <w:rFonts w:ascii="Arial" w:hAnsi="Arial" w:cs="Arial"/>
                      <w:b/>
                      <w:color w:val="000000"/>
                      <w:sz w:val="20"/>
                      <w:szCs w:val="20"/>
                    </w:rPr>
                    <w:t>Potential Provider’s Price Per Lot</w:t>
                  </w:r>
                </w:p>
              </w:tc>
              <w:tc>
                <w:tcPr>
                  <w:tcW w:w="2263" w:type="dxa"/>
                  <w:vMerge/>
                  <w:shd w:val="clear" w:color="auto" w:fill="auto"/>
                  <w:vAlign w:val="center"/>
                </w:tcPr>
                <w:p w:rsidR="001C2F0B" w:rsidRPr="00AC64B4" w:rsidRDefault="001C2F0B" w:rsidP="00506555">
                  <w:pPr>
                    <w:spacing w:before="120" w:after="120"/>
                    <w:jc w:val="center"/>
                    <w:rPr>
                      <w:rFonts w:ascii="Arial" w:hAnsi="Arial" w:cs="Arial"/>
                      <w:b/>
                      <w:color w:val="000000"/>
                      <w:sz w:val="20"/>
                      <w:szCs w:val="20"/>
                    </w:rPr>
                  </w:pPr>
                </w:p>
              </w:tc>
            </w:tr>
            <w:tr w:rsidR="001C2F0B" w:rsidRPr="00AC64B4" w:rsidTr="00506555">
              <w:trPr>
                <w:trHeight w:val="385"/>
                <w:jc w:val="center"/>
              </w:trPr>
              <w:tc>
                <w:tcPr>
                  <w:tcW w:w="9746" w:type="dxa"/>
                  <w:gridSpan w:val="2"/>
                  <w:shd w:val="clear" w:color="auto" w:fill="auto"/>
                  <w:vAlign w:val="center"/>
                </w:tcPr>
                <w:p w:rsidR="001C2F0B" w:rsidRPr="00AC64B4" w:rsidRDefault="001C2F0B" w:rsidP="00506555">
                  <w:pPr>
                    <w:spacing w:before="120" w:after="120"/>
                    <w:jc w:val="center"/>
                    <w:rPr>
                      <w:rFonts w:ascii="Arial" w:hAnsi="Arial" w:cs="Arial"/>
                      <w:b/>
                      <w:color w:val="000000"/>
                      <w:sz w:val="20"/>
                      <w:szCs w:val="20"/>
                    </w:rPr>
                  </w:pPr>
                  <w:r w:rsidRPr="00AC64B4">
                    <w:rPr>
                      <w:rFonts w:ascii="Arial" w:hAnsi="Arial" w:cs="Arial"/>
                      <w:b/>
                      <w:sz w:val="20"/>
                      <w:szCs w:val="20"/>
                    </w:rPr>
                    <w:t xml:space="preserve">= </w:t>
                  </w:r>
                  <w:r w:rsidRPr="00AC64B4">
                    <w:rPr>
                      <w:rFonts w:ascii="Arial" w:hAnsi="Arial" w:cs="Arial"/>
                      <w:b/>
                      <w:bCs/>
                      <w:sz w:val="20"/>
                      <w:szCs w:val="20"/>
                    </w:rPr>
                    <w:t>% of the maximum score, rounded to 2 (two) decimal places.</w:t>
                  </w:r>
                </w:p>
              </w:tc>
            </w:tr>
          </w:tbl>
          <w:p w:rsidR="001C2F0B" w:rsidRDefault="001C2F0B" w:rsidP="00506555">
            <w:pPr>
              <w:pStyle w:val="Heading2"/>
              <w:numPr>
                <w:ilvl w:val="0"/>
                <w:numId w:val="0"/>
              </w:numPr>
              <w:tabs>
                <w:tab w:val="clear" w:pos="567"/>
              </w:tabs>
              <w:spacing w:before="120" w:after="120"/>
              <w:jc w:val="both"/>
              <w:outlineLvl w:val="1"/>
              <w:rPr>
                <w:b w:val="0"/>
                <w:sz w:val="20"/>
              </w:rPr>
            </w:pPr>
            <w:r w:rsidRPr="00BE5A77">
              <w:rPr>
                <w:b w:val="0"/>
                <w:sz w:val="20"/>
              </w:rPr>
              <w:t>The pricing score following [</w:t>
            </w:r>
            <w:r w:rsidRPr="00BE5A77">
              <w:rPr>
                <w:b w:val="0"/>
                <w:sz w:val="20"/>
                <w:highlight w:val="yellow"/>
              </w:rPr>
              <w:t>both parts of</w:t>
            </w:r>
            <w:r w:rsidRPr="00BE5A77">
              <w:rPr>
                <w:b w:val="0"/>
                <w:sz w:val="20"/>
              </w:rPr>
              <w:t xml:space="preserve">] the price evaluation will be added to the scores already recorded for Sections A and B of the </w:t>
            </w:r>
            <w:r>
              <w:rPr>
                <w:b w:val="0"/>
                <w:sz w:val="20"/>
              </w:rPr>
              <w:t>Award Questionnaire (Appendix C)</w:t>
            </w:r>
            <w:r w:rsidRPr="000B0740">
              <w:rPr>
                <w:b w:val="0"/>
                <w:sz w:val="20"/>
              </w:rPr>
              <w:t xml:space="preserve"> to</w:t>
            </w:r>
            <w:r w:rsidRPr="00BE5A77">
              <w:rPr>
                <w:b w:val="0"/>
                <w:sz w:val="20"/>
              </w:rPr>
              <w:t xml:space="preserve"> arrive at a final total score</w:t>
            </w:r>
          </w:p>
          <w:p w:rsidR="001C2F0B" w:rsidRPr="007F2260" w:rsidRDefault="001C2F0B" w:rsidP="00506555">
            <w:pPr>
              <w:pStyle w:val="Heading2"/>
              <w:numPr>
                <w:ilvl w:val="0"/>
                <w:numId w:val="0"/>
              </w:numPr>
              <w:tabs>
                <w:tab w:val="clear" w:pos="567"/>
              </w:tabs>
              <w:spacing w:before="120" w:after="120"/>
              <w:outlineLvl w:val="1"/>
              <w:rPr>
                <w:b w:val="0"/>
                <w:sz w:val="20"/>
              </w:rPr>
            </w:pPr>
            <w:r w:rsidRPr="00BE5A77">
              <w:rPr>
                <w:b w:val="0"/>
                <w:sz w:val="20"/>
              </w:rPr>
              <w:t>For the avoidance of doubt, depending on the results of the evaluation, the outcome of this procurement could consist of a single Potential Provider being awarded both Lots 1 and 2, or two individual Potential Providers each being awarded one of the Lots</w:t>
            </w:r>
            <w:r>
              <w:rPr>
                <w:b w:val="0"/>
                <w:sz w:val="20"/>
              </w:rPr>
              <w:t>.</w:t>
            </w:r>
          </w:p>
        </w:tc>
      </w:tr>
    </w:tbl>
    <w:p w:rsidR="001C2F0B" w:rsidRPr="00AC64B4" w:rsidRDefault="001C2F0B" w:rsidP="001C2F0B">
      <w:pPr>
        <w:pStyle w:val="BodyText"/>
        <w:spacing w:before="120" w:line="240" w:lineRule="auto"/>
        <w:jc w:val="both"/>
        <w:rPr>
          <w:rFonts w:ascii="Arial" w:hAnsi="Arial" w:cs="Arial"/>
          <w:b/>
          <w:sz w:val="20"/>
          <w:szCs w:val="20"/>
          <w:highlight w:val="yellow"/>
        </w:rPr>
      </w:pPr>
    </w:p>
    <w:p w:rsidR="001C2F0B" w:rsidRPr="00AC64B4" w:rsidRDefault="001C2F0B" w:rsidP="001C2F0B">
      <w:pPr>
        <w:pStyle w:val="BodyText"/>
        <w:spacing w:before="120" w:line="240" w:lineRule="auto"/>
        <w:jc w:val="both"/>
        <w:rPr>
          <w:rFonts w:ascii="Arial" w:hAnsi="Arial" w:cs="Arial"/>
          <w:b/>
          <w:sz w:val="20"/>
          <w:szCs w:val="20"/>
          <w:highlight w:val="yellow"/>
        </w:rPr>
      </w:pPr>
      <w:bookmarkStart w:id="499" w:name="_Ref374873176"/>
    </w:p>
    <w:p w:rsidR="001C2F0B" w:rsidRPr="00AC64B4" w:rsidRDefault="001C2F0B" w:rsidP="001C2F0B">
      <w:pPr>
        <w:pStyle w:val="BodyText"/>
        <w:spacing w:before="120" w:line="240" w:lineRule="auto"/>
        <w:jc w:val="both"/>
        <w:rPr>
          <w:rFonts w:ascii="Arial" w:hAnsi="Arial" w:cs="Arial"/>
          <w:b/>
          <w:sz w:val="20"/>
          <w:szCs w:val="20"/>
          <w:highlight w:val="yellow"/>
        </w:rPr>
      </w:pPr>
    </w:p>
    <w:bookmarkEnd w:id="499"/>
    <w:p w:rsidR="001C2F0B" w:rsidRPr="00AC64B4" w:rsidRDefault="001C2F0B" w:rsidP="001C2F0B">
      <w:pPr>
        <w:spacing w:before="120" w:after="120" w:line="240" w:lineRule="auto"/>
        <w:rPr>
          <w:rFonts w:ascii="Arial" w:hAnsi="Arial" w:cs="Arial"/>
        </w:rPr>
      </w:pPr>
    </w:p>
    <w:permEnd w:id="1966500530"/>
    <w:p w:rsidR="001C2F0B" w:rsidRPr="00AC64B4" w:rsidRDefault="001C2F0B" w:rsidP="001C2F0B">
      <w:pPr>
        <w:spacing w:before="120" w:after="120" w:line="240" w:lineRule="auto"/>
        <w:rPr>
          <w:rFonts w:ascii="Arial" w:eastAsia="Times New Roman" w:hAnsi="Arial" w:cs="Arial"/>
          <w:b/>
          <w:color w:val="4F81BD" w:themeColor="accent1"/>
          <w:sz w:val="28"/>
          <w:szCs w:val="20"/>
        </w:rPr>
      </w:pPr>
    </w:p>
    <w:p w:rsidR="00C8018A" w:rsidRPr="00AC64B4" w:rsidRDefault="00C8018A" w:rsidP="001C2F0B">
      <w:pPr>
        <w:pStyle w:val="Heading2"/>
        <w:numPr>
          <w:ilvl w:val="0"/>
          <w:numId w:val="0"/>
        </w:numPr>
        <w:spacing w:before="120" w:after="120"/>
        <w:jc w:val="both"/>
        <w:rPr>
          <w:rFonts w:cs="Arial"/>
          <w:b w:val="0"/>
          <w:color w:val="4F81BD" w:themeColor="accent1"/>
          <w:sz w:val="28"/>
        </w:rPr>
      </w:pPr>
    </w:p>
    <w:sectPr w:rsidR="00C8018A" w:rsidRPr="00AC64B4" w:rsidSect="003749A8">
      <w:headerReference w:type="default" r:id="rId10"/>
      <w:footerReference w:type="default" r:id="rId11"/>
      <w:headerReference w:type="first" r:id="rId12"/>
      <w:footerReference w:type="first" r:id="rId13"/>
      <w:pgSz w:w="11906" w:h="16838"/>
      <w:pgMar w:top="1672" w:right="1080" w:bottom="993" w:left="1080" w:header="708" w:footer="1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887" w:rsidRDefault="00D92887" w:rsidP="00A76119">
      <w:pPr>
        <w:spacing w:after="0" w:line="240" w:lineRule="auto"/>
      </w:pPr>
      <w:r>
        <w:separator/>
      </w:r>
    </w:p>
  </w:endnote>
  <w:endnote w:type="continuationSeparator" w:id="0">
    <w:p w:rsidR="00D92887" w:rsidRDefault="00D92887" w:rsidP="00A7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3749A8" w:rsidTr="00206FFE">
      <w:tc>
        <w:tcPr>
          <w:tcW w:w="2500" w:type="pct"/>
        </w:tcPr>
        <w:p w:rsidR="003749A8" w:rsidRPr="003749A8" w:rsidRDefault="00173815" w:rsidP="00206FFE">
          <w:pPr>
            <w:pStyle w:val="Footer"/>
            <w:pBdr>
              <w:top w:val="single" w:sz="6" w:space="1" w:color="auto"/>
            </w:pBdr>
            <w:tabs>
              <w:tab w:val="clear" w:pos="4513"/>
              <w:tab w:val="clear" w:pos="9026"/>
              <w:tab w:val="center" w:pos="9639"/>
              <w:tab w:val="right" w:pos="9781"/>
            </w:tabs>
            <w:rPr>
              <w:rFonts w:ascii="Arial" w:hAnsi="Arial" w:cs="Arial"/>
              <w:sz w:val="16"/>
              <w:szCs w:val="16"/>
            </w:rPr>
          </w:pPr>
          <w:r>
            <w:rPr>
              <w:rFonts w:ascii="Arial" w:hAnsi="Arial" w:cs="Arial"/>
              <w:sz w:val="16"/>
              <w:szCs w:val="16"/>
            </w:rPr>
            <w:t>Digital Services – RM1043</w:t>
          </w:r>
          <w:r w:rsidR="003749A8" w:rsidRPr="003749A8">
            <w:rPr>
              <w:rFonts w:ascii="Arial" w:hAnsi="Arial" w:cs="Arial"/>
              <w:sz w:val="16"/>
              <w:szCs w:val="16"/>
            </w:rPr>
            <w:t xml:space="preserve"> </w:t>
          </w:r>
        </w:p>
      </w:tc>
      <w:tc>
        <w:tcPr>
          <w:tcW w:w="2500" w:type="pct"/>
        </w:tcPr>
        <w:p w:rsidR="003749A8" w:rsidRPr="003749A8" w:rsidRDefault="003749A8" w:rsidP="00206FFE">
          <w:pPr>
            <w:pStyle w:val="Footer"/>
            <w:jc w:val="right"/>
            <w:rPr>
              <w:rFonts w:ascii="Arial" w:hAnsi="Arial" w:cs="Arial"/>
              <w:sz w:val="16"/>
              <w:szCs w:val="16"/>
            </w:rPr>
          </w:pPr>
          <w:r w:rsidRPr="003749A8">
            <w:rPr>
              <w:rStyle w:val="PageNumber"/>
              <w:rFonts w:cs="Arial"/>
              <w:sz w:val="16"/>
              <w:szCs w:val="16"/>
            </w:rPr>
            <w:t xml:space="preserve">Page </w:t>
          </w:r>
          <w:r w:rsidRPr="003749A8">
            <w:rPr>
              <w:rStyle w:val="PageNumber"/>
              <w:rFonts w:cs="Arial"/>
              <w:sz w:val="16"/>
              <w:szCs w:val="16"/>
            </w:rPr>
            <w:fldChar w:fldCharType="begin"/>
          </w:r>
          <w:r w:rsidRPr="003749A8">
            <w:rPr>
              <w:rStyle w:val="PageNumber"/>
              <w:rFonts w:cs="Arial"/>
              <w:sz w:val="16"/>
              <w:szCs w:val="16"/>
            </w:rPr>
            <w:instrText xml:space="preserve"> PAGE </w:instrText>
          </w:r>
          <w:r w:rsidRPr="003749A8">
            <w:rPr>
              <w:rStyle w:val="PageNumber"/>
              <w:rFonts w:cs="Arial"/>
              <w:sz w:val="16"/>
              <w:szCs w:val="16"/>
            </w:rPr>
            <w:fldChar w:fldCharType="separate"/>
          </w:r>
          <w:r w:rsidR="00173815">
            <w:rPr>
              <w:rStyle w:val="PageNumber"/>
              <w:rFonts w:cs="Arial"/>
              <w:noProof/>
              <w:sz w:val="16"/>
              <w:szCs w:val="16"/>
            </w:rPr>
            <w:t>4</w:t>
          </w:r>
          <w:r w:rsidRPr="003749A8">
            <w:rPr>
              <w:rStyle w:val="PageNumber"/>
              <w:rFonts w:cs="Arial"/>
              <w:sz w:val="16"/>
              <w:szCs w:val="16"/>
            </w:rPr>
            <w:fldChar w:fldCharType="end"/>
          </w:r>
          <w:r w:rsidRPr="003749A8">
            <w:rPr>
              <w:rStyle w:val="PageNumber"/>
              <w:rFonts w:cs="Arial"/>
              <w:sz w:val="16"/>
              <w:szCs w:val="16"/>
            </w:rPr>
            <w:t xml:space="preserve"> of </w:t>
          </w:r>
          <w:r w:rsidRPr="003749A8">
            <w:fldChar w:fldCharType="begin"/>
          </w:r>
          <w:r w:rsidRPr="003749A8">
            <w:rPr>
              <w:rFonts w:ascii="Arial" w:hAnsi="Arial" w:cs="Arial"/>
              <w:sz w:val="12"/>
              <w:szCs w:val="16"/>
            </w:rPr>
            <w:instrText xml:space="preserve"> NUMPAGES   \* MERGEFORMAT </w:instrText>
          </w:r>
          <w:r w:rsidRPr="003749A8">
            <w:fldChar w:fldCharType="separate"/>
          </w:r>
          <w:r w:rsidR="00173815" w:rsidRPr="00173815">
            <w:rPr>
              <w:rStyle w:val="PageNumber"/>
              <w:noProof/>
              <w:sz w:val="18"/>
            </w:rPr>
            <w:t>8</w:t>
          </w:r>
          <w:r w:rsidRPr="003749A8">
            <w:rPr>
              <w:rStyle w:val="PageNumber"/>
              <w:rFonts w:cs="Arial"/>
              <w:noProof/>
              <w:sz w:val="12"/>
              <w:szCs w:val="16"/>
            </w:rPr>
            <w:fldChar w:fldCharType="end"/>
          </w:r>
        </w:p>
      </w:tc>
    </w:tr>
  </w:tbl>
  <w:p w:rsidR="00A14DD4" w:rsidRPr="003749A8" w:rsidRDefault="00A14DD4" w:rsidP="00374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3749A8" w:rsidRPr="003749A8" w:rsidTr="00206FFE">
      <w:tc>
        <w:tcPr>
          <w:tcW w:w="2500" w:type="pct"/>
        </w:tcPr>
        <w:p w:rsidR="003749A8" w:rsidRPr="003749A8" w:rsidRDefault="003749A8" w:rsidP="00206FFE">
          <w:pPr>
            <w:pStyle w:val="Footer"/>
            <w:pBdr>
              <w:top w:val="single" w:sz="6" w:space="1" w:color="auto"/>
            </w:pBdr>
            <w:tabs>
              <w:tab w:val="clear" w:pos="4513"/>
              <w:tab w:val="clear" w:pos="9026"/>
              <w:tab w:val="center" w:pos="9639"/>
              <w:tab w:val="right" w:pos="9781"/>
            </w:tabs>
            <w:rPr>
              <w:rFonts w:ascii="Arial" w:hAnsi="Arial" w:cs="Arial"/>
              <w:sz w:val="16"/>
            </w:rPr>
          </w:pPr>
        </w:p>
      </w:tc>
      <w:tc>
        <w:tcPr>
          <w:tcW w:w="2500" w:type="pct"/>
        </w:tcPr>
        <w:p w:rsidR="003749A8" w:rsidRPr="003749A8" w:rsidRDefault="003749A8" w:rsidP="00206FFE">
          <w:pPr>
            <w:pStyle w:val="Footer"/>
            <w:jc w:val="right"/>
            <w:rPr>
              <w:rFonts w:ascii="Arial" w:hAnsi="Arial" w:cs="Arial"/>
              <w:sz w:val="16"/>
            </w:rPr>
          </w:pPr>
          <w:r w:rsidRPr="003749A8">
            <w:rPr>
              <w:rFonts w:ascii="Arial" w:hAnsi="Arial" w:cs="Arial"/>
              <w:sz w:val="16"/>
            </w:rPr>
            <w:t xml:space="preserve">Page </w:t>
          </w:r>
          <w:r w:rsidRPr="003749A8">
            <w:rPr>
              <w:rFonts w:ascii="Arial" w:hAnsi="Arial" w:cs="Arial"/>
              <w:sz w:val="16"/>
            </w:rPr>
            <w:fldChar w:fldCharType="begin"/>
          </w:r>
          <w:r w:rsidRPr="003749A8">
            <w:rPr>
              <w:rFonts w:ascii="Arial" w:hAnsi="Arial" w:cs="Arial"/>
              <w:sz w:val="16"/>
            </w:rPr>
            <w:instrText xml:space="preserve"> PAGE </w:instrText>
          </w:r>
          <w:r w:rsidRPr="003749A8">
            <w:rPr>
              <w:rFonts w:ascii="Arial" w:hAnsi="Arial" w:cs="Arial"/>
              <w:sz w:val="16"/>
            </w:rPr>
            <w:fldChar w:fldCharType="separate"/>
          </w:r>
          <w:r w:rsidR="00173815">
            <w:rPr>
              <w:rFonts w:ascii="Arial" w:hAnsi="Arial" w:cs="Arial"/>
              <w:noProof/>
              <w:sz w:val="16"/>
            </w:rPr>
            <w:t>1</w:t>
          </w:r>
          <w:r w:rsidRPr="003749A8">
            <w:rPr>
              <w:rFonts w:ascii="Arial" w:hAnsi="Arial" w:cs="Arial"/>
              <w:sz w:val="16"/>
            </w:rPr>
            <w:fldChar w:fldCharType="end"/>
          </w:r>
          <w:r w:rsidRPr="003749A8">
            <w:rPr>
              <w:rFonts w:ascii="Arial" w:hAnsi="Arial" w:cs="Arial"/>
              <w:sz w:val="16"/>
            </w:rPr>
            <w:t xml:space="preserve"> of </w:t>
          </w:r>
          <w:r w:rsidRPr="003749A8">
            <w:rPr>
              <w:rFonts w:ascii="Arial" w:hAnsi="Arial" w:cs="Arial"/>
              <w:sz w:val="16"/>
            </w:rPr>
            <w:fldChar w:fldCharType="begin"/>
          </w:r>
          <w:r w:rsidRPr="003749A8">
            <w:rPr>
              <w:rFonts w:ascii="Arial" w:hAnsi="Arial" w:cs="Arial"/>
              <w:sz w:val="16"/>
            </w:rPr>
            <w:instrText xml:space="preserve"> NUMPAGES   \* MERGEFORMAT </w:instrText>
          </w:r>
          <w:r w:rsidRPr="003749A8">
            <w:rPr>
              <w:rFonts w:ascii="Arial" w:hAnsi="Arial" w:cs="Arial"/>
              <w:sz w:val="16"/>
            </w:rPr>
            <w:fldChar w:fldCharType="separate"/>
          </w:r>
          <w:r w:rsidR="00173815">
            <w:rPr>
              <w:rFonts w:ascii="Arial" w:hAnsi="Arial" w:cs="Arial"/>
              <w:noProof/>
              <w:sz w:val="16"/>
            </w:rPr>
            <w:t>8</w:t>
          </w:r>
          <w:r w:rsidRPr="003749A8">
            <w:rPr>
              <w:rFonts w:ascii="Arial" w:hAnsi="Arial" w:cs="Arial"/>
              <w:sz w:val="16"/>
            </w:rPr>
            <w:fldChar w:fldCharType="end"/>
          </w:r>
        </w:p>
      </w:tc>
    </w:tr>
  </w:tbl>
  <w:p w:rsidR="00A14DD4" w:rsidRPr="003749A8" w:rsidRDefault="00A14DD4" w:rsidP="00374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887" w:rsidRDefault="00D92887" w:rsidP="00A76119">
      <w:pPr>
        <w:spacing w:after="0" w:line="240" w:lineRule="auto"/>
      </w:pPr>
      <w:r>
        <w:separator/>
      </w:r>
    </w:p>
  </w:footnote>
  <w:footnote w:type="continuationSeparator" w:id="0">
    <w:p w:rsidR="00D92887" w:rsidRDefault="00D92887" w:rsidP="00A76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14DD4" w:rsidTr="003749A8">
      <w:tc>
        <w:tcPr>
          <w:tcW w:w="4981" w:type="dxa"/>
        </w:tcPr>
        <w:p w:rsidR="00A14DD4" w:rsidRDefault="00A14DD4" w:rsidP="00C75602">
          <w:pPr>
            <w:pStyle w:val="Header"/>
          </w:pPr>
          <w:r>
            <w:rPr>
              <w:noProof/>
            </w:rPr>
            <w:drawing>
              <wp:inline distT="0" distB="0" distL="0" distR="0" wp14:anchorId="7A948F6F" wp14:editId="304F8592">
                <wp:extent cx="720000" cy="526154"/>
                <wp:effectExtent l="19050" t="0" r="3900" b="0"/>
                <wp:docPr id="1" name="Picture 0"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720000" cy="526154"/>
                        </a:xfrm>
                        <a:prstGeom prst="rect">
                          <a:avLst/>
                        </a:prstGeom>
                      </pic:spPr>
                    </pic:pic>
                  </a:graphicData>
                </a:graphic>
              </wp:inline>
            </w:drawing>
          </w:r>
        </w:p>
      </w:tc>
      <w:tc>
        <w:tcPr>
          <w:tcW w:w="4981" w:type="dxa"/>
          <w:vAlign w:val="bottom"/>
        </w:tcPr>
        <w:p w:rsidR="00A14DD4" w:rsidRDefault="00A14DD4" w:rsidP="003749A8">
          <w:pPr>
            <w:pStyle w:val="Normal1"/>
            <w:tabs>
              <w:tab w:val="left" w:pos="142"/>
            </w:tabs>
            <w:jc w:val="right"/>
            <w:rPr>
              <w:rFonts w:ascii="Arial" w:hAnsi="Arial" w:cs="Arial"/>
              <w:sz w:val="20"/>
              <w:szCs w:val="20"/>
            </w:rPr>
          </w:pPr>
          <w:r>
            <w:tab/>
          </w:r>
          <w:r w:rsidR="009E79D8">
            <w:rPr>
              <w:rFonts w:ascii="Arial" w:hAnsi="Arial" w:cs="Arial"/>
              <w:sz w:val="20"/>
              <w:szCs w:val="20"/>
            </w:rPr>
            <w:t>Digital Services</w:t>
          </w:r>
          <w:r w:rsidRPr="000B31A4">
            <w:rPr>
              <w:rFonts w:ascii="Arial" w:hAnsi="Arial" w:cs="Arial"/>
              <w:sz w:val="20"/>
              <w:szCs w:val="20"/>
            </w:rPr>
            <w:t xml:space="preserve"> – RM1043</w:t>
          </w:r>
        </w:p>
        <w:p w:rsidR="003749A8" w:rsidRPr="003749A8" w:rsidRDefault="003749A8" w:rsidP="003749A8">
          <w:pPr>
            <w:pStyle w:val="Normal1"/>
            <w:tabs>
              <w:tab w:val="left" w:pos="142"/>
            </w:tabs>
            <w:jc w:val="right"/>
            <w:rPr>
              <w:rFonts w:ascii="Arial" w:hAnsi="Arial" w:cs="Arial"/>
              <w:color w:val="FF0000"/>
              <w:sz w:val="20"/>
              <w:szCs w:val="20"/>
            </w:rPr>
          </w:pPr>
          <w:r w:rsidRPr="003749A8">
            <w:rPr>
              <w:rFonts w:ascii="Arial" w:hAnsi="Arial" w:cs="Arial"/>
              <w:color w:val="FF0000"/>
              <w:sz w:val="20"/>
              <w:szCs w:val="20"/>
            </w:rPr>
            <w:t>Request for Proposal</w:t>
          </w:r>
        </w:p>
      </w:tc>
    </w:tr>
  </w:tbl>
  <w:p w:rsidR="00A14DD4" w:rsidRPr="00C75602" w:rsidRDefault="00A14DD4" w:rsidP="00C75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14DD4" w:rsidTr="00C75602">
      <w:tc>
        <w:tcPr>
          <w:tcW w:w="4981" w:type="dxa"/>
        </w:tcPr>
        <w:p w:rsidR="00A14DD4" w:rsidRDefault="00A14DD4" w:rsidP="0069276F">
          <w:pPr>
            <w:pStyle w:val="Header"/>
          </w:pPr>
          <w:r>
            <w:rPr>
              <w:noProof/>
            </w:rPr>
            <w:drawing>
              <wp:inline distT="0" distB="0" distL="0" distR="0" wp14:anchorId="75C40056" wp14:editId="7B4DDC53">
                <wp:extent cx="1485900" cy="1085850"/>
                <wp:effectExtent l="19050" t="0" r="0" b="0"/>
                <wp:docPr id="2"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1485900" cy="1085850"/>
                        </a:xfrm>
                        <a:prstGeom prst="rect">
                          <a:avLst/>
                        </a:prstGeom>
                      </pic:spPr>
                    </pic:pic>
                  </a:graphicData>
                </a:graphic>
              </wp:inline>
            </w:drawing>
          </w:r>
        </w:p>
      </w:tc>
      <w:tc>
        <w:tcPr>
          <w:tcW w:w="4981" w:type="dxa"/>
        </w:tcPr>
        <w:p w:rsidR="00A14DD4" w:rsidRDefault="00A14DD4" w:rsidP="0069276F">
          <w:pPr>
            <w:pStyle w:val="Header"/>
          </w:pPr>
        </w:p>
      </w:tc>
    </w:tr>
  </w:tbl>
  <w:p w:rsidR="00A14DD4" w:rsidRDefault="00A14DD4" w:rsidP="00C75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59D"/>
    <w:multiLevelType w:val="multilevel"/>
    <w:tmpl w:val="697C39D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B2D7528"/>
    <w:multiLevelType w:val="hybridMultilevel"/>
    <w:tmpl w:val="A672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764E96"/>
    <w:multiLevelType w:val="hybridMultilevel"/>
    <w:tmpl w:val="474EDE3E"/>
    <w:lvl w:ilvl="0" w:tplc="2D3CBD00">
      <w:start w:val="1"/>
      <w:numFmt w:val="decimal"/>
      <w:lvlText w:val="%1."/>
      <w:lvlJc w:val="left"/>
      <w:pPr>
        <w:ind w:left="394" w:hanging="360"/>
      </w:pPr>
      <w:rPr>
        <w:rFonts w:eastAsiaTheme="minorHAnsi"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nsid w:val="0E0B5CD6"/>
    <w:multiLevelType w:val="hybridMultilevel"/>
    <w:tmpl w:val="2CB481FE"/>
    <w:lvl w:ilvl="0" w:tplc="550071C0">
      <w:start w:val="1"/>
      <w:numFmt w:val="decimal"/>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13167416"/>
    <w:multiLevelType w:val="hybridMultilevel"/>
    <w:tmpl w:val="671A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C34BB2"/>
    <w:multiLevelType w:val="hybridMultilevel"/>
    <w:tmpl w:val="7B24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FD6955"/>
    <w:multiLevelType w:val="multilevel"/>
    <w:tmpl w:val="3EA0CBF0"/>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F795166"/>
    <w:multiLevelType w:val="hybridMultilevel"/>
    <w:tmpl w:val="1BB0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113F27"/>
    <w:multiLevelType w:val="multilevel"/>
    <w:tmpl w:val="2CB481FE"/>
    <w:lvl w:ilvl="0">
      <w:start w:val="1"/>
      <w:numFmt w:val="decimal"/>
      <w:lvlText w:val="(%1)"/>
      <w:lvlJc w:val="left"/>
      <w:pPr>
        <w:ind w:left="1211" w:hanging="360"/>
      </w:pPr>
      <w:rPr>
        <w:rFonts w:hint="default"/>
        <w:b w:val="0"/>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4F7E5407"/>
    <w:multiLevelType w:val="hybridMultilevel"/>
    <w:tmpl w:val="8D7E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8D22EF"/>
    <w:multiLevelType w:val="multilevel"/>
    <w:tmpl w:val="C1C67960"/>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B68232F"/>
    <w:multiLevelType w:val="hybridMultilevel"/>
    <w:tmpl w:val="1466F1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2"/>
  </w:num>
  <w:num w:numId="4">
    <w:abstractNumId w:val="3"/>
  </w:num>
  <w:num w:numId="5">
    <w:abstractNumId w:val="0"/>
  </w:num>
  <w:num w:numId="6">
    <w:abstractNumId w:val="5"/>
  </w:num>
  <w:num w:numId="7">
    <w:abstractNumId w:val="8"/>
  </w:num>
  <w:num w:numId="8">
    <w:abstractNumId w:val="10"/>
  </w:num>
  <w:num w:numId="9">
    <w:abstractNumId w:val="11"/>
  </w:num>
  <w:num w:numId="10">
    <w:abstractNumId w:val="4"/>
  </w:num>
  <w:num w:numId="11">
    <w:abstractNumId w:val="9"/>
  </w:num>
  <w:num w:numId="12">
    <w:abstractNumId w:val="6"/>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drawingGridHorizontalSpacing w:val="110"/>
  <w:displayHorizontalDrawingGridEvery w:val="2"/>
  <w:characterSpacingControl w:val="doNotCompress"/>
  <w:hdrShapeDefaults>
    <o:shapedefaults v:ext="edit" spidmax="72705">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2B"/>
    <w:rsid w:val="000014F5"/>
    <w:rsid w:val="00001851"/>
    <w:rsid w:val="000029C7"/>
    <w:rsid w:val="0001366F"/>
    <w:rsid w:val="0005224F"/>
    <w:rsid w:val="00056F17"/>
    <w:rsid w:val="00060D4C"/>
    <w:rsid w:val="000622F2"/>
    <w:rsid w:val="000D0F00"/>
    <w:rsid w:val="000E79AC"/>
    <w:rsid w:val="000F45FA"/>
    <w:rsid w:val="00102DEA"/>
    <w:rsid w:val="001133F5"/>
    <w:rsid w:val="001456B5"/>
    <w:rsid w:val="00173815"/>
    <w:rsid w:val="00177B48"/>
    <w:rsid w:val="00182C08"/>
    <w:rsid w:val="001A2506"/>
    <w:rsid w:val="001A6C1A"/>
    <w:rsid w:val="001B5ADC"/>
    <w:rsid w:val="001C2F0B"/>
    <w:rsid w:val="001C5B79"/>
    <w:rsid w:val="001E6AA3"/>
    <w:rsid w:val="00221248"/>
    <w:rsid w:val="0022696F"/>
    <w:rsid w:val="00240440"/>
    <w:rsid w:val="002904D0"/>
    <w:rsid w:val="00316E3C"/>
    <w:rsid w:val="003749A8"/>
    <w:rsid w:val="003D1D1B"/>
    <w:rsid w:val="004125CA"/>
    <w:rsid w:val="00421CEC"/>
    <w:rsid w:val="0042614F"/>
    <w:rsid w:val="004A44BD"/>
    <w:rsid w:val="004C728C"/>
    <w:rsid w:val="004E0977"/>
    <w:rsid w:val="00516136"/>
    <w:rsid w:val="00533750"/>
    <w:rsid w:val="00534286"/>
    <w:rsid w:val="00563A06"/>
    <w:rsid w:val="005A4C9B"/>
    <w:rsid w:val="005C7210"/>
    <w:rsid w:val="005E4B1E"/>
    <w:rsid w:val="005F3F8A"/>
    <w:rsid w:val="00612625"/>
    <w:rsid w:val="006244CE"/>
    <w:rsid w:val="00635996"/>
    <w:rsid w:val="00671760"/>
    <w:rsid w:val="00690BF4"/>
    <w:rsid w:val="0069276F"/>
    <w:rsid w:val="00696406"/>
    <w:rsid w:val="006C312B"/>
    <w:rsid w:val="006C665F"/>
    <w:rsid w:val="00710065"/>
    <w:rsid w:val="0072182C"/>
    <w:rsid w:val="007307C6"/>
    <w:rsid w:val="0073429E"/>
    <w:rsid w:val="00771F82"/>
    <w:rsid w:val="0078091A"/>
    <w:rsid w:val="00796ECA"/>
    <w:rsid w:val="007D096A"/>
    <w:rsid w:val="007E60D1"/>
    <w:rsid w:val="007F2260"/>
    <w:rsid w:val="007F3A12"/>
    <w:rsid w:val="00805DD9"/>
    <w:rsid w:val="008270DA"/>
    <w:rsid w:val="0084498D"/>
    <w:rsid w:val="00867830"/>
    <w:rsid w:val="008B3AD7"/>
    <w:rsid w:val="008E5792"/>
    <w:rsid w:val="008F5BE8"/>
    <w:rsid w:val="009C63BF"/>
    <w:rsid w:val="009E79D8"/>
    <w:rsid w:val="00A0482C"/>
    <w:rsid w:val="00A14DD4"/>
    <w:rsid w:val="00A16665"/>
    <w:rsid w:val="00A76119"/>
    <w:rsid w:val="00AB4C73"/>
    <w:rsid w:val="00AC64B4"/>
    <w:rsid w:val="00B00AB0"/>
    <w:rsid w:val="00B54F59"/>
    <w:rsid w:val="00B57219"/>
    <w:rsid w:val="00BA2CCA"/>
    <w:rsid w:val="00BA3A95"/>
    <w:rsid w:val="00BD493E"/>
    <w:rsid w:val="00C108BF"/>
    <w:rsid w:val="00C51E4A"/>
    <w:rsid w:val="00C75602"/>
    <w:rsid w:val="00C75F13"/>
    <w:rsid w:val="00C8018A"/>
    <w:rsid w:val="00C9073E"/>
    <w:rsid w:val="00C968F2"/>
    <w:rsid w:val="00CA4F47"/>
    <w:rsid w:val="00CC70AA"/>
    <w:rsid w:val="00CD6C19"/>
    <w:rsid w:val="00D27ECE"/>
    <w:rsid w:val="00D36F1F"/>
    <w:rsid w:val="00D56151"/>
    <w:rsid w:val="00D56DCA"/>
    <w:rsid w:val="00D728D2"/>
    <w:rsid w:val="00D815EB"/>
    <w:rsid w:val="00D81EC7"/>
    <w:rsid w:val="00D92887"/>
    <w:rsid w:val="00DB00C4"/>
    <w:rsid w:val="00DC6021"/>
    <w:rsid w:val="00DE3B33"/>
    <w:rsid w:val="00DE4AF3"/>
    <w:rsid w:val="00DE76A3"/>
    <w:rsid w:val="00E038CF"/>
    <w:rsid w:val="00EB68E7"/>
    <w:rsid w:val="00EC5C51"/>
    <w:rsid w:val="00EF3B6C"/>
    <w:rsid w:val="00F83788"/>
    <w:rsid w:val="00FB349E"/>
    <w:rsid w:val="00FC4ACC"/>
    <w:rsid w:val="00FC5B62"/>
    <w:rsid w:val="00FE026E"/>
    <w:rsid w:val="00FE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spacing w:after="0" w:line="240" w:lineRule="auto"/>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spacing w:after="0" w:line="240" w:lineRule="auto"/>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spacing w:after="0" w:line="240" w:lineRule="auto"/>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spacing w:after="0" w:line="240" w:lineRule="auto"/>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spacing w:after="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spacing w:after="0" w:line="240" w:lineRule="auto"/>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5A4C9B"/>
    <w:rPr>
      <w:rFonts w:ascii="Arial" w:hAnsi="Arial"/>
    </w:rPr>
  </w:style>
  <w:style w:type="character" w:styleId="CommentReference">
    <w:name w:val="annotation reference"/>
    <w:basedOn w:val="DefaultParagraphFont"/>
    <w:uiPriority w:val="99"/>
    <w:semiHidden/>
    <w:unhideWhenUsed/>
    <w:rsid w:val="005E4B1E"/>
    <w:rPr>
      <w:sz w:val="16"/>
      <w:szCs w:val="16"/>
    </w:rPr>
  </w:style>
  <w:style w:type="paragraph" w:styleId="CommentText">
    <w:name w:val="annotation text"/>
    <w:basedOn w:val="Normal"/>
    <w:link w:val="CommentTextChar"/>
    <w:uiPriority w:val="99"/>
    <w:semiHidden/>
    <w:unhideWhenUsed/>
    <w:rsid w:val="005E4B1E"/>
    <w:pPr>
      <w:spacing w:line="240" w:lineRule="auto"/>
    </w:pPr>
    <w:rPr>
      <w:sz w:val="20"/>
      <w:szCs w:val="20"/>
    </w:rPr>
  </w:style>
  <w:style w:type="character" w:customStyle="1" w:styleId="CommentTextChar">
    <w:name w:val="Comment Text Char"/>
    <w:basedOn w:val="DefaultParagraphFont"/>
    <w:link w:val="CommentText"/>
    <w:uiPriority w:val="99"/>
    <w:semiHidden/>
    <w:rsid w:val="005E4B1E"/>
    <w:rPr>
      <w:sz w:val="20"/>
      <w:szCs w:val="20"/>
    </w:rPr>
  </w:style>
  <w:style w:type="paragraph" w:styleId="Revision">
    <w:name w:val="Revision"/>
    <w:hidden/>
    <w:uiPriority w:val="99"/>
    <w:semiHidden/>
    <w:rsid w:val="00DB00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spacing w:after="0" w:line="240" w:lineRule="auto"/>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spacing w:after="0" w:line="240" w:lineRule="auto"/>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spacing w:after="0" w:line="240" w:lineRule="auto"/>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spacing w:after="0" w:line="240" w:lineRule="auto"/>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spacing w:after="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spacing w:after="0" w:line="240" w:lineRule="auto"/>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5A4C9B"/>
    <w:rPr>
      <w:rFonts w:ascii="Arial" w:hAnsi="Arial"/>
    </w:rPr>
  </w:style>
  <w:style w:type="character" w:styleId="CommentReference">
    <w:name w:val="annotation reference"/>
    <w:basedOn w:val="DefaultParagraphFont"/>
    <w:uiPriority w:val="99"/>
    <w:semiHidden/>
    <w:unhideWhenUsed/>
    <w:rsid w:val="005E4B1E"/>
    <w:rPr>
      <w:sz w:val="16"/>
      <w:szCs w:val="16"/>
    </w:rPr>
  </w:style>
  <w:style w:type="paragraph" w:styleId="CommentText">
    <w:name w:val="annotation text"/>
    <w:basedOn w:val="Normal"/>
    <w:link w:val="CommentTextChar"/>
    <w:uiPriority w:val="99"/>
    <w:semiHidden/>
    <w:unhideWhenUsed/>
    <w:rsid w:val="005E4B1E"/>
    <w:pPr>
      <w:spacing w:line="240" w:lineRule="auto"/>
    </w:pPr>
    <w:rPr>
      <w:sz w:val="20"/>
      <w:szCs w:val="20"/>
    </w:rPr>
  </w:style>
  <w:style w:type="character" w:customStyle="1" w:styleId="CommentTextChar">
    <w:name w:val="Comment Text Char"/>
    <w:basedOn w:val="DefaultParagraphFont"/>
    <w:link w:val="CommentText"/>
    <w:uiPriority w:val="99"/>
    <w:semiHidden/>
    <w:rsid w:val="005E4B1E"/>
    <w:rPr>
      <w:sz w:val="20"/>
      <w:szCs w:val="20"/>
    </w:rPr>
  </w:style>
  <w:style w:type="paragraph" w:styleId="Revision">
    <w:name w:val="Revision"/>
    <w:hidden/>
    <w:uiPriority w:val="99"/>
    <w:semiHidden/>
    <w:rsid w:val="00DB00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4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government/publications/security-policy-framew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010CF-0446-4D63-9DF8-0A55B8AF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manningk</dc:creator>
  <cp:keywords>MasterRev.5</cp:keywords>
  <cp:lastModifiedBy>Kirsty Manning</cp:lastModifiedBy>
  <cp:revision>3</cp:revision>
  <dcterms:created xsi:type="dcterms:W3CDTF">2014-12-11T12:02:00Z</dcterms:created>
  <dcterms:modified xsi:type="dcterms:W3CDTF">2014-12-11T15:05:00Z</dcterms:modified>
</cp:coreProperties>
</file>