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987AA" w14:textId="77777777" w:rsidR="000D1830" w:rsidRDefault="00FD46F3">
      <w:r>
        <w:rPr>
          <w:noProof/>
        </w:rPr>
        <w:drawing>
          <wp:anchor distT="0" distB="0" distL="114300" distR="114300" simplePos="0" relativeHeight="76" behindDoc="0" locked="0" layoutInCell="1" allowOverlap="1" wp14:anchorId="46C987AA" wp14:editId="46C987AB">
            <wp:simplePos x="0" y="0"/>
            <wp:positionH relativeFrom="column">
              <wp:align>left</wp:align>
            </wp:positionH>
            <wp:positionV relativeFrom="paragraph">
              <wp:align>top</wp:align>
            </wp:positionV>
            <wp:extent cx="2476440" cy="2070000"/>
            <wp:effectExtent l="0" t="0" r="60" b="10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0" cy="2070000"/>
                    </a:xfrm>
                    <a:prstGeom prst="rect">
                      <a:avLst/>
                    </a:prstGeom>
                    <a:noFill/>
                    <a:ln>
                      <a:noFill/>
                      <a:prstDash/>
                    </a:ln>
                  </pic:spPr>
                </pic:pic>
              </a:graphicData>
            </a:graphic>
          </wp:anchor>
        </w:drawing>
      </w:r>
      <w:r>
        <w:br/>
      </w:r>
    </w:p>
    <w:p w14:paraId="46C987AB" w14:textId="77777777" w:rsidR="000D1830" w:rsidRDefault="000D1830">
      <w:pPr>
        <w:pStyle w:val="Heading1"/>
      </w:pPr>
      <w:bookmarkStart w:id="0" w:name="_Toc32303547"/>
    </w:p>
    <w:p w14:paraId="46C987AC" w14:textId="77777777" w:rsidR="000D1830" w:rsidRDefault="000D1830">
      <w:pPr>
        <w:pStyle w:val="Heading1"/>
      </w:pPr>
    </w:p>
    <w:p w14:paraId="46C987AD" w14:textId="77777777" w:rsidR="000D1830" w:rsidRDefault="000D1830">
      <w:pPr>
        <w:pStyle w:val="Heading1"/>
      </w:pPr>
    </w:p>
    <w:p w14:paraId="46C987AE" w14:textId="77777777" w:rsidR="000D1830" w:rsidRDefault="00FD46F3">
      <w:pPr>
        <w:pStyle w:val="Heading1"/>
      </w:pPr>
      <w:bookmarkStart w:id="1" w:name="_Toc33176231"/>
      <w:r>
        <w:t>G-Cloud 12 Call-Off Contract</w:t>
      </w:r>
      <w:bookmarkEnd w:id="0"/>
      <w:bookmarkEnd w:id="1"/>
    </w:p>
    <w:p w14:paraId="46C987AF" w14:textId="77777777" w:rsidR="000D1830" w:rsidRDefault="000D1830">
      <w:pPr>
        <w:rPr>
          <w:sz w:val="28"/>
          <w:szCs w:val="28"/>
        </w:rPr>
      </w:pPr>
    </w:p>
    <w:p w14:paraId="46C987B0" w14:textId="77777777" w:rsidR="000D1830" w:rsidRDefault="000D1830">
      <w:pPr>
        <w:rPr>
          <w:sz w:val="28"/>
          <w:szCs w:val="28"/>
        </w:rPr>
      </w:pPr>
    </w:p>
    <w:p w14:paraId="46C987B1" w14:textId="77777777" w:rsidR="000D1830" w:rsidRDefault="00FD46F3">
      <w:pPr>
        <w:rPr>
          <w:rFonts w:eastAsia="Times New Roman"/>
          <w:lang w:eastAsia="en-US"/>
        </w:rPr>
      </w:pPr>
      <w:r>
        <w:rPr>
          <w:rFonts w:eastAsia="Times New Roman"/>
          <w:lang w:eastAsia="en-US"/>
        </w:rPr>
        <w:t>This Call-Off Contract for the G-Cloud 12 Framework Agreement (RM1557.12) includes:</w:t>
      </w:r>
    </w:p>
    <w:p w14:paraId="46C987B2" w14:textId="77777777" w:rsidR="000D1830" w:rsidRDefault="00FD46F3">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46C987B3" w14:textId="77777777" w:rsidR="000D1830" w:rsidRDefault="00FD46F3">
      <w:pPr>
        <w:pStyle w:val="TOC2"/>
      </w:pPr>
      <w:r>
        <w:rPr>
          <w:rFonts w:ascii="Arial" w:hAnsi="Arial"/>
          <w:b w:val="0"/>
        </w:rPr>
        <w:t>Part A: Order Form</w:t>
      </w:r>
      <w:r>
        <w:rPr>
          <w:rFonts w:ascii="Arial" w:hAnsi="Arial"/>
          <w:b w:val="0"/>
        </w:rPr>
        <w:tab/>
        <w:t>2</w:t>
      </w:r>
    </w:p>
    <w:p w14:paraId="46C987B4" w14:textId="77777777" w:rsidR="000D1830" w:rsidRDefault="00FD46F3">
      <w:pPr>
        <w:pStyle w:val="TOC2"/>
      </w:pPr>
      <w:r>
        <w:rPr>
          <w:rFonts w:ascii="Arial" w:hAnsi="Arial"/>
          <w:b w:val="0"/>
        </w:rPr>
        <w:t>Schedule 1: Services</w:t>
      </w:r>
      <w:r>
        <w:rPr>
          <w:rFonts w:ascii="Arial" w:hAnsi="Arial"/>
          <w:b w:val="0"/>
        </w:rPr>
        <w:tab/>
        <w:t>12</w:t>
      </w:r>
    </w:p>
    <w:p w14:paraId="46C987B5" w14:textId="77777777" w:rsidR="000D1830" w:rsidRDefault="00FD46F3">
      <w:pPr>
        <w:pStyle w:val="TOC2"/>
      </w:pPr>
      <w:r>
        <w:rPr>
          <w:rFonts w:ascii="Arial" w:hAnsi="Arial"/>
          <w:b w:val="0"/>
        </w:rPr>
        <w:t>Schedule 2: Call-Off Contract charges</w:t>
      </w:r>
      <w:r>
        <w:rPr>
          <w:rFonts w:ascii="Arial" w:hAnsi="Arial"/>
          <w:b w:val="0"/>
        </w:rPr>
        <w:tab/>
        <w:t>12</w:t>
      </w:r>
    </w:p>
    <w:p w14:paraId="46C987B6" w14:textId="77777777" w:rsidR="000D1830" w:rsidRDefault="00FD46F3">
      <w:pPr>
        <w:pStyle w:val="TOC2"/>
      </w:pPr>
      <w:r>
        <w:rPr>
          <w:rFonts w:ascii="Arial" w:hAnsi="Arial"/>
          <w:b w:val="0"/>
        </w:rPr>
        <w:t>Part B: Terms and conditions</w:t>
      </w:r>
      <w:r>
        <w:rPr>
          <w:rFonts w:ascii="Arial" w:hAnsi="Arial"/>
          <w:b w:val="0"/>
        </w:rPr>
        <w:tab/>
        <w:t>13</w:t>
      </w:r>
    </w:p>
    <w:p w14:paraId="46C987B7" w14:textId="77777777" w:rsidR="000D1830" w:rsidRDefault="00FD46F3">
      <w:pPr>
        <w:pStyle w:val="TOC2"/>
      </w:pPr>
      <w:r>
        <w:rPr>
          <w:rFonts w:ascii="Arial" w:hAnsi="Arial"/>
          <w:b w:val="0"/>
        </w:rPr>
        <w:t>Schedule 3: Collaboration agreement</w:t>
      </w:r>
      <w:r>
        <w:rPr>
          <w:rFonts w:ascii="Arial" w:hAnsi="Arial"/>
          <w:b w:val="0"/>
        </w:rPr>
        <w:tab/>
        <w:t>32</w:t>
      </w:r>
    </w:p>
    <w:p w14:paraId="46C987B8" w14:textId="77777777" w:rsidR="000D1830" w:rsidRDefault="00FD46F3">
      <w:pPr>
        <w:pStyle w:val="TOC2"/>
      </w:pPr>
      <w:r>
        <w:rPr>
          <w:rFonts w:ascii="Arial" w:hAnsi="Arial"/>
          <w:b w:val="0"/>
        </w:rPr>
        <w:t>Schedule 4: Alternative clauses</w:t>
      </w:r>
      <w:r>
        <w:rPr>
          <w:rFonts w:ascii="Arial" w:hAnsi="Arial"/>
          <w:b w:val="0"/>
        </w:rPr>
        <w:tab/>
        <w:t>44</w:t>
      </w:r>
    </w:p>
    <w:p w14:paraId="46C987B9" w14:textId="77777777" w:rsidR="000D1830" w:rsidRDefault="00FD46F3">
      <w:pPr>
        <w:pStyle w:val="TOC2"/>
      </w:pPr>
      <w:r>
        <w:rPr>
          <w:rFonts w:ascii="Arial" w:hAnsi="Arial"/>
          <w:b w:val="0"/>
        </w:rPr>
        <w:t>Schedule 5: Guarantee</w:t>
      </w:r>
      <w:r>
        <w:rPr>
          <w:rFonts w:ascii="Arial" w:hAnsi="Arial"/>
          <w:b w:val="0"/>
        </w:rPr>
        <w:tab/>
        <w:t>49</w:t>
      </w:r>
    </w:p>
    <w:p w14:paraId="46C987BA" w14:textId="77777777" w:rsidR="000D1830" w:rsidRDefault="00FD46F3">
      <w:pPr>
        <w:pStyle w:val="TOC2"/>
      </w:pPr>
      <w:r>
        <w:rPr>
          <w:rFonts w:ascii="Arial" w:hAnsi="Arial"/>
          <w:b w:val="0"/>
        </w:rPr>
        <w:t>Schedule 6: Glossary and interpretations</w:t>
      </w:r>
      <w:r>
        <w:rPr>
          <w:rFonts w:ascii="Arial" w:hAnsi="Arial"/>
          <w:b w:val="0"/>
        </w:rPr>
        <w:tab/>
        <w:t>57</w:t>
      </w:r>
    </w:p>
    <w:p w14:paraId="46C987BB" w14:textId="77777777" w:rsidR="000D1830" w:rsidRDefault="00FD46F3">
      <w:pPr>
        <w:pStyle w:val="TOC2"/>
      </w:pPr>
      <w:r>
        <w:rPr>
          <w:rFonts w:ascii="Arial" w:hAnsi="Arial"/>
          <w:b w:val="0"/>
        </w:rPr>
        <w:t>Schedule 7: GDPR Information</w:t>
      </w:r>
      <w:r>
        <w:rPr>
          <w:rFonts w:ascii="Arial" w:hAnsi="Arial"/>
          <w:b w:val="0"/>
        </w:rPr>
        <w:tab/>
        <w:t>68</w:t>
      </w:r>
    </w:p>
    <w:p w14:paraId="46C987BC" w14:textId="77777777" w:rsidR="000D1830" w:rsidRDefault="00FD46F3">
      <w:pPr>
        <w:pageBreakBefore/>
      </w:pPr>
      <w:r>
        <w:rPr>
          <w:rFonts w:ascii="Cambria" w:eastAsia="Cambria" w:hAnsi="Cambria" w:cs="Cambria"/>
          <w:b/>
          <w:bCs/>
        </w:rPr>
        <w:lastRenderedPageBreak/>
        <w:fldChar w:fldCharType="end"/>
      </w:r>
    </w:p>
    <w:p w14:paraId="46C987BD" w14:textId="77777777" w:rsidR="000D1830" w:rsidRDefault="00FD46F3">
      <w:pPr>
        <w:pStyle w:val="Heading2"/>
      </w:pPr>
      <w:bookmarkStart w:id="2" w:name="_Toc33176232"/>
      <w:r>
        <w:t>Part A: Order Form</w:t>
      </w:r>
      <w:bookmarkEnd w:id="2"/>
    </w:p>
    <w:p w14:paraId="46C987BE" w14:textId="77777777" w:rsidR="000D1830" w:rsidRDefault="00FD46F3">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0D1830" w14:paraId="46C987C1" w14:textId="77777777" w:rsidTr="00763B3E">
        <w:trPr>
          <w:trHeight w:val="432"/>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7BF" w14:textId="77777777" w:rsidR="000D1830" w:rsidRPr="00024CE9" w:rsidRDefault="00FD46F3" w:rsidP="00024CE9">
            <w:pPr>
              <w:rPr>
                <w:b/>
                <w:bCs/>
              </w:rPr>
            </w:pPr>
            <w:r w:rsidRPr="00024CE9">
              <w:rPr>
                <w:b/>
                <w:bCs/>
              </w:rPr>
              <w:t>Digital Marketplace service ID number</w:t>
            </w:r>
          </w:p>
        </w:tc>
        <w:tc>
          <w:tcPr>
            <w:tcW w:w="43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6C987C0" w14:textId="52B301D0" w:rsidR="000D1830" w:rsidRDefault="00763B3E" w:rsidP="00763B3E">
            <w:pPr>
              <w:suppressAutoHyphens w:val="0"/>
            </w:pPr>
            <w:r>
              <w:rPr>
                <w:color w:val="0B0C0C"/>
                <w:shd w:val="clear" w:color="auto" w:fill="FFFFFF"/>
              </w:rPr>
              <w:t>447886457471019</w:t>
            </w:r>
          </w:p>
        </w:tc>
      </w:tr>
      <w:tr w:rsidR="000D1830" w14:paraId="46C987C4" w14:textId="77777777" w:rsidTr="00024CE9">
        <w:trPr>
          <w:trHeight w:val="35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7C2" w14:textId="77777777" w:rsidR="000D1830" w:rsidRPr="00024CE9" w:rsidRDefault="00FD46F3" w:rsidP="00024CE9">
            <w:pPr>
              <w:rPr>
                <w:b/>
                <w:bCs/>
              </w:rPr>
            </w:pPr>
            <w:r w:rsidRPr="00024CE9">
              <w:rPr>
                <w:b/>
                <w:bCs/>
              </w:rPr>
              <w:t>Call-Off Contract reference</w:t>
            </w:r>
          </w:p>
        </w:tc>
        <w:tc>
          <w:tcPr>
            <w:tcW w:w="4365" w:type="dxa"/>
            <w:tcBorders>
              <w:bottom w:val="single" w:sz="8" w:space="0" w:color="000000"/>
              <w:right w:val="single" w:sz="8" w:space="0" w:color="000000"/>
            </w:tcBorders>
            <w:tcMar>
              <w:top w:w="100" w:type="dxa"/>
              <w:left w:w="100" w:type="dxa"/>
              <w:bottom w:w="100" w:type="dxa"/>
              <w:right w:w="100" w:type="dxa"/>
            </w:tcMar>
          </w:tcPr>
          <w:p w14:paraId="46C987C3" w14:textId="2EAA9384" w:rsidR="000D1830" w:rsidRDefault="00EE563F" w:rsidP="00024CE9">
            <w:r w:rsidRPr="00EE563F">
              <w:t>Project_24084</w:t>
            </w:r>
          </w:p>
        </w:tc>
      </w:tr>
      <w:tr w:rsidR="000D1830" w14:paraId="46C987C7"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7C5" w14:textId="77777777" w:rsidR="000D1830" w:rsidRPr="00024CE9" w:rsidRDefault="00FD46F3" w:rsidP="00024CE9">
            <w:pPr>
              <w:rPr>
                <w:b/>
                <w:bCs/>
              </w:rPr>
            </w:pPr>
            <w:r w:rsidRPr="00024CE9">
              <w:rPr>
                <w:b/>
                <w:bCs/>
              </w:rPr>
              <w:t>Call-Off Contract title</w:t>
            </w:r>
          </w:p>
        </w:tc>
        <w:tc>
          <w:tcPr>
            <w:tcW w:w="4365" w:type="dxa"/>
            <w:tcBorders>
              <w:bottom w:val="single" w:sz="8" w:space="0" w:color="000000"/>
              <w:right w:val="single" w:sz="8" w:space="0" w:color="000000"/>
            </w:tcBorders>
            <w:tcMar>
              <w:top w:w="100" w:type="dxa"/>
              <w:left w:w="100" w:type="dxa"/>
              <w:bottom w:w="100" w:type="dxa"/>
              <w:right w:w="100" w:type="dxa"/>
            </w:tcMar>
          </w:tcPr>
          <w:p w14:paraId="46C987C6" w14:textId="7B2174AB" w:rsidR="000D1830" w:rsidRDefault="00274D17" w:rsidP="00024CE9">
            <w:r>
              <w:t>New Style Transformation</w:t>
            </w:r>
          </w:p>
        </w:tc>
      </w:tr>
      <w:tr w:rsidR="000D1830" w14:paraId="46C987CA"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7C8" w14:textId="77777777" w:rsidR="000D1830" w:rsidRPr="00024CE9" w:rsidRDefault="00FD46F3" w:rsidP="00024CE9">
            <w:pPr>
              <w:rPr>
                <w:b/>
                <w:bCs/>
              </w:rPr>
            </w:pPr>
            <w:r w:rsidRPr="00024CE9">
              <w:rPr>
                <w:b/>
                <w:bCs/>
              </w:rPr>
              <w:t>Call-Off Contract description</w:t>
            </w:r>
          </w:p>
        </w:tc>
        <w:tc>
          <w:tcPr>
            <w:tcW w:w="4365" w:type="dxa"/>
            <w:tcBorders>
              <w:bottom w:val="single" w:sz="8" w:space="0" w:color="000000"/>
              <w:right w:val="single" w:sz="8" w:space="0" w:color="000000"/>
            </w:tcBorders>
            <w:tcMar>
              <w:top w:w="100" w:type="dxa"/>
              <w:left w:w="100" w:type="dxa"/>
              <w:bottom w:w="100" w:type="dxa"/>
              <w:right w:w="100" w:type="dxa"/>
            </w:tcMar>
          </w:tcPr>
          <w:p w14:paraId="46C987C9" w14:textId="2D3A9E03" w:rsidR="000D1830" w:rsidRDefault="002A624F" w:rsidP="00024CE9">
            <w:r>
              <w:t xml:space="preserve">Undertaking activities to enable to progression of </w:t>
            </w:r>
            <w:r w:rsidR="0008417F">
              <w:t>transforming the New Style suite of services.</w:t>
            </w:r>
          </w:p>
        </w:tc>
      </w:tr>
      <w:tr w:rsidR="000D1830" w14:paraId="46C987CD" w14:textId="77777777" w:rsidTr="00024CE9">
        <w:trPr>
          <w:trHeight w:val="214"/>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7CB" w14:textId="77777777" w:rsidR="000D1830" w:rsidRPr="00024CE9" w:rsidRDefault="00FD46F3" w:rsidP="00024CE9">
            <w:pPr>
              <w:rPr>
                <w:b/>
                <w:bCs/>
              </w:rPr>
            </w:pPr>
            <w:r w:rsidRPr="00024CE9">
              <w:rPr>
                <w:b/>
                <w:bCs/>
              </w:rPr>
              <w:t>Start date</w:t>
            </w:r>
          </w:p>
        </w:tc>
        <w:tc>
          <w:tcPr>
            <w:tcW w:w="4365" w:type="dxa"/>
            <w:tcBorders>
              <w:bottom w:val="single" w:sz="8" w:space="0" w:color="000000"/>
              <w:right w:val="single" w:sz="8" w:space="0" w:color="000000"/>
            </w:tcBorders>
            <w:tcMar>
              <w:top w:w="100" w:type="dxa"/>
              <w:left w:w="100" w:type="dxa"/>
              <w:bottom w:w="100" w:type="dxa"/>
              <w:right w:w="100" w:type="dxa"/>
            </w:tcMar>
          </w:tcPr>
          <w:p w14:paraId="46C987CC" w14:textId="274191B5" w:rsidR="000D1830" w:rsidRDefault="0008417F" w:rsidP="00024CE9">
            <w:r>
              <w:t>12.04</w:t>
            </w:r>
            <w:r w:rsidR="00FD46F3">
              <w:t>.21</w:t>
            </w:r>
          </w:p>
        </w:tc>
      </w:tr>
      <w:tr w:rsidR="000D1830" w14:paraId="46C987D0" w14:textId="77777777" w:rsidTr="00024CE9">
        <w:trPr>
          <w:trHeight w:val="15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7CE" w14:textId="77777777" w:rsidR="000D1830" w:rsidRPr="00024CE9" w:rsidRDefault="00FD46F3" w:rsidP="00024CE9">
            <w:pPr>
              <w:rPr>
                <w:b/>
                <w:bCs/>
              </w:rPr>
            </w:pPr>
            <w:r w:rsidRPr="00024CE9">
              <w:rPr>
                <w:b/>
                <w:bCs/>
              </w:rPr>
              <w:t>Expiry date</w:t>
            </w:r>
          </w:p>
        </w:tc>
        <w:tc>
          <w:tcPr>
            <w:tcW w:w="4365" w:type="dxa"/>
            <w:tcBorders>
              <w:bottom w:val="single" w:sz="8" w:space="0" w:color="000000"/>
              <w:right w:val="single" w:sz="8" w:space="0" w:color="000000"/>
            </w:tcBorders>
            <w:tcMar>
              <w:top w:w="100" w:type="dxa"/>
              <w:left w:w="100" w:type="dxa"/>
              <w:bottom w:w="100" w:type="dxa"/>
              <w:right w:w="100" w:type="dxa"/>
            </w:tcMar>
          </w:tcPr>
          <w:p w14:paraId="46C987CF" w14:textId="5278D60D" w:rsidR="000D1830" w:rsidRDefault="00B87B12" w:rsidP="00024CE9">
            <w:r>
              <w:t>30.07.21</w:t>
            </w:r>
          </w:p>
        </w:tc>
      </w:tr>
      <w:tr w:rsidR="000D1830" w14:paraId="46C987D3"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7D1" w14:textId="77777777" w:rsidR="000D1830" w:rsidRPr="00024CE9" w:rsidRDefault="00FD46F3" w:rsidP="00024CE9">
            <w:pPr>
              <w:rPr>
                <w:b/>
                <w:bCs/>
              </w:rPr>
            </w:pPr>
            <w:r w:rsidRPr="00024CE9">
              <w:rPr>
                <w:b/>
                <w:bCs/>
              </w:rPr>
              <w:t>Call-Off Contract value</w:t>
            </w:r>
          </w:p>
        </w:tc>
        <w:tc>
          <w:tcPr>
            <w:tcW w:w="4365" w:type="dxa"/>
            <w:tcBorders>
              <w:bottom w:val="single" w:sz="8" w:space="0" w:color="000000"/>
              <w:right w:val="single" w:sz="8" w:space="0" w:color="000000"/>
            </w:tcBorders>
            <w:tcMar>
              <w:top w:w="100" w:type="dxa"/>
              <w:left w:w="100" w:type="dxa"/>
              <w:bottom w:w="100" w:type="dxa"/>
              <w:right w:w="100" w:type="dxa"/>
            </w:tcMar>
          </w:tcPr>
          <w:p w14:paraId="46C987D2" w14:textId="6CDF8AE9" w:rsidR="000D1830" w:rsidRDefault="00FD46F3" w:rsidP="00024CE9">
            <w:r>
              <w:t>Up to a maximum of £</w:t>
            </w:r>
            <w:r w:rsidR="00102146">
              <w:t>662,700</w:t>
            </w:r>
            <w:r>
              <w:t xml:space="preserve"> excluding VAT</w:t>
            </w:r>
          </w:p>
        </w:tc>
      </w:tr>
      <w:tr w:rsidR="000D1830" w14:paraId="46C987D6"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7D4" w14:textId="77777777" w:rsidR="000D1830" w:rsidRPr="00024CE9" w:rsidRDefault="00FD46F3" w:rsidP="00024CE9">
            <w:pPr>
              <w:rPr>
                <w:b/>
                <w:bCs/>
              </w:rPr>
            </w:pPr>
            <w:r w:rsidRPr="00024CE9">
              <w:rPr>
                <w:b/>
                <w:bCs/>
              </w:rPr>
              <w:t>Charging method</w:t>
            </w:r>
          </w:p>
        </w:tc>
        <w:tc>
          <w:tcPr>
            <w:tcW w:w="4365" w:type="dxa"/>
            <w:tcBorders>
              <w:bottom w:val="single" w:sz="8" w:space="0" w:color="000000"/>
              <w:right w:val="single" w:sz="8" w:space="0" w:color="000000"/>
            </w:tcBorders>
            <w:tcMar>
              <w:top w:w="100" w:type="dxa"/>
              <w:left w:w="100" w:type="dxa"/>
              <w:bottom w:w="100" w:type="dxa"/>
              <w:right w:w="100" w:type="dxa"/>
            </w:tcMar>
          </w:tcPr>
          <w:p w14:paraId="46C987D5" w14:textId="5AC3F185" w:rsidR="000D1830" w:rsidRDefault="00FD46F3" w:rsidP="00024CE9">
            <w:r>
              <w:t>The charging method for this Call-Off Contract is as agreed in Schedule 2 (Call-Off Contract charges)</w:t>
            </w:r>
          </w:p>
        </w:tc>
      </w:tr>
      <w:tr w:rsidR="000D1830" w14:paraId="46C987D9"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7D7" w14:textId="77777777" w:rsidR="000D1830" w:rsidRPr="00024CE9" w:rsidRDefault="00FD46F3" w:rsidP="00024CE9">
            <w:pPr>
              <w:rPr>
                <w:b/>
                <w:bCs/>
              </w:rPr>
            </w:pPr>
            <w:r w:rsidRPr="00024CE9">
              <w:rPr>
                <w:b/>
                <w:bCs/>
              </w:rPr>
              <w:t>Purchase order number</w:t>
            </w:r>
          </w:p>
        </w:tc>
        <w:tc>
          <w:tcPr>
            <w:tcW w:w="4365" w:type="dxa"/>
            <w:tcBorders>
              <w:bottom w:val="single" w:sz="8" w:space="0" w:color="000000"/>
              <w:right w:val="single" w:sz="8" w:space="0" w:color="000000"/>
            </w:tcBorders>
            <w:tcMar>
              <w:top w:w="100" w:type="dxa"/>
              <w:left w:w="100" w:type="dxa"/>
              <w:bottom w:w="100" w:type="dxa"/>
              <w:right w:w="100" w:type="dxa"/>
            </w:tcMar>
          </w:tcPr>
          <w:p w14:paraId="46C987D8" w14:textId="1CD8D5EB" w:rsidR="000D1830" w:rsidRDefault="00FD46F3" w:rsidP="00024CE9">
            <w:r>
              <w:t>To be sent to Supplier when Single Operating Platform (SOP) record is set up.</w:t>
            </w:r>
          </w:p>
        </w:tc>
      </w:tr>
    </w:tbl>
    <w:p w14:paraId="46C987DB" w14:textId="65A8B284" w:rsidR="000D1830" w:rsidRDefault="00FD46F3" w:rsidP="00024CE9">
      <w:pPr>
        <w:spacing w:before="240"/>
      </w:pPr>
      <w:r>
        <w:t xml:space="preserve"> This Order Form is issued under the G-Cloud 12 Framework Agreement (RM1557.12).</w:t>
      </w:r>
    </w:p>
    <w:p w14:paraId="46C987DC" w14:textId="77777777" w:rsidR="000D1830" w:rsidRDefault="00FD46F3">
      <w:pPr>
        <w:spacing w:before="240"/>
      </w:pPr>
      <w:r>
        <w:t>Buyers can use this Order Form to specify their G-Cloud service requirements when placing an Order.</w:t>
      </w:r>
    </w:p>
    <w:p w14:paraId="46C987DD" w14:textId="77777777" w:rsidR="000D1830" w:rsidRDefault="00FD46F3">
      <w:pPr>
        <w:spacing w:before="240"/>
      </w:pPr>
      <w:r>
        <w:t>The Order Form cannot be used to alter existing terms or add any extra terms that materially change the Deliverables offered by the Supplier and defined in the Application.</w:t>
      </w:r>
    </w:p>
    <w:p w14:paraId="46C987DE" w14:textId="77777777" w:rsidR="000D1830" w:rsidRDefault="00FD46F3">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0D1830" w14:paraId="46C987E7" w14:textId="77777777" w:rsidTr="00024CE9">
        <w:trPr>
          <w:trHeight w:val="1575"/>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7DF" w14:textId="77777777" w:rsidR="000D1830" w:rsidRPr="00024CE9" w:rsidRDefault="00FD46F3" w:rsidP="00024CE9">
            <w:pPr>
              <w:rPr>
                <w:b/>
                <w:bCs/>
              </w:rPr>
            </w:pPr>
            <w:r w:rsidRPr="00024CE9">
              <w:rPr>
                <w:b/>
                <w:bCs/>
              </w:rPr>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6E9D95A" w14:textId="77777777" w:rsidR="00FD46F3" w:rsidRDefault="00FD46F3" w:rsidP="00024CE9">
            <w:r>
              <w:t>Department for Work and Pensions</w:t>
            </w:r>
          </w:p>
          <w:p w14:paraId="46C987E6" w14:textId="31E21DB9" w:rsidR="000D1830" w:rsidRPr="00763B3E" w:rsidRDefault="00EE563F" w:rsidP="00024CE9">
            <w:pPr>
              <w:rPr>
                <w:highlight w:val="yellow"/>
              </w:rPr>
            </w:pPr>
            <w:r w:rsidRPr="00EE563F">
              <w:t>*REDACTED*</w:t>
            </w:r>
          </w:p>
        </w:tc>
      </w:tr>
      <w:tr w:rsidR="000D1830" w14:paraId="46C987F2" w14:textId="77777777" w:rsidTr="00024CE9">
        <w:trPr>
          <w:trHeight w:val="1736"/>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7E8" w14:textId="77777777" w:rsidR="000D1830" w:rsidRPr="00024CE9" w:rsidRDefault="00FD46F3" w:rsidP="00024CE9">
            <w:pPr>
              <w:rPr>
                <w:b/>
                <w:bCs/>
              </w:rPr>
            </w:pPr>
            <w:r w:rsidRPr="00024CE9">
              <w:rPr>
                <w:b/>
                <w:bCs/>
              </w:rPr>
              <w:lastRenderedPageBreak/>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63D9A36B" w14:textId="77777777" w:rsidR="00FD46F3" w:rsidRPr="00FD46F3" w:rsidRDefault="00FD46F3" w:rsidP="00024CE9">
            <w:r w:rsidRPr="00FD46F3">
              <w:t>Valtech Ltd</w:t>
            </w:r>
          </w:p>
          <w:p w14:paraId="46C987F1" w14:textId="6EA0D1D3" w:rsidR="000D1830" w:rsidRPr="00FD46F3" w:rsidRDefault="00EE563F" w:rsidP="00024CE9">
            <w:r w:rsidRPr="00EE563F">
              <w:t>*REDACTED*</w:t>
            </w:r>
          </w:p>
        </w:tc>
      </w:tr>
      <w:tr w:rsidR="000D1830" w14:paraId="46C987F4"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46C987F3" w14:textId="77777777" w:rsidR="000D1830" w:rsidRPr="00024CE9" w:rsidRDefault="00FD46F3" w:rsidP="00024CE9">
            <w:pPr>
              <w:rPr>
                <w:b/>
                <w:bCs/>
              </w:rPr>
            </w:pPr>
            <w:r w:rsidRPr="00024CE9">
              <w:rPr>
                <w:b/>
                <w:bCs/>
              </w:rPr>
              <w:t>Together the ‘Parties’</w:t>
            </w:r>
          </w:p>
        </w:tc>
      </w:tr>
    </w:tbl>
    <w:p w14:paraId="46C987F6" w14:textId="77777777" w:rsidR="000D1830" w:rsidRDefault="00FD46F3">
      <w:pPr>
        <w:pStyle w:val="Heading3"/>
        <w:rPr>
          <w:color w:val="auto"/>
        </w:rPr>
      </w:pPr>
      <w:r>
        <w:rPr>
          <w:color w:val="auto"/>
        </w:rPr>
        <w:t>Principal contact details</w:t>
      </w:r>
    </w:p>
    <w:p w14:paraId="46C987F7" w14:textId="77777777" w:rsidR="000D1830" w:rsidRDefault="00FD46F3">
      <w:pPr>
        <w:spacing w:before="240" w:after="120" w:line="480" w:lineRule="auto"/>
        <w:rPr>
          <w:b/>
        </w:rPr>
      </w:pPr>
      <w:r>
        <w:rPr>
          <w:b/>
        </w:rPr>
        <w:t>For the Buyer:</w:t>
      </w:r>
    </w:p>
    <w:p w14:paraId="46C987F8" w14:textId="500175AE" w:rsidR="000D1830" w:rsidRPr="00ED14E0" w:rsidRDefault="00FD46F3">
      <w:pPr>
        <w:spacing w:after="120"/>
      </w:pPr>
      <w:r w:rsidRPr="00ED14E0">
        <w:t xml:space="preserve">Title: </w:t>
      </w:r>
      <w:r w:rsidR="001209F9" w:rsidRPr="00ED14E0">
        <w:t xml:space="preserve">Commercial </w:t>
      </w:r>
      <w:r w:rsidR="00ED14E0" w:rsidRPr="00ED14E0">
        <w:t>Manager</w:t>
      </w:r>
    </w:p>
    <w:p w14:paraId="46C987F9" w14:textId="4C5EEB3A" w:rsidR="000D1830" w:rsidRPr="00B637B9" w:rsidRDefault="00FD46F3">
      <w:pPr>
        <w:spacing w:after="120" w:line="240" w:lineRule="auto"/>
      </w:pPr>
      <w:r w:rsidRPr="00B637B9">
        <w:t xml:space="preserve">Name: </w:t>
      </w:r>
      <w:r w:rsidR="00EE563F" w:rsidRPr="00EE563F">
        <w:t>*REDACTED*</w:t>
      </w:r>
    </w:p>
    <w:p w14:paraId="46C987FA" w14:textId="139649C0" w:rsidR="000D1830" w:rsidRPr="00B637B9" w:rsidRDefault="00FD46F3">
      <w:pPr>
        <w:spacing w:after="120" w:line="240" w:lineRule="auto"/>
      </w:pPr>
      <w:r w:rsidRPr="00B637B9">
        <w:t xml:space="preserve">Email: </w:t>
      </w:r>
      <w:r w:rsidR="00EE563F" w:rsidRPr="00EE563F">
        <w:t>*REDACTED*</w:t>
      </w:r>
    </w:p>
    <w:p w14:paraId="2BF7615C" w14:textId="77777777" w:rsidR="00EE563F" w:rsidRDefault="00FD46F3" w:rsidP="00EE563F">
      <w:pPr>
        <w:spacing w:after="120" w:line="360" w:lineRule="auto"/>
      </w:pPr>
      <w:r w:rsidRPr="00B637B9">
        <w:t xml:space="preserve">Phone: </w:t>
      </w:r>
      <w:r w:rsidR="00EE563F" w:rsidRPr="00EE563F">
        <w:t>*REDACTED*</w:t>
      </w:r>
    </w:p>
    <w:p w14:paraId="46C987FD" w14:textId="450D580A" w:rsidR="000D1830" w:rsidRDefault="00FD46F3" w:rsidP="00EE563F">
      <w:pPr>
        <w:spacing w:after="120" w:line="360" w:lineRule="auto"/>
        <w:rPr>
          <w:b/>
        </w:rPr>
      </w:pPr>
      <w:r>
        <w:rPr>
          <w:b/>
        </w:rPr>
        <w:t>For the Supplier:</w:t>
      </w:r>
    </w:p>
    <w:p w14:paraId="46C987FE" w14:textId="334F89D0" w:rsidR="000D1830" w:rsidRDefault="00FD46F3">
      <w:pPr>
        <w:spacing w:after="120" w:line="240" w:lineRule="auto"/>
      </w:pPr>
      <w:r>
        <w:t>Title: Account Manager</w:t>
      </w:r>
    </w:p>
    <w:p w14:paraId="46C987FF" w14:textId="0869C20F" w:rsidR="000D1830" w:rsidRDefault="00FD46F3">
      <w:pPr>
        <w:spacing w:after="120" w:line="240" w:lineRule="auto"/>
      </w:pPr>
      <w:r>
        <w:t xml:space="preserve">Name: </w:t>
      </w:r>
      <w:r w:rsidR="00EE563F" w:rsidRPr="00EE563F">
        <w:t>*REDACTED*</w:t>
      </w:r>
    </w:p>
    <w:p w14:paraId="46C98800" w14:textId="452B1F7C" w:rsidR="000D1830" w:rsidRDefault="00FD46F3">
      <w:pPr>
        <w:spacing w:after="120" w:line="240" w:lineRule="auto"/>
      </w:pPr>
      <w:r>
        <w:t xml:space="preserve">Email: </w:t>
      </w:r>
      <w:r w:rsidR="00EE563F" w:rsidRPr="00EE563F">
        <w:t>*REDACTED*</w:t>
      </w:r>
      <w:r w:rsidR="00860130">
        <w:t xml:space="preserve"> </w:t>
      </w:r>
    </w:p>
    <w:p w14:paraId="1B0C9BA5" w14:textId="77777777" w:rsidR="00EE563F" w:rsidRDefault="00FD46F3" w:rsidP="00EE563F">
      <w:pPr>
        <w:spacing w:after="120" w:line="240" w:lineRule="auto"/>
      </w:pPr>
      <w:r>
        <w:t xml:space="preserve">Phone: </w:t>
      </w:r>
      <w:r w:rsidR="00EE563F" w:rsidRPr="00EE563F">
        <w:t>*REDACTED*</w:t>
      </w:r>
    </w:p>
    <w:p w14:paraId="1F374BFA" w14:textId="77777777" w:rsidR="00EE563F" w:rsidRDefault="00EE563F" w:rsidP="00EE563F">
      <w:pPr>
        <w:spacing w:after="120" w:line="240" w:lineRule="auto"/>
      </w:pPr>
    </w:p>
    <w:p w14:paraId="46C98803" w14:textId="091C56B6" w:rsidR="000D1830" w:rsidRDefault="00FD46F3" w:rsidP="00EE563F">
      <w:pPr>
        <w:spacing w:after="120" w:line="240" w:lineRule="auto"/>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D1830" w14:paraId="46C98807" w14:textId="77777777" w:rsidTr="00763B3E">
        <w:trPr>
          <w:trHeight w:val="306"/>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04" w14:textId="77777777" w:rsidR="000D1830" w:rsidRPr="00024CE9" w:rsidRDefault="00FD46F3" w:rsidP="00024CE9">
            <w:pPr>
              <w:rPr>
                <w:b/>
                <w:bCs/>
              </w:rPr>
            </w:pPr>
            <w:r w:rsidRPr="00024CE9">
              <w:rPr>
                <w:b/>
                <w:bCs/>
              </w:rPr>
              <w:t>Start 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6C98806" w14:textId="797E4CB1" w:rsidR="000D1830" w:rsidRDefault="00ED14E0" w:rsidP="00024CE9">
            <w:r>
              <w:t>12.04</w:t>
            </w:r>
            <w:r w:rsidR="00860130">
              <w:t>.21</w:t>
            </w:r>
          </w:p>
        </w:tc>
      </w:tr>
      <w:tr w:rsidR="000D1830" w14:paraId="46C9880B"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808" w14:textId="77777777" w:rsidR="000D1830" w:rsidRPr="00024CE9" w:rsidRDefault="00FD46F3" w:rsidP="00024CE9">
            <w:pPr>
              <w:rPr>
                <w:b/>
                <w:bCs/>
              </w:rPr>
            </w:pPr>
            <w:r w:rsidRPr="00024CE9">
              <w:rPr>
                <w:b/>
                <w:bCs/>
              </w:rPr>
              <w:t>Ending (termination)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46C9880A" w14:textId="6657AE8F" w:rsidR="000D1830" w:rsidRDefault="00ED14E0" w:rsidP="00024CE9">
            <w:r>
              <w:t>30.07</w:t>
            </w:r>
            <w:r w:rsidR="00860130">
              <w:t>.</w:t>
            </w:r>
            <w:r w:rsidR="00860130" w:rsidRPr="00860130">
              <w:t>2</w:t>
            </w:r>
            <w:r w:rsidR="00B637B9">
              <w:t>1</w:t>
            </w:r>
            <w:r w:rsidR="00860130" w:rsidRPr="00860130">
              <w:t>, unless terminated earlier on the provision of not less than twenty (20) working days written notice by the Buyer, subject to payment of the termination charges set out in the relevant clauses pursuant to each Statement of Work attached to this Call off Contract.</w:t>
            </w:r>
          </w:p>
        </w:tc>
      </w:tr>
      <w:tr w:rsidR="000D1830" w14:paraId="46C98812" w14:textId="77777777" w:rsidTr="00763B3E">
        <w:trPr>
          <w:trHeight w:val="1831"/>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80C" w14:textId="77777777" w:rsidR="000D1830" w:rsidRPr="00024CE9" w:rsidRDefault="00FD46F3" w:rsidP="00024CE9">
            <w:pPr>
              <w:rPr>
                <w:b/>
                <w:bCs/>
              </w:rPr>
            </w:pPr>
            <w:r w:rsidRPr="00024CE9">
              <w:rPr>
                <w:b/>
                <w:bCs/>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46C98811" w14:textId="777BE8C6" w:rsidR="000D1830" w:rsidRDefault="00860130" w:rsidP="00024CE9">
            <w:r w:rsidRPr="00860130">
              <w:t xml:space="preserve">This Call-Off Contract can be extended by the Buyer for </w:t>
            </w:r>
            <w:r w:rsidR="001F1C16">
              <w:t>a</w:t>
            </w:r>
            <w:r w:rsidRPr="00860130">
              <w:t xml:space="preserve"> period of </w:t>
            </w:r>
            <w:r w:rsidR="00ED14E0">
              <w:t>4</w:t>
            </w:r>
            <w:r w:rsidRPr="00860130">
              <w:t xml:space="preserve"> months, by giving the Supplier at least 30 days written notice before its expiry.</w:t>
            </w:r>
          </w:p>
        </w:tc>
      </w:tr>
    </w:tbl>
    <w:p w14:paraId="15EB1DD4" w14:textId="77777777" w:rsidR="00024CE9" w:rsidRDefault="00024CE9">
      <w:pPr>
        <w:pStyle w:val="Heading3"/>
        <w:rPr>
          <w:color w:val="auto"/>
        </w:rPr>
      </w:pPr>
    </w:p>
    <w:p w14:paraId="001D1BD5" w14:textId="77777777" w:rsidR="00024CE9" w:rsidRDefault="00024CE9">
      <w:pPr>
        <w:suppressAutoHyphens w:val="0"/>
        <w:rPr>
          <w:sz w:val="28"/>
          <w:szCs w:val="28"/>
        </w:rPr>
      </w:pPr>
      <w:r>
        <w:br w:type="page"/>
      </w:r>
    </w:p>
    <w:p w14:paraId="46C98813" w14:textId="77E3FAE5" w:rsidR="000D1830" w:rsidRDefault="00FD46F3">
      <w:pPr>
        <w:pStyle w:val="Heading3"/>
        <w:rPr>
          <w:color w:val="auto"/>
        </w:rPr>
      </w:pPr>
      <w:r>
        <w:rPr>
          <w:color w:val="auto"/>
        </w:rPr>
        <w:lastRenderedPageBreak/>
        <w:t>Buyer contractual details</w:t>
      </w:r>
    </w:p>
    <w:p w14:paraId="46C98814" w14:textId="77777777" w:rsidR="000D1830" w:rsidRDefault="00FD46F3">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0D1830" w14:paraId="46C9881A" w14:textId="77777777" w:rsidTr="00024CE9">
        <w:trPr>
          <w:trHeight w:val="702"/>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15" w14:textId="77777777" w:rsidR="000D1830" w:rsidRPr="00024CE9" w:rsidRDefault="00FD46F3" w:rsidP="00024CE9">
            <w:pPr>
              <w:rPr>
                <w:b/>
                <w:bCs/>
              </w:rPr>
            </w:pPr>
            <w:r w:rsidRPr="00024CE9">
              <w:rPr>
                <w:b/>
                <w:bCs/>
              </w:rPr>
              <w:t>G-Cloud lot</w:t>
            </w:r>
          </w:p>
        </w:tc>
        <w:tc>
          <w:tcPr>
            <w:tcW w:w="6289"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14:paraId="46C98816" w14:textId="77777777" w:rsidR="000D1830" w:rsidRDefault="00FD46F3" w:rsidP="00024CE9">
            <w:r>
              <w:t>This Call-Off Contract is for the provision of Services under:</w:t>
            </w:r>
          </w:p>
          <w:p w14:paraId="46C98819" w14:textId="29314862" w:rsidR="000D1830" w:rsidRDefault="00FD46F3" w:rsidP="00FC6730">
            <w:pPr>
              <w:pStyle w:val="ListParagraph"/>
              <w:numPr>
                <w:ilvl w:val="0"/>
                <w:numId w:val="17"/>
              </w:numPr>
            </w:pPr>
            <w:r>
              <w:t>Lot 3: Cloud support</w:t>
            </w:r>
          </w:p>
        </w:tc>
      </w:tr>
      <w:tr w:rsidR="000D1830" w14:paraId="46C98822" w14:textId="77777777" w:rsidTr="00024CE9">
        <w:trPr>
          <w:trHeight w:val="1811"/>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81B" w14:textId="77777777" w:rsidR="000D1830" w:rsidRPr="00024CE9" w:rsidRDefault="00FD46F3" w:rsidP="00024CE9">
            <w:pPr>
              <w:rPr>
                <w:b/>
                <w:bCs/>
              </w:rPr>
            </w:pPr>
            <w:r w:rsidRPr="00024CE9">
              <w:rPr>
                <w:b/>
                <w:bCs/>
              </w:rPr>
              <w:t>G-Cloud services required</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46C98821" w14:textId="4B2B4B47" w:rsidR="000D1830" w:rsidRDefault="00860130" w:rsidP="00024CE9">
            <w:r w:rsidRPr="00860130">
              <w:t xml:space="preserve">The Services to be provided by the Supplier under the above Lot are set out in clauses 1 to </w:t>
            </w:r>
            <w:r w:rsidR="005607C3">
              <w:t>8</w:t>
            </w:r>
            <w:r w:rsidRPr="00860130">
              <w:t xml:space="preserve"> of the Statement of Work attached hereto at Schedule 1 (as may be amended in accordance with the change control procedure set out therein) and any other subsequent Statements of Work that may be applied to this Call-Off Contract.</w:t>
            </w:r>
          </w:p>
        </w:tc>
      </w:tr>
      <w:tr w:rsidR="000D1830" w14:paraId="46C98826" w14:textId="77777777" w:rsidTr="00024CE9">
        <w:trPr>
          <w:trHeight w:val="21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823" w14:textId="77777777" w:rsidR="000D1830" w:rsidRPr="00024CE9" w:rsidRDefault="00FD46F3" w:rsidP="00024CE9">
            <w:pPr>
              <w:rPr>
                <w:b/>
                <w:bCs/>
              </w:rPr>
            </w:pPr>
            <w:r w:rsidRPr="00024CE9">
              <w:rPr>
                <w:b/>
                <w:bCs/>
              </w:rPr>
              <w:t>Additional Services</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46C98825" w14:textId="39DC3C62" w:rsidR="000D1830" w:rsidRPr="00860130" w:rsidRDefault="00860130" w:rsidP="00024CE9">
            <w:pPr>
              <w:rPr>
                <w:bCs/>
              </w:rPr>
            </w:pPr>
            <w:r w:rsidRPr="00860130">
              <w:rPr>
                <w:bCs/>
              </w:rPr>
              <w:t>N/A</w:t>
            </w:r>
          </w:p>
        </w:tc>
      </w:tr>
      <w:tr w:rsidR="000D1830" w14:paraId="46C9882B" w14:textId="77777777" w:rsidTr="00024CE9">
        <w:trPr>
          <w:trHeight w:val="43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827" w14:textId="77777777" w:rsidR="000D1830" w:rsidRPr="00024CE9" w:rsidRDefault="00FD46F3" w:rsidP="00024CE9">
            <w:pPr>
              <w:rPr>
                <w:b/>
                <w:bCs/>
              </w:rPr>
            </w:pPr>
            <w:r w:rsidRPr="00024CE9">
              <w:rPr>
                <w:b/>
                <w:bCs/>
              </w:rPr>
              <w:t>Location</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46C9882A" w14:textId="66BC004B" w:rsidR="000D1830" w:rsidRDefault="00860130" w:rsidP="00024CE9">
            <w:r>
              <w:t>Work will be undertaken remotely.</w:t>
            </w:r>
          </w:p>
        </w:tc>
      </w:tr>
      <w:tr w:rsidR="000D1830" w14:paraId="46C98830" w14:textId="77777777">
        <w:trPr>
          <w:trHeight w:val="7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82C" w14:textId="77777777" w:rsidR="000D1830" w:rsidRPr="00024CE9" w:rsidRDefault="00FD46F3" w:rsidP="00024CE9">
            <w:pPr>
              <w:rPr>
                <w:b/>
                <w:bCs/>
              </w:rPr>
            </w:pPr>
            <w:r w:rsidRPr="00024CE9">
              <w:rPr>
                <w:b/>
                <w:bCs/>
              </w:rPr>
              <w:t>Quality standards</w:t>
            </w:r>
          </w:p>
        </w:tc>
        <w:tc>
          <w:tcPr>
            <w:tcW w:w="6243" w:type="dxa"/>
            <w:tcBorders>
              <w:bottom w:val="single" w:sz="8" w:space="0" w:color="000000"/>
              <w:right w:val="single" w:sz="8" w:space="0" w:color="000000"/>
            </w:tcBorders>
            <w:tcMar>
              <w:top w:w="100" w:type="dxa"/>
              <w:left w:w="100" w:type="dxa"/>
              <w:bottom w:w="100" w:type="dxa"/>
              <w:right w:w="100" w:type="dxa"/>
            </w:tcMar>
          </w:tcPr>
          <w:p w14:paraId="46C9882E" w14:textId="60B4F7B8" w:rsidR="000D1830" w:rsidRDefault="00FD46F3" w:rsidP="00024CE9">
            <w:r>
              <w:t xml:space="preserve">The quality standards required for this Call-Off Contract are </w:t>
            </w:r>
            <w:r w:rsidR="002915C4">
              <w:t xml:space="preserve">as </w:t>
            </w:r>
            <w:r w:rsidR="002915C4" w:rsidRPr="002915C4">
              <w:rPr>
                <w:bCs/>
              </w:rPr>
              <w:t xml:space="preserve">set out in clauses 1 to </w:t>
            </w:r>
            <w:r w:rsidR="005607C3">
              <w:rPr>
                <w:bCs/>
              </w:rPr>
              <w:t>8</w:t>
            </w:r>
            <w:r w:rsidR="002915C4" w:rsidRPr="002915C4">
              <w:rPr>
                <w:bCs/>
              </w:rPr>
              <w:t xml:space="preserve"> of the Statement of Work attached hereto at Schedule 1 (as may be amended in accordance with the change control procedure set out therein) and any other subsequent Statements of Work that may be applied to this Call-Off Contract.</w:t>
            </w:r>
          </w:p>
        </w:tc>
        <w:tc>
          <w:tcPr>
            <w:tcW w:w="46" w:type="dxa"/>
          </w:tcPr>
          <w:p w14:paraId="46C9882F" w14:textId="77777777" w:rsidR="000D1830" w:rsidRDefault="000D1830" w:rsidP="00024CE9"/>
        </w:tc>
      </w:tr>
      <w:tr w:rsidR="000D1830" w14:paraId="46C98835" w14:textId="77777777" w:rsidTr="00024CE9">
        <w:trPr>
          <w:trHeight w:val="152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31" w14:textId="77777777" w:rsidR="000D1830" w:rsidRPr="00024CE9" w:rsidRDefault="00FD46F3" w:rsidP="00024CE9">
            <w:pPr>
              <w:rPr>
                <w:b/>
                <w:bCs/>
              </w:rPr>
            </w:pPr>
            <w:r w:rsidRPr="00024CE9">
              <w:rPr>
                <w:b/>
                <w:bCs/>
              </w:rPr>
              <w:t>Technical standards:</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6C98833" w14:textId="4C577ED6" w:rsidR="000D1830" w:rsidRDefault="00FD46F3" w:rsidP="00024CE9">
            <w:r>
              <w:t xml:space="preserve">The technical standards used as a requirement for this Call-Off Contract are </w:t>
            </w:r>
            <w:r w:rsidR="002915C4" w:rsidRPr="002915C4">
              <w:rPr>
                <w:bCs/>
              </w:rPr>
              <w:t xml:space="preserve">as set out in clauses 1 to </w:t>
            </w:r>
            <w:r w:rsidR="005607C3">
              <w:rPr>
                <w:bCs/>
              </w:rPr>
              <w:t>8</w:t>
            </w:r>
            <w:r w:rsidR="002915C4" w:rsidRPr="002915C4">
              <w:rPr>
                <w:bCs/>
              </w:rPr>
              <w:t xml:space="preserve"> of the Statement of Work attached hereto at Schedule 1 (as may be amended in accordance with the change control procedure set out therein) and any other subsequent Statements of Work that may be applied to this Call-Off Contract.</w:t>
            </w:r>
          </w:p>
        </w:tc>
        <w:tc>
          <w:tcPr>
            <w:tcW w:w="46" w:type="dxa"/>
          </w:tcPr>
          <w:p w14:paraId="46C98834" w14:textId="77777777" w:rsidR="000D1830" w:rsidRDefault="000D1830" w:rsidP="00024CE9"/>
        </w:tc>
      </w:tr>
      <w:tr w:rsidR="000D1830" w14:paraId="46C9883D" w14:textId="77777777" w:rsidTr="002915C4">
        <w:trPr>
          <w:trHeight w:val="552"/>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836" w14:textId="77777777" w:rsidR="000D1830" w:rsidRPr="00024CE9" w:rsidRDefault="00FD46F3" w:rsidP="00024CE9">
            <w:pPr>
              <w:rPr>
                <w:b/>
                <w:bCs/>
              </w:rPr>
            </w:pPr>
            <w:r w:rsidRPr="00024CE9">
              <w:rPr>
                <w:b/>
                <w:bCs/>
              </w:rPr>
              <w:t>Service level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46C9883B" w14:textId="0CC044A8" w:rsidR="000D1830" w:rsidRDefault="002915C4" w:rsidP="002915C4">
            <w:r>
              <w:t>N/A</w:t>
            </w:r>
          </w:p>
        </w:tc>
        <w:tc>
          <w:tcPr>
            <w:tcW w:w="46" w:type="dxa"/>
          </w:tcPr>
          <w:p w14:paraId="46C9883C" w14:textId="77777777" w:rsidR="000D1830" w:rsidRDefault="000D1830">
            <w:pPr>
              <w:pStyle w:val="ListParagraph"/>
            </w:pPr>
          </w:p>
        </w:tc>
      </w:tr>
      <w:tr w:rsidR="000D1830" w14:paraId="46C98844" w14:textId="77777777">
        <w:trPr>
          <w:trHeight w:val="18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83E" w14:textId="77777777" w:rsidR="000D1830" w:rsidRPr="002915C4" w:rsidRDefault="00FD46F3" w:rsidP="002915C4">
            <w:pPr>
              <w:rPr>
                <w:b/>
                <w:bCs/>
              </w:rPr>
            </w:pPr>
            <w:r w:rsidRPr="002915C4">
              <w:rPr>
                <w:b/>
                <w:bCs/>
              </w:rPr>
              <w:t>Onboarding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46C98842" w14:textId="33306EB8" w:rsidR="000D1830" w:rsidRDefault="002915C4" w:rsidP="002915C4">
            <w:r>
              <w:t>A</w:t>
            </w:r>
            <w:r w:rsidRPr="002915C4">
              <w:t xml:space="preserve">s </w:t>
            </w:r>
            <w:r w:rsidRPr="002915C4">
              <w:rPr>
                <w:bCs/>
              </w:rPr>
              <w:t xml:space="preserve">set out in clauses 1 to </w:t>
            </w:r>
            <w:r w:rsidR="005607C3">
              <w:rPr>
                <w:bCs/>
              </w:rPr>
              <w:t>8</w:t>
            </w:r>
            <w:r w:rsidRPr="002915C4">
              <w:rPr>
                <w:bCs/>
              </w:rPr>
              <w:t xml:space="preserve"> of the Statement of Work attached hereto at Schedule 1 (as may be amended in accordance with the change control procedure set out therein) and any other subsequent Statements of Work that may be applied to this Call-Off Contract.</w:t>
            </w:r>
          </w:p>
        </w:tc>
        <w:tc>
          <w:tcPr>
            <w:tcW w:w="46" w:type="dxa"/>
          </w:tcPr>
          <w:p w14:paraId="46C98843" w14:textId="77777777" w:rsidR="000D1830" w:rsidRDefault="000D1830">
            <w:pPr>
              <w:pStyle w:val="ListParagraph"/>
            </w:pPr>
          </w:p>
        </w:tc>
      </w:tr>
      <w:tr w:rsidR="000D1830" w14:paraId="46C9884B" w14:textId="77777777">
        <w:trPr>
          <w:trHeight w:val="18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845" w14:textId="77777777" w:rsidR="000D1830" w:rsidRPr="002915C4" w:rsidRDefault="00FD46F3" w:rsidP="002915C4">
            <w:pPr>
              <w:rPr>
                <w:b/>
                <w:bCs/>
              </w:rPr>
            </w:pPr>
            <w:r w:rsidRPr="002915C4">
              <w:rPr>
                <w:b/>
                <w:bCs/>
              </w:rPr>
              <w:t>Offboarding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46C98849" w14:textId="7D348414" w:rsidR="000D1830" w:rsidRDefault="002915C4" w:rsidP="002915C4">
            <w:r>
              <w:t>A</w:t>
            </w:r>
            <w:r w:rsidRPr="002915C4">
              <w:t xml:space="preserve">s </w:t>
            </w:r>
            <w:r w:rsidRPr="002915C4">
              <w:rPr>
                <w:bCs/>
              </w:rPr>
              <w:t xml:space="preserve">set out in clauses 1 to </w:t>
            </w:r>
            <w:r w:rsidR="005607C3">
              <w:rPr>
                <w:bCs/>
              </w:rPr>
              <w:t>8</w:t>
            </w:r>
            <w:r w:rsidRPr="002915C4">
              <w:rPr>
                <w:bCs/>
              </w:rPr>
              <w:t xml:space="preserve"> of the Statement of Work attached hereto at Schedule 1 (as may be amended in accordance with the change control procedure set out therein) and any other subsequent Statements of Work that may be applied to this Call-Off Contract.</w:t>
            </w:r>
          </w:p>
        </w:tc>
        <w:tc>
          <w:tcPr>
            <w:tcW w:w="46" w:type="dxa"/>
          </w:tcPr>
          <w:p w14:paraId="46C9884A" w14:textId="77777777" w:rsidR="000D1830" w:rsidRDefault="000D1830">
            <w:pPr>
              <w:pStyle w:val="ListParagraph"/>
            </w:pPr>
          </w:p>
        </w:tc>
      </w:tr>
      <w:tr w:rsidR="000D1830" w14:paraId="46C98850" w14:textId="77777777">
        <w:trPr>
          <w:trHeight w:val="21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84C" w14:textId="77777777" w:rsidR="000D1830" w:rsidRPr="002915C4" w:rsidRDefault="00FD46F3" w:rsidP="002915C4">
            <w:pPr>
              <w:rPr>
                <w:b/>
                <w:bCs/>
              </w:rPr>
            </w:pPr>
            <w:r w:rsidRPr="002915C4">
              <w:rPr>
                <w:b/>
                <w:bCs/>
              </w:rPr>
              <w:lastRenderedPageBreak/>
              <w:t>Collaboration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46C9884E" w14:textId="6958B667" w:rsidR="000D1830" w:rsidRDefault="002915C4" w:rsidP="002915C4">
            <w:r>
              <w:t>N/A</w:t>
            </w:r>
          </w:p>
        </w:tc>
        <w:tc>
          <w:tcPr>
            <w:tcW w:w="46" w:type="dxa"/>
          </w:tcPr>
          <w:p w14:paraId="46C9884F" w14:textId="77777777" w:rsidR="000D1830" w:rsidRDefault="000D1830">
            <w:pPr>
              <w:spacing w:before="240"/>
            </w:pPr>
          </w:p>
        </w:tc>
      </w:tr>
      <w:tr w:rsidR="000D1830" w14:paraId="46C98859" w14:textId="77777777" w:rsidTr="002915C4">
        <w:trPr>
          <w:trHeight w:val="3025"/>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51" w14:textId="77777777" w:rsidR="000D1830" w:rsidRPr="002915C4" w:rsidRDefault="00FD46F3" w:rsidP="002915C4">
            <w:pPr>
              <w:rPr>
                <w:b/>
                <w:bCs/>
              </w:rPr>
            </w:pPr>
            <w:r w:rsidRPr="002915C4">
              <w:rPr>
                <w:b/>
                <w:bCs/>
              </w:rPr>
              <w:t>Limit on Parties’ liability</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0C54A98" w14:textId="77777777" w:rsidR="002915C4" w:rsidRPr="002915C4" w:rsidRDefault="002915C4" w:rsidP="002915C4">
            <w:r w:rsidRPr="002915C4">
              <w:t>The annual aggregate liability for all defaults resulting in direct loss, destruction, corruption, degradation or damage to Buyer Data or the Buyer Personal Data or any copy of such Buyer Data, caused by the Supplier's default under or in connection with this Call–Off Contract shall in no event exceed £1million.</w:t>
            </w:r>
          </w:p>
          <w:p w14:paraId="6BCB714C" w14:textId="77777777" w:rsidR="002915C4" w:rsidRPr="002915C4" w:rsidRDefault="002915C4" w:rsidP="002915C4"/>
          <w:p w14:paraId="46C98857" w14:textId="76C666C5" w:rsidR="000D1830" w:rsidRDefault="002915C4" w:rsidP="002915C4">
            <w:r w:rsidRPr="002915C4">
              <w:t>The annual aggregate liability under this Call–Off Contract of either Party for all defaults shall in no event exceed the greater of £100,000 or one hundred and twenty five percent (125%) per cent of the Charges payable by the Buyer to the Supplier during the Call–Off Contract Period.</w:t>
            </w:r>
          </w:p>
        </w:tc>
        <w:tc>
          <w:tcPr>
            <w:tcW w:w="46" w:type="dxa"/>
          </w:tcPr>
          <w:p w14:paraId="46C98858" w14:textId="77777777" w:rsidR="000D1830" w:rsidRDefault="000D1830">
            <w:pPr>
              <w:spacing w:before="240"/>
            </w:pPr>
          </w:p>
        </w:tc>
      </w:tr>
      <w:tr w:rsidR="000D1830" w14:paraId="46C98861" w14:textId="77777777" w:rsidTr="002915C4">
        <w:trPr>
          <w:trHeight w:val="33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85A" w14:textId="77777777" w:rsidR="000D1830" w:rsidRPr="002915C4" w:rsidRDefault="00FD46F3" w:rsidP="002915C4">
            <w:pPr>
              <w:rPr>
                <w:b/>
                <w:bCs/>
              </w:rPr>
            </w:pPr>
            <w:r w:rsidRPr="002915C4">
              <w:rPr>
                <w:b/>
                <w:bCs/>
              </w:rPr>
              <w:t>Insurance</w:t>
            </w:r>
          </w:p>
        </w:tc>
        <w:tc>
          <w:tcPr>
            <w:tcW w:w="6243" w:type="dxa"/>
            <w:tcBorders>
              <w:bottom w:val="single" w:sz="8" w:space="0" w:color="000000"/>
              <w:right w:val="single" w:sz="8" w:space="0" w:color="000000"/>
            </w:tcBorders>
            <w:tcMar>
              <w:top w:w="100" w:type="dxa"/>
              <w:left w:w="100" w:type="dxa"/>
              <w:bottom w:w="100" w:type="dxa"/>
              <w:right w:w="100" w:type="dxa"/>
            </w:tcMar>
          </w:tcPr>
          <w:p w14:paraId="46C9885F" w14:textId="7845C272" w:rsidR="000D1830" w:rsidRPr="002915C4" w:rsidRDefault="002915C4" w:rsidP="002915C4">
            <w:r w:rsidRPr="002915C4">
              <w:t>As per clause 9 of this Call-off agreement.</w:t>
            </w:r>
          </w:p>
        </w:tc>
        <w:tc>
          <w:tcPr>
            <w:tcW w:w="46" w:type="dxa"/>
          </w:tcPr>
          <w:p w14:paraId="46C98860" w14:textId="77777777" w:rsidR="000D1830" w:rsidRDefault="000D1830">
            <w:pPr>
              <w:spacing w:before="240"/>
            </w:pPr>
          </w:p>
        </w:tc>
      </w:tr>
      <w:tr w:rsidR="000D1830" w14:paraId="46C98866" w14:textId="77777777">
        <w:trPr>
          <w:trHeight w:val="10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62" w14:textId="77777777" w:rsidR="000D1830" w:rsidRPr="002915C4" w:rsidRDefault="00FD46F3" w:rsidP="002915C4">
            <w:pPr>
              <w:rPr>
                <w:b/>
                <w:bCs/>
              </w:rPr>
            </w:pPr>
            <w:r w:rsidRPr="002915C4">
              <w:rPr>
                <w:b/>
                <w:bCs/>
              </w:rPr>
              <w:t>Force majeure</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6C98864" w14:textId="72ACB68D" w:rsidR="000D1830" w:rsidRDefault="00FD46F3" w:rsidP="002915C4">
            <w:r>
              <w:t xml:space="preserve">A Party may End this Call-Off Contract if the Other Party is affected by a Force Majeure Event that lasts for more than </w:t>
            </w:r>
            <w:r w:rsidR="002915C4">
              <w:t xml:space="preserve">21 </w:t>
            </w:r>
            <w:r>
              <w:t>consecutive days.</w:t>
            </w:r>
          </w:p>
        </w:tc>
        <w:tc>
          <w:tcPr>
            <w:tcW w:w="46" w:type="dxa"/>
          </w:tcPr>
          <w:p w14:paraId="46C98865" w14:textId="77777777" w:rsidR="000D1830" w:rsidRDefault="000D1830">
            <w:pPr>
              <w:spacing w:before="240"/>
            </w:pPr>
          </w:p>
        </w:tc>
      </w:tr>
      <w:tr w:rsidR="000D1830" w14:paraId="46C9886B" w14:textId="77777777" w:rsidTr="002915C4">
        <w:trPr>
          <w:trHeight w:val="1025"/>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867" w14:textId="77777777" w:rsidR="000D1830" w:rsidRPr="002915C4" w:rsidRDefault="00FD46F3" w:rsidP="002915C4">
            <w:pPr>
              <w:rPr>
                <w:b/>
                <w:bCs/>
              </w:rPr>
            </w:pPr>
            <w:r w:rsidRPr="002915C4">
              <w:rPr>
                <w:b/>
                <w:bCs/>
              </w:rPr>
              <w:t>Audit</w:t>
            </w:r>
          </w:p>
        </w:tc>
        <w:tc>
          <w:tcPr>
            <w:tcW w:w="6243" w:type="dxa"/>
            <w:tcBorders>
              <w:bottom w:val="single" w:sz="8" w:space="0" w:color="000000"/>
              <w:right w:val="single" w:sz="8" w:space="0" w:color="000000"/>
            </w:tcBorders>
            <w:tcMar>
              <w:top w:w="100" w:type="dxa"/>
              <w:left w:w="100" w:type="dxa"/>
              <w:bottom w:w="100" w:type="dxa"/>
              <w:right w:w="100" w:type="dxa"/>
            </w:tcMar>
          </w:tcPr>
          <w:p w14:paraId="46C98869" w14:textId="2B270A78" w:rsidR="000D1830" w:rsidRDefault="002915C4" w:rsidP="002915C4">
            <w:r w:rsidRPr="002915C4">
              <w:t>The audit provisions from clauses 7.7 to 7.12 of the Framework Agreement shall be incorporated, subject to amendment in accordance with clause 2.2 of this Call-Off Contract.</w:t>
            </w:r>
          </w:p>
        </w:tc>
        <w:tc>
          <w:tcPr>
            <w:tcW w:w="46" w:type="dxa"/>
          </w:tcPr>
          <w:p w14:paraId="46C9886A" w14:textId="77777777" w:rsidR="000D1830" w:rsidRDefault="000D1830">
            <w:pPr>
              <w:spacing w:before="240"/>
            </w:pPr>
          </w:p>
        </w:tc>
      </w:tr>
      <w:tr w:rsidR="000D1830" w14:paraId="46C98870" w14:textId="77777777">
        <w:trPr>
          <w:trHeight w:val="21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86C" w14:textId="77777777" w:rsidR="000D1830" w:rsidRPr="002915C4" w:rsidRDefault="00FD46F3" w:rsidP="002915C4">
            <w:pPr>
              <w:rPr>
                <w:b/>
                <w:bCs/>
              </w:rPr>
            </w:pPr>
            <w:r w:rsidRPr="002915C4">
              <w:rPr>
                <w:b/>
                <w:bCs/>
              </w:rPr>
              <w:t>Buyer’s responsibilities</w:t>
            </w:r>
          </w:p>
        </w:tc>
        <w:tc>
          <w:tcPr>
            <w:tcW w:w="6243" w:type="dxa"/>
            <w:tcBorders>
              <w:bottom w:val="single" w:sz="8" w:space="0" w:color="000000"/>
              <w:right w:val="single" w:sz="8" w:space="0" w:color="000000"/>
            </w:tcBorders>
            <w:tcMar>
              <w:top w:w="100" w:type="dxa"/>
              <w:left w:w="100" w:type="dxa"/>
              <w:bottom w:w="100" w:type="dxa"/>
              <w:right w:w="100" w:type="dxa"/>
            </w:tcMar>
          </w:tcPr>
          <w:p w14:paraId="46C9886E" w14:textId="6DC3E4E7" w:rsidR="000D1830" w:rsidRDefault="002915C4" w:rsidP="002915C4">
            <w:r w:rsidRPr="002915C4">
              <w:t>The Buyer shall comply with all its obligations set out in the Statement of Work attached hereto at Schedule 1 (as may be amended in accordance with the change control procedure set out therein) and any other subsequent Statements of Work that may be applied to this Call-Off Contract.</w:t>
            </w:r>
          </w:p>
        </w:tc>
        <w:tc>
          <w:tcPr>
            <w:tcW w:w="46" w:type="dxa"/>
          </w:tcPr>
          <w:p w14:paraId="46C9886F" w14:textId="77777777" w:rsidR="000D1830" w:rsidRDefault="000D1830">
            <w:pPr>
              <w:spacing w:before="240"/>
            </w:pPr>
          </w:p>
        </w:tc>
      </w:tr>
      <w:tr w:rsidR="000D1830" w14:paraId="46C98876" w14:textId="77777777" w:rsidTr="002915C4">
        <w:trPr>
          <w:trHeight w:val="2034"/>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C98871" w14:textId="77777777" w:rsidR="000D1830" w:rsidRPr="002915C4" w:rsidRDefault="00FD46F3" w:rsidP="002915C4">
            <w:pPr>
              <w:rPr>
                <w:b/>
                <w:bCs/>
              </w:rPr>
            </w:pPr>
            <w:r w:rsidRPr="002915C4">
              <w:rPr>
                <w:b/>
                <w:bCs/>
              </w:rPr>
              <w:t>Buyer’s equipment</w:t>
            </w:r>
          </w:p>
        </w:tc>
        <w:tc>
          <w:tcPr>
            <w:tcW w:w="6243" w:type="dxa"/>
            <w:tcBorders>
              <w:bottom w:val="single" w:sz="8" w:space="0" w:color="000000"/>
              <w:right w:val="single" w:sz="8" w:space="0" w:color="000000"/>
            </w:tcBorders>
            <w:tcMar>
              <w:top w:w="100" w:type="dxa"/>
              <w:left w:w="100" w:type="dxa"/>
              <w:bottom w:w="100" w:type="dxa"/>
              <w:right w:w="100" w:type="dxa"/>
            </w:tcMar>
          </w:tcPr>
          <w:p w14:paraId="46C98874" w14:textId="514B21D1" w:rsidR="000D1830" w:rsidRDefault="002915C4" w:rsidP="002915C4">
            <w:r w:rsidRPr="002915C4">
              <w:t>The Buyer’s equipment to be used with this Call-Off Contract shall be agreed between the Parties, but shall include as a minimum the equipment set out in the Statement of Work attached hereto at Schedule 1 (as may be amended in accordance with the change control procedure set out therein) and any other subsequent Statements of Work that may be applied to this Call-Off Contract.</w:t>
            </w:r>
          </w:p>
        </w:tc>
        <w:tc>
          <w:tcPr>
            <w:tcW w:w="46" w:type="dxa"/>
          </w:tcPr>
          <w:p w14:paraId="46C98875" w14:textId="77777777" w:rsidR="000D1830" w:rsidRDefault="000D1830">
            <w:pPr>
              <w:spacing w:before="240"/>
            </w:pPr>
          </w:p>
        </w:tc>
      </w:tr>
    </w:tbl>
    <w:p w14:paraId="46C98877" w14:textId="77777777" w:rsidR="000D1830" w:rsidRDefault="000D1830">
      <w:pPr>
        <w:spacing w:before="240" w:after="120"/>
      </w:pPr>
    </w:p>
    <w:p w14:paraId="46C98878" w14:textId="77777777" w:rsidR="000D1830" w:rsidRDefault="00FD46F3">
      <w:pPr>
        <w:pStyle w:val="Heading3"/>
        <w:rPr>
          <w:color w:val="auto"/>
        </w:rPr>
      </w:pPr>
      <w:r>
        <w:rPr>
          <w:color w:val="auto"/>
        </w:rPr>
        <w:lastRenderedPageBreak/>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0D1830" w14:paraId="46C9887C" w14:textId="77777777">
        <w:trPr>
          <w:trHeight w:val="1600"/>
        </w:trPr>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79" w14:textId="77777777" w:rsidR="000D1830" w:rsidRPr="002915C4" w:rsidRDefault="00FD46F3" w:rsidP="002915C4">
            <w:pPr>
              <w:rPr>
                <w:b/>
                <w:bCs/>
              </w:rPr>
            </w:pPr>
            <w:r w:rsidRPr="002915C4">
              <w:rPr>
                <w:b/>
                <w:bCs/>
              </w:rPr>
              <w:t>Subcontractors or partners</w:t>
            </w:r>
          </w:p>
        </w:tc>
        <w:tc>
          <w:tcPr>
            <w:tcW w:w="6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6C9887B" w14:textId="0A568611" w:rsidR="000D1830" w:rsidRDefault="002915C4" w:rsidP="002915C4">
            <w:r>
              <w:t>N/A</w:t>
            </w:r>
          </w:p>
        </w:tc>
      </w:tr>
    </w:tbl>
    <w:p w14:paraId="46C9887E" w14:textId="77777777" w:rsidR="000D1830" w:rsidRDefault="00FD46F3">
      <w:pPr>
        <w:pStyle w:val="Heading3"/>
        <w:rPr>
          <w:color w:val="auto"/>
        </w:rPr>
      </w:pPr>
      <w:r>
        <w:rPr>
          <w:color w:val="auto"/>
        </w:rPr>
        <w:t>Call-Off Contract charges and payment</w:t>
      </w:r>
    </w:p>
    <w:p w14:paraId="46C9887F" w14:textId="77777777" w:rsidR="000D1830" w:rsidRDefault="00FD46F3">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D1830" w14:paraId="46C98882"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80" w14:textId="77777777" w:rsidR="000D1830" w:rsidRDefault="00FD46F3">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81" w14:textId="42201B4E" w:rsidR="000D1830" w:rsidRDefault="00FD46F3">
            <w:pPr>
              <w:spacing w:before="240"/>
            </w:pPr>
            <w:r>
              <w:t xml:space="preserve">The payment method for this Call-Off Contract is </w:t>
            </w:r>
            <w:r w:rsidR="002915C4" w:rsidRPr="002915C4">
              <w:rPr>
                <w:bCs/>
              </w:rPr>
              <w:t>via BACS.</w:t>
            </w:r>
          </w:p>
        </w:tc>
      </w:tr>
      <w:tr w:rsidR="000D1830" w14:paraId="46C98886" w14:textId="77777777" w:rsidTr="002915C4">
        <w:trPr>
          <w:trHeight w:val="498"/>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83" w14:textId="77777777" w:rsidR="000D1830" w:rsidRPr="002915C4" w:rsidRDefault="00FD46F3" w:rsidP="002915C4">
            <w:pPr>
              <w:rPr>
                <w:b/>
                <w:bCs/>
              </w:rPr>
            </w:pPr>
            <w:r w:rsidRPr="002915C4">
              <w:rPr>
                <w:b/>
                <w:bCs/>
              </w:rPr>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85" w14:textId="5AE920A3" w:rsidR="000D1830" w:rsidRDefault="002915C4" w:rsidP="002915C4">
            <w:r w:rsidRPr="002915C4">
              <w:t>The payment profile for this Call-Off Contract is as agreed in Schedule 2 (Call-Off Contract charges).</w:t>
            </w:r>
          </w:p>
        </w:tc>
      </w:tr>
      <w:tr w:rsidR="000D1830" w14:paraId="46C98889" w14:textId="77777777" w:rsidTr="002915C4">
        <w:trPr>
          <w:trHeight w:val="1105"/>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87" w14:textId="77777777" w:rsidR="000D1830" w:rsidRPr="002915C4" w:rsidRDefault="00FD46F3" w:rsidP="002915C4">
            <w:pPr>
              <w:rPr>
                <w:b/>
                <w:bCs/>
              </w:rPr>
            </w:pPr>
            <w:r w:rsidRPr="002915C4">
              <w:rPr>
                <w:b/>
                <w:bCs/>
              </w:rPr>
              <w:t>Invoice details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88" w14:textId="1034FF01" w:rsidR="000D1830" w:rsidRDefault="002915C4" w:rsidP="002915C4">
            <w:r w:rsidRPr="002915C4">
              <w:t>The Supplier will issue electronic invoices in accordance with the payment schedule set out in Schedule 2. The Buyer will pay the Supplier in accordance with the payment terms set out in Schedule 2.</w:t>
            </w:r>
          </w:p>
        </w:tc>
      </w:tr>
      <w:tr w:rsidR="000D1830" w14:paraId="46C9888C" w14:textId="77777777">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8A" w14:textId="77777777" w:rsidR="000D1830" w:rsidRPr="00CE73CE" w:rsidRDefault="00FD46F3" w:rsidP="00CE73CE">
            <w:pPr>
              <w:rPr>
                <w:b/>
                <w:bCs/>
              </w:rPr>
            </w:pPr>
            <w:r w:rsidRPr="00CE73CE">
              <w:rPr>
                <w:b/>
                <w:bCs/>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EBF90C" w14:textId="77777777" w:rsidR="00756B2B" w:rsidRPr="00756B2B" w:rsidRDefault="00756B2B" w:rsidP="00756B2B">
            <w:r w:rsidRPr="00756B2B">
              <w:t>Electronic Invoices (attached to E-Mails) should be sent to the</w:t>
            </w:r>
          </w:p>
          <w:p w14:paraId="38BE0133" w14:textId="77777777" w:rsidR="00756B2B" w:rsidRPr="00756B2B" w:rsidRDefault="00756B2B" w:rsidP="00756B2B">
            <w:r w:rsidRPr="00756B2B">
              <w:t>following 2 e-mail addresses:</w:t>
            </w:r>
          </w:p>
          <w:p w14:paraId="6C40D213" w14:textId="3685DBF4" w:rsidR="00756B2B" w:rsidRPr="00756B2B" w:rsidRDefault="00EE563F" w:rsidP="00756B2B">
            <w:r w:rsidRPr="00EE563F">
              <w:t>*REDACTED*</w:t>
            </w:r>
            <w:r w:rsidR="00756B2B">
              <w:t xml:space="preserve"> </w:t>
            </w:r>
          </w:p>
          <w:p w14:paraId="46C9888B" w14:textId="636AD8BB" w:rsidR="000D1830" w:rsidRDefault="00EE563F" w:rsidP="00756B2B">
            <w:r w:rsidRPr="00EE563F">
              <w:t>*REDACTED*</w:t>
            </w:r>
            <w:r w:rsidR="00756B2B">
              <w:t xml:space="preserve"> </w:t>
            </w:r>
          </w:p>
        </w:tc>
      </w:tr>
      <w:tr w:rsidR="000D1830" w14:paraId="46C98890" w14:textId="77777777">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8D" w14:textId="77777777" w:rsidR="000D1830" w:rsidRPr="002915C4" w:rsidRDefault="00FD46F3" w:rsidP="002915C4">
            <w:pPr>
              <w:rPr>
                <w:b/>
                <w:bCs/>
              </w:rPr>
            </w:pPr>
            <w:r w:rsidRPr="002915C4">
              <w:rPr>
                <w:b/>
                <w:bCs/>
              </w:rPr>
              <w:t>Invoice information required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8F" w14:textId="60E32F02" w:rsidR="000D1830" w:rsidRDefault="002915C4" w:rsidP="002915C4">
            <w:r w:rsidRPr="002915C4">
              <w:t xml:space="preserve">All invoices must include: PO number, Project reference and Buyers reference details. </w:t>
            </w:r>
            <w:r w:rsidRPr="002915C4">
              <w:br/>
            </w:r>
            <w:r w:rsidRPr="002915C4">
              <w:br/>
              <w:t xml:space="preserve">The Invoice format will follow the standard Supplier invoice format mirroring the necessary information in clause </w:t>
            </w:r>
            <w:r w:rsidR="00CE73CE">
              <w:t>7</w:t>
            </w:r>
            <w:r w:rsidRPr="002915C4">
              <w:t xml:space="preserve">.   </w:t>
            </w:r>
          </w:p>
        </w:tc>
      </w:tr>
      <w:tr w:rsidR="000D1830" w14:paraId="46C98893" w14:textId="77777777">
        <w:trPr>
          <w:trHeight w:val="50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91" w14:textId="77777777" w:rsidR="000D1830" w:rsidRPr="002915C4" w:rsidRDefault="00FD46F3" w:rsidP="002915C4">
            <w:pPr>
              <w:rPr>
                <w:b/>
                <w:bCs/>
              </w:rPr>
            </w:pPr>
            <w:r w:rsidRPr="002915C4">
              <w:rPr>
                <w:b/>
                <w:bCs/>
              </w:rPr>
              <w:t>Invoice frequency</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92" w14:textId="31433C8B" w:rsidR="000D1830" w:rsidRDefault="00CE73CE" w:rsidP="00CE73CE">
            <w:r w:rsidRPr="00CE73CE">
              <w:t>Invoice will be sent to the Buyer in accordance with the payment schedule set out in Schedule 2 (Call-Off Contract charges).</w:t>
            </w:r>
          </w:p>
        </w:tc>
      </w:tr>
      <w:tr w:rsidR="000D1830" w14:paraId="46C98896" w14:textId="77777777" w:rsidTr="001F1C16">
        <w:trPr>
          <w:trHeight w:val="57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94" w14:textId="77777777" w:rsidR="000D1830" w:rsidRPr="002915C4" w:rsidRDefault="00FD46F3" w:rsidP="002915C4">
            <w:pPr>
              <w:rPr>
                <w:b/>
                <w:bCs/>
              </w:rPr>
            </w:pPr>
            <w:r w:rsidRPr="002915C4">
              <w:rPr>
                <w:b/>
                <w:bCs/>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95" w14:textId="4A6A3CC0" w:rsidR="000D1830" w:rsidRDefault="00CE73CE" w:rsidP="00CE73CE">
            <w:r w:rsidRPr="00CE73CE">
              <w:t>Up to a maximum of £</w:t>
            </w:r>
            <w:r w:rsidR="00756B2B">
              <w:t>662,700</w:t>
            </w:r>
            <w:r w:rsidRPr="00CE73CE">
              <w:t xml:space="preserve"> excluding VAT</w:t>
            </w:r>
          </w:p>
        </w:tc>
      </w:tr>
      <w:tr w:rsidR="000D1830" w14:paraId="46C9889A" w14:textId="77777777" w:rsidTr="00CE73CE">
        <w:trPr>
          <w:trHeight w:val="725"/>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97" w14:textId="77777777" w:rsidR="000D1830" w:rsidRPr="002915C4" w:rsidRDefault="00FD46F3" w:rsidP="002915C4">
            <w:pPr>
              <w:rPr>
                <w:b/>
                <w:bCs/>
              </w:rPr>
            </w:pPr>
            <w:r w:rsidRPr="002915C4">
              <w:rPr>
                <w:b/>
                <w:bCs/>
              </w:rPr>
              <w:t>Call-Off Contract charges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99" w14:textId="673A00AA" w:rsidR="000D1830" w:rsidRDefault="00CE73CE" w:rsidP="00CE73CE">
            <w:r w:rsidRPr="00CE73CE">
              <w:t>The breakdown of the Charges is in accordance with Schedule 2</w:t>
            </w:r>
            <w:r>
              <w:t>.</w:t>
            </w:r>
          </w:p>
        </w:tc>
      </w:tr>
    </w:tbl>
    <w:p w14:paraId="46C9889B" w14:textId="77777777" w:rsidR="000D1830" w:rsidRDefault="000D1830"/>
    <w:p w14:paraId="0F6BE3FF" w14:textId="77777777" w:rsidR="001F1C16" w:rsidRDefault="001F1C16">
      <w:pPr>
        <w:suppressAutoHyphens w:val="0"/>
        <w:rPr>
          <w:sz w:val="28"/>
          <w:szCs w:val="28"/>
        </w:rPr>
      </w:pPr>
      <w:r>
        <w:br w:type="page"/>
      </w:r>
    </w:p>
    <w:p w14:paraId="46C9889C" w14:textId="4EB4F6C6" w:rsidR="000D1830" w:rsidRDefault="00FD46F3">
      <w:pPr>
        <w:pStyle w:val="Heading3"/>
        <w:rPr>
          <w:color w:val="auto"/>
        </w:rPr>
      </w:pPr>
      <w:r>
        <w:rPr>
          <w:color w:val="auto"/>
        </w:rPr>
        <w:lastRenderedPageBreak/>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0D1830" w14:paraId="46C988A2" w14:textId="77777777">
        <w:trPr>
          <w:trHeight w:val="164"/>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9D" w14:textId="77777777" w:rsidR="000D1830" w:rsidRPr="00CE73CE" w:rsidRDefault="00FD46F3" w:rsidP="00CE73CE">
            <w:pPr>
              <w:rPr>
                <w:b/>
                <w:bCs/>
              </w:rPr>
            </w:pPr>
            <w:r w:rsidRPr="00CE73CE">
              <w:rPr>
                <w:b/>
                <w:bCs/>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A1" w14:textId="561BFA1D" w:rsidR="000D1830" w:rsidRDefault="00CE73CE" w:rsidP="00CE73CE">
            <w:r w:rsidRPr="00CE73CE">
              <w:t>The performance of the services shall be as set out in the Statement of Work 1 attached hereto at Schedule 1, as may be amended in accordance with the change control procedure set out therein.</w:t>
            </w:r>
          </w:p>
        </w:tc>
      </w:tr>
      <w:tr w:rsidR="000D1830" w14:paraId="46C988A7" w14:textId="77777777" w:rsidTr="00CE73CE">
        <w:trPr>
          <w:trHeight w:val="18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A3" w14:textId="77777777" w:rsidR="000D1830" w:rsidRPr="00CE73CE" w:rsidRDefault="00FD46F3" w:rsidP="00CE73CE">
            <w:pPr>
              <w:rPr>
                <w:b/>
                <w:bCs/>
              </w:rPr>
            </w:pPr>
            <w:r w:rsidRPr="00CE73CE">
              <w:rPr>
                <w:b/>
                <w:bCs/>
              </w:rPr>
              <w:t>Guarantee</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A6" w14:textId="2F2A87D3" w:rsidR="000D1830" w:rsidRPr="00CE73CE" w:rsidRDefault="00CE73CE" w:rsidP="00CE73CE">
            <w:r w:rsidRPr="00CE73CE">
              <w:t>Not used for the purpose of this Call-Off Contract.</w:t>
            </w:r>
          </w:p>
        </w:tc>
      </w:tr>
      <w:tr w:rsidR="000D1830" w14:paraId="46C988AB" w14:textId="77777777" w:rsidTr="00CE73CE">
        <w:trPr>
          <w:trHeight w:val="515"/>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A8" w14:textId="77777777" w:rsidR="000D1830" w:rsidRPr="00CE73CE" w:rsidRDefault="00FD46F3" w:rsidP="00CE73CE">
            <w:pPr>
              <w:rPr>
                <w:b/>
                <w:bCs/>
              </w:rPr>
            </w:pPr>
            <w:r w:rsidRPr="00CE73CE">
              <w:rPr>
                <w:b/>
                <w:bCs/>
              </w:rPr>
              <w:t>Warranties, representations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AA" w14:textId="171C77ED" w:rsidR="000D1830" w:rsidRDefault="00CE73CE" w:rsidP="00CE73CE">
            <w:r w:rsidRPr="00CE73CE">
              <w:rPr>
                <w:iCs/>
              </w:rPr>
              <w:t>The Supplier only provides those warranties and representations expressly set out in Framework Agreement Clause 4.1, this Call Off Contract and the Order Form.</w:t>
            </w:r>
          </w:p>
        </w:tc>
      </w:tr>
      <w:tr w:rsidR="000D1830" w14:paraId="46C988AF" w14:textId="77777777">
        <w:trPr>
          <w:trHeight w:val="13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AC" w14:textId="77777777" w:rsidR="000D1830" w:rsidRPr="00CE73CE" w:rsidRDefault="00FD46F3" w:rsidP="00CE73CE">
            <w:pPr>
              <w:rPr>
                <w:b/>
                <w:bCs/>
              </w:rPr>
            </w:pPr>
            <w:r w:rsidRPr="00CE73CE">
              <w:rPr>
                <w:b/>
                <w:bCs/>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F26ADB" w14:textId="07EB2972" w:rsidR="00CE73CE" w:rsidRPr="00CE73CE" w:rsidRDefault="00CE73CE" w:rsidP="00CE73CE">
            <w:pPr>
              <w:rPr>
                <w:lang w:val="en-US"/>
              </w:rPr>
            </w:pPr>
            <w:r w:rsidRPr="00CE73CE">
              <w:rPr>
                <w:b/>
                <w:lang w:val="en-US"/>
              </w:rPr>
              <w:t xml:space="preserve">Non-solicitation: </w:t>
            </w:r>
            <w:r w:rsidRPr="00CE73CE">
              <w:rPr>
                <w:lang w:val="en-US"/>
              </w:rPr>
              <w:t>Neither party shall, without the other’s consent, during this Agreement or for twelve months from expiry or termination of this Agreement, directly or indirectly solicit or entice away (or seek to attempt to solicit or entice away) from the employment or engagement of the other party any person employed or otherwise engaged by such other party in the provision of the Services or (in the case of the Buyer) in receipt and/or administration of the Services.  If either party breaches the non-solicitation clause such party will pay to the other the employee's annual salary, which is a genuine pre-estimate of the loss that will be suffered by the other party as a result of the breach.</w:t>
            </w:r>
          </w:p>
          <w:p w14:paraId="4D50CD39" w14:textId="77777777" w:rsidR="00CE73CE" w:rsidRDefault="00CE73CE" w:rsidP="00CE73CE">
            <w:pPr>
              <w:rPr>
                <w:b/>
                <w:lang w:val="en-US"/>
              </w:rPr>
            </w:pPr>
          </w:p>
          <w:p w14:paraId="1BFA193F" w14:textId="63A1B2AF" w:rsidR="00CE73CE" w:rsidRPr="00CE73CE" w:rsidRDefault="00CE73CE" w:rsidP="00CE73CE">
            <w:pPr>
              <w:rPr>
                <w:lang w:val="en-US"/>
              </w:rPr>
            </w:pPr>
            <w:r w:rsidRPr="00CE73CE">
              <w:rPr>
                <w:b/>
                <w:lang w:val="en-US"/>
              </w:rPr>
              <w:t>HMG Baseline Personnel Security Standard (BPSS):</w:t>
            </w:r>
          </w:p>
          <w:p w14:paraId="64A73683" w14:textId="77777777" w:rsidR="00CE73CE" w:rsidRPr="00CE73CE" w:rsidRDefault="00CE73CE" w:rsidP="00CE73CE">
            <w:r w:rsidRPr="00CE73CE">
              <w:t>The Supplier will comply with HMG Baseline Personnel Security Standard (BPSS)/ Government Staff Vetting Procedures Version 6.08/01/2015 attached below in respect of all persons who are employed or engaged by the Supplier in provision of Services under this Call-Off Contract, unless alternative agreement of Personnel Security is already in place between the Department and the Supplier. The HMG Baseline Personnel Security Standard / Government Staff Vetting Procedures Version 6.08/01/2015 do not require a security check as such but a package of pre-employment checks covering identity, employment history, nationality/immigration status and criminal records designed to provide a level of assurance.</w:t>
            </w:r>
          </w:p>
          <w:p w14:paraId="7DE33B5E" w14:textId="77777777" w:rsidR="00CE73CE" w:rsidRPr="00CE73CE" w:rsidRDefault="00CE73CE" w:rsidP="00CE73CE"/>
          <w:p w14:paraId="1169880D" w14:textId="77777777" w:rsidR="00CE73CE" w:rsidRPr="00CE73CE" w:rsidRDefault="00CE73CE" w:rsidP="00CE73CE">
            <w:r w:rsidRPr="00CE73CE">
              <w:t>The Supplier shall provide BPSS clearance for Supplier Staff and SC clearance for  Supplier Staff requiring privileged access, in order to deliver the Services</w:t>
            </w:r>
          </w:p>
          <w:p w14:paraId="18951ACA" w14:textId="77777777" w:rsidR="00CE73CE" w:rsidRPr="00CE73CE" w:rsidRDefault="00274D17" w:rsidP="00CE73CE">
            <w:r w:rsidRPr="0070593F">
              <w:rPr>
                <w:noProof/>
              </w:rPr>
              <w:object w:dxaOrig="2520" w:dyaOrig="1640" w14:anchorId="666E2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5pt;height:80.3pt;mso-width-percent:0;mso-height-percent:0;mso-width-percent:0;mso-height-percent:0" o:ole="">
                  <v:imagedata r:id="rId11" o:title=""/>
                </v:shape>
                <o:OLEObject Type="Embed" ProgID="AcroExch.Document.DC" ShapeID="_x0000_i1025" DrawAspect="Icon" ObjectID="_1679740398" r:id="rId12"/>
              </w:object>
            </w:r>
            <w:r w:rsidR="00CE73CE" w:rsidRPr="00CE73CE">
              <w:t xml:space="preserve"> </w:t>
            </w:r>
            <w:r w:rsidR="00CE73CE" w:rsidRPr="00CE73CE">
              <w:br/>
              <w:t xml:space="preserve">The Supplier also confirms its compliance with Buyer </w:t>
            </w:r>
            <w:r w:rsidR="00CE73CE" w:rsidRPr="00CE73CE">
              <w:lastRenderedPageBreak/>
              <w:t xml:space="preserve">requirements in providing BPSS clearance for all staff and SC clearance for all staff requiring privileged access, in order to carry out any elements of either  service activities from SOW 1 as are appropriate and required by Buyer. </w:t>
            </w:r>
          </w:p>
          <w:p w14:paraId="46C988AE" w14:textId="2B317679" w:rsidR="000D1830" w:rsidRDefault="00CE73CE" w:rsidP="00CE73CE">
            <w:r w:rsidRPr="00CE73CE">
              <w:t>The Supplier agrees to comply with the additional Supplier Special Terms as detailed in the attached document</w:t>
            </w:r>
            <w:r w:rsidRPr="00CE73CE">
              <w:br/>
            </w:r>
            <w:r w:rsidRPr="00CE73CE">
              <w:br/>
            </w:r>
            <w:bookmarkStart w:id="3" w:name="_MON_1546256667"/>
            <w:bookmarkEnd w:id="3"/>
            <w:r w:rsidR="00274D17" w:rsidRPr="00F3128E">
              <w:rPr>
                <w:noProof/>
              </w:rPr>
              <w:object w:dxaOrig="2040" w:dyaOrig="1320" w14:anchorId="2CE2C190">
                <v:shape id="_x0000_i1026" type="#_x0000_t75" alt="" style="width:101.9pt;height:65.85pt;mso-width-percent:0;mso-height-percent:0;mso-width-percent:0;mso-height-percent:0" o:ole="">
                  <v:imagedata r:id="rId13" o:title=""/>
                </v:shape>
                <o:OLEObject Type="Embed" ProgID="Word.Document.12" ShapeID="_x0000_i1026" DrawAspect="Icon" ObjectID="_1679740399" r:id="rId14">
                  <o:FieldCodes>\s</o:FieldCodes>
                </o:OLEObject>
              </w:object>
            </w:r>
          </w:p>
        </w:tc>
      </w:tr>
      <w:tr w:rsidR="000D1830" w14:paraId="46C988B4" w14:textId="77777777" w:rsidTr="00CE73CE">
        <w:trPr>
          <w:trHeight w:val="2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B0" w14:textId="77777777" w:rsidR="000D1830" w:rsidRPr="00CE73CE" w:rsidRDefault="00FD46F3" w:rsidP="00CE73CE">
            <w:pPr>
              <w:rPr>
                <w:b/>
                <w:bCs/>
              </w:rPr>
            </w:pPr>
            <w:r w:rsidRPr="00CE73CE">
              <w:rPr>
                <w:b/>
                <w:bCs/>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B3" w14:textId="04461B2D" w:rsidR="000D1830" w:rsidRDefault="00CE73CE" w:rsidP="00CE73CE">
            <w:r>
              <w:t>N/A</w:t>
            </w:r>
          </w:p>
        </w:tc>
      </w:tr>
      <w:tr w:rsidR="000D1830" w14:paraId="46C988B8" w14:textId="77777777">
        <w:trPr>
          <w:trHeight w:val="14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B5" w14:textId="77777777" w:rsidR="000D1830" w:rsidRPr="00CE73CE" w:rsidRDefault="00FD46F3" w:rsidP="00CE73CE">
            <w:pPr>
              <w:rPr>
                <w:b/>
                <w:bCs/>
              </w:rPr>
            </w:pPr>
            <w:r w:rsidRPr="00CE73CE">
              <w:rPr>
                <w:b/>
                <w:bCs/>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6171A0" w14:textId="77777777" w:rsidR="00CE73CE" w:rsidRPr="00CE73CE" w:rsidRDefault="00CE73CE" w:rsidP="00CE73CE">
            <w:r w:rsidRPr="00CE73CE">
              <w:rPr>
                <w:b/>
                <w:bCs/>
              </w:rPr>
              <w:t>TUPE</w:t>
            </w:r>
            <w:r w:rsidRPr="00CE73CE">
              <w:t>:</w:t>
            </w:r>
          </w:p>
          <w:p w14:paraId="46C988B7" w14:textId="1057C67C" w:rsidR="000D1830" w:rsidRDefault="00CE73CE" w:rsidP="00CE73CE">
            <w:r w:rsidRPr="00CE73CE">
              <w:t>Pursuant to clause 29.8, the Buyer and Supplier agree that TUPE will not be applicable in the course of this Call-Off contract and as such all other clauses under section 29 are not applicable within this Call-off Contract.</w:t>
            </w:r>
          </w:p>
        </w:tc>
      </w:tr>
      <w:tr w:rsidR="000D1830" w14:paraId="46C988BD" w14:textId="77777777" w:rsidTr="00CE73CE">
        <w:trPr>
          <w:trHeight w:val="3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B9" w14:textId="77777777" w:rsidR="000D1830" w:rsidRPr="00CE73CE" w:rsidRDefault="00FD46F3" w:rsidP="00CE73CE">
            <w:pPr>
              <w:rPr>
                <w:b/>
                <w:bCs/>
              </w:rPr>
            </w:pPr>
            <w:r w:rsidRPr="00CE73CE">
              <w:rPr>
                <w:b/>
                <w:bCs/>
              </w:rPr>
              <w:t>Public Services Network (PSN)</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BC" w14:textId="6A49DF17" w:rsidR="000D1830" w:rsidRDefault="00CE73CE" w:rsidP="00CE73CE">
            <w:r>
              <w:t>N/A</w:t>
            </w:r>
          </w:p>
        </w:tc>
      </w:tr>
      <w:tr w:rsidR="000D1830" w14:paraId="46C988C0" w14:textId="77777777">
        <w:trPr>
          <w:trHeight w:val="87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BE" w14:textId="77777777" w:rsidR="000D1830" w:rsidRPr="00CE73CE" w:rsidRDefault="00FD46F3" w:rsidP="00CE73CE">
            <w:pPr>
              <w:rPr>
                <w:b/>
                <w:bCs/>
              </w:rPr>
            </w:pPr>
            <w:r w:rsidRPr="00CE73CE">
              <w:rPr>
                <w:b/>
                <w:bCs/>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BF" w14:textId="377E9C26" w:rsidR="000D1830" w:rsidRDefault="00FD46F3" w:rsidP="00CE73CE">
            <w:r>
              <w:t xml:space="preserve">Confirm whether Annex 1 (and Annex 2, if applicable) of Schedule 7 is being used: </w:t>
            </w:r>
            <w:r w:rsidR="00D45F6F">
              <w:t>YES</w:t>
            </w:r>
          </w:p>
        </w:tc>
      </w:tr>
    </w:tbl>
    <w:p w14:paraId="46C988C2" w14:textId="77777777" w:rsidR="000D1830" w:rsidRDefault="00FD46F3">
      <w:pPr>
        <w:pStyle w:val="Heading3"/>
        <w:rPr>
          <w:color w:val="auto"/>
        </w:rPr>
      </w:pPr>
      <w:r>
        <w:rPr>
          <w:color w:val="auto"/>
        </w:rPr>
        <w:t xml:space="preserve">1. </w:t>
      </w:r>
      <w:r>
        <w:rPr>
          <w:color w:val="auto"/>
        </w:rPr>
        <w:tab/>
        <w:t>Formation of contract</w:t>
      </w:r>
    </w:p>
    <w:p w14:paraId="46C988C3" w14:textId="77777777" w:rsidR="000D1830" w:rsidRDefault="00FD46F3">
      <w:pPr>
        <w:ind w:left="720" w:hanging="720"/>
      </w:pPr>
      <w:r>
        <w:t>1.1</w:t>
      </w:r>
      <w:r>
        <w:tab/>
        <w:t>By signing and returning this Order Form (Part A), the Supplier agrees to enter into a Call-Off Contract with the Buyer.</w:t>
      </w:r>
    </w:p>
    <w:p w14:paraId="46C988C4" w14:textId="77777777" w:rsidR="000D1830" w:rsidRDefault="000D1830">
      <w:pPr>
        <w:ind w:firstLine="720"/>
      </w:pPr>
    </w:p>
    <w:p w14:paraId="46C988C5" w14:textId="77777777" w:rsidR="000D1830" w:rsidRDefault="00FD46F3">
      <w:pPr>
        <w:ind w:left="720" w:hanging="720"/>
      </w:pPr>
      <w:r>
        <w:t>1.2</w:t>
      </w:r>
      <w:r>
        <w:tab/>
        <w:t>The Parties agree that they have read the Order Form (Part A) and the Call-Off Contract terms and by signing below agree to be bound by this Call-Off Contract.</w:t>
      </w:r>
    </w:p>
    <w:p w14:paraId="46C988C6" w14:textId="77777777" w:rsidR="000D1830" w:rsidRDefault="000D1830">
      <w:pPr>
        <w:ind w:firstLine="720"/>
      </w:pPr>
    </w:p>
    <w:p w14:paraId="46C988C7" w14:textId="77777777" w:rsidR="000D1830" w:rsidRDefault="00FD46F3">
      <w:pPr>
        <w:ind w:left="720" w:hanging="720"/>
      </w:pPr>
      <w:r>
        <w:t>1.3</w:t>
      </w:r>
      <w:r>
        <w:tab/>
        <w:t>This Call-Off Contract will be formed when the Buyer acknowledges receipt of the signed copy of the Order Form from the Supplier.</w:t>
      </w:r>
    </w:p>
    <w:p w14:paraId="46C988C8" w14:textId="77777777" w:rsidR="000D1830" w:rsidRDefault="000D1830">
      <w:pPr>
        <w:ind w:firstLine="720"/>
      </w:pPr>
    </w:p>
    <w:p w14:paraId="46C988C9" w14:textId="77777777" w:rsidR="000D1830" w:rsidRDefault="00FD46F3">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46C988CA" w14:textId="77777777" w:rsidR="000D1830" w:rsidRDefault="000D1830"/>
    <w:p w14:paraId="46C988CB" w14:textId="77777777" w:rsidR="000D1830" w:rsidRDefault="00FD46F3">
      <w:pPr>
        <w:pStyle w:val="Heading3"/>
        <w:rPr>
          <w:color w:val="auto"/>
        </w:rPr>
      </w:pPr>
      <w:r>
        <w:rPr>
          <w:color w:val="auto"/>
        </w:rPr>
        <w:t xml:space="preserve">2. </w:t>
      </w:r>
      <w:r>
        <w:rPr>
          <w:color w:val="auto"/>
        </w:rPr>
        <w:tab/>
        <w:t>Background to the agreement</w:t>
      </w:r>
    </w:p>
    <w:p w14:paraId="46C988CC" w14:textId="77777777" w:rsidR="000D1830" w:rsidRDefault="00FD46F3">
      <w:pPr>
        <w:ind w:left="720" w:hanging="720"/>
      </w:pPr>
      <w:r>
        <w:t>2.1</w:t>
      </w:r>
      <w:r>
        <w:tab/>
        <w:t>The Supplier is a provider of G-Cloud Services and agreed to provide the Services under the terms of Framework Agreement number RM1557.12.</w:t>
      </w:r>
    </w:p>
    <w:p w14:paraId="46C988CD" w14:textId="77777777" w:rsidR="000D1830" w:rsidRDefault="000D1830">
      <w:pPr>
        <w:ind w:left="720"/>
      </w:pPr>
    </w:p>
    <w:p w14:paraId="46C988CE" w14:textId="77777777" w:rsidR="000D1830" w:rsidRDefault="00FD46F3">
      <w:r>
        <w:t>2.2</w:t>
      </w:r>
      <w:r>
        <w:tab/>
        <w:t>The Buyer provided an Order Form for Services to the Supplier.</w:t>
      </w:r>
    </w:p>
    <w:p w14:paraId="46C988CF" w14:textId="77777777" w:rsidR="000D1830" w:rsidRDefault="000D1830"/>
    <w:p w14:paraId="46C988D0" w14:textId="77777777" w:rsidR="000D1830" w:rsidRDefault="000D1830">
      <w:pPr>
        <w:pageBreakBefore/>
      </w:pPr>
    </w:p>
    <w:p w14:paraId="46C988D1" w14:textId="77777777" w:rsidR="000D1830" w:rsidRDefault="000D1830"/>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0D1830" w14:paraId="46C988D5"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D2" w14:textId="77777777" w:rsidR="000D1830" w:rsidRDefault="00FD46F3">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D3" w14:textId="77777777" w:rsidR="000D1830" w:rsidRDefault="00FD46F3">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D4" w14:textId="77777777" w:rsidR="000D1830" w:rsidRDefault="00FD46F3">
            <w:pPr>
              <w:spacing w:before="240"/>
            </w:pPr>
            <w:r>
              <w:t>Buyer</w:t>
            </w:r>
          </w:p>
        </w:tc>
      </w:tr>
      <w:tr w:rsidR="000D1830" w14:paraId="46C988D9"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D6" w14:textId="77777777" w:rsidR="000D1830" w:rsidRDefault="00FD46F3">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D7" w14:textId="77777777" w:rsidR="000D1830" w:rsidRDefault="00FD46F3">
            <w:pPr>
              <w:spacing w:before="240"/>
            </w:pPr>
            <w:r>
              <w:t>[</w:t>
            </w:r>
            <w:r>
              <w:rPr>
                <w:b/>
              </w:rPr>
              <w:t>Enter name</w:t>
            </w:r>
            <w:r>
              <w:t>]</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D8" w14:textId="77777777" w:rsidR="000D1830" w:rsidRDefault="00FD46F3">
            <w:pPr>
              <w:spacing w:before="240"/>
            </w:pPr>
            <w:r>
              <w:t>[</w:t>
            </w:r>
            <w:r>
              <w:rPr>
                <w:b/>
              </w:rPr>
              <w:t>Enter name</w:t>
            </w:r>
            <w:r>
              <w:t>]</w:t>
            </w:r>
          </w:p>
        </w:tc>
      </w:tr>
      <w:tr w:rsidR="000D1830" w14:paraId="46C988DD"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DA" w14:textId="77777777" w:rsidR="000D1830" w:rsidRDefault="00FD46F3">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DB" w14:textId="77777777" w:rsidR="000D1830" w:rsidRDefault="00FD46F3">
            <w:pPr>
              <w:spacing w:before="240"/>
            </w:pPr>
            <w:r>
              <w:t>[</w:t>
            </w:r>
            <w:r>
              <w:rPr>
                <w:b/>
              </w:rPr>
              <w:t>Enter title</w:t>
            </w:r>
            <w:r>
              <w:t>]</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DC" w14:textId="77777777" w:rsidR="000D1830" w:rsidRDefault="00FD46F3">
            <w:pPr>
              <w:spacing w:before="240"/>
            </w:pPr>
            <w:r>
              <w:t>[</w:t>
            </w:r>
            <w:r>
              <w:rPr>
                <w:b/>
              </w:rPr>
              <w:t>Enter title</w:t>
            </w:r>
            <w:r>
              <w:t>]</w:t>
            </w:r>
          </w:p>
        </w:tc>
      </w:tr>
      <w:tr w:rsidR="000D1830" w14:paraId="46C988E1"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DE" w14:textId="77777777" w:rsidR="000D1830" w:rsidRDefault="00FD46F3">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DF" w14:textId="77777777" w:rsidR="000D1830" w:rsidRDefault="000D1830"/>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E0" w14:textId="77777777" w:rsidR="000D1830" w:rsidRDefault="000D1830">
            <w:pPr>
              <w:widowControl w:val="0"/>
            </w:pPr>
          </w:p>
        </w:tc>
      </w:tr>
      <w:tr w:rsidR="000D1830" w14:paraId="46C988E5"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E2" w14:textId="77777777" w:rsidR="000D1830" w:rsidRDefault="00FD46F3">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E3" w14:textId="77777777" w:rsidR="000D1830" w:rsidRDefault="00FD46F3">
            <w:pPr>
              <w:spacing w:before="240"/>
            </w:pPr>
            <w:r>
              <w:t>[</w:t>
            </w:r>
            <w:r>
              <w:rPr>
                <w:b/>
              </w:rPr>
              <w:t>Enter date</w:t>
            </w:r>
            <w:r>
              <w:t>]</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8E4" w14:textId="77777777" w:rsidR="000D1830" w:rsidRDefault="00FD46F3">
            <w:pPr>
              <w:spacing w:before="240"/>
            </w:pPr>
            <w:r>
              <w:t>[</w:t>
            </w:r>
            <w:r>
              <w:rPr>
                <w:b/>
              </w:rPr>
              <w:t>Enter date</w:t>
            </w:r>
            <w:r>
              <w:t>]</w:t>
            </w:r>
          </w:p>
        </w:tc>
      </w:tr>
    </w:tbl>
    <w:p w14:paraId="46C988E6" w14:textId="77777777" w:rsidR="000D1830" w:rsidRDefault="00FD46F3">
      <w:pPr>
        <w:spacing w:before="240"/>
        <w:rPr>
          <w:b/>
        </w:rPr>
      </w:pPr>
      <w:r>
        <w:rPr>
          <w:b/>
        </w:rPr>
        <w:t xml:space="preserve"> </w:t>
      </w:r>
    </w:p>
    <w:p w14:paraId="46C988E7" w14:textId="77777777" w:rsidR="000D1830" w:rsidRDefault="00FD46F3">
      <w:pPr>
        <w:pStyle w:val="Heading2"/>
      </w:pPr>
      <w:bookmarkStart w:id="4" w:name="_Toc33176233"/>
      <w:r>
        <w:t>Schedule 1: Services</w:t>
      </w:r>
      <w:bookmarkEnd w:id="4"/>
    </w:p>
    <w:p w14:paraId="46C988EA" w14:textId="3F63E650" w:rsidR="000D1830" w:rsidRDefault="00D45F6F">
      <w:pPr>
        <w:spacing w:before="240"/>
        <w:rPr>
          <w:bCs/>
        </w:rPr>
      </w:pPr>
      <w:r w:rsidRPr="00D45F6F">
        <w:rPr>
          <w:bCs/>
        </w:rPr>
        <w:t xml:space="preserve">Services are in accordance with clauses 1 to </w:t>
      </w:r>
      <w:r w:rsidR="00756B2B">
        <w:rPr>
          <w:bCs/>
        </w:rPr>
        <w:t>8</w:t>
      </w:r>
      <w:r w:rsidRPr="00D45F6F">
        <w:rPr>
          <w:bCs/>
        </w:rPr>
        <w:t xml:space="preserve"> of the attached Statement of Work 1 (which is based on the proposal document submitted by </w:t>
      </w:r>
      <w:r w:rsidR="00EE563F" w:rsidRPr="00EE563F">
        <w:rPr>
          <w:bCs/>
        </w:rPr>
        <w:t>*REDACTED*</w:t>
      </w:r>
      <w:r w:rsidR="00EE563F">
        <w:rPr>
          <w:bCs/>
        </w:rPr>
        <w:t xml:space="preserve"> </w:t>
      </w:r>
      <w:bookmarkStart w:id="5" w:name="_GoBack"/>
      <w:bookmarkEnd w:id="5"/>
      <w:r w:rsidRPr="00D45F6F">
        <w:rPr>
          <w:bCs/>
        </w:rPr>
        <w:t xml:space="preserve">on </w:t>
      </w:r>
      <w:r w:rsidR="00C25C85">
        <w:rPr>
          <w:bCs/>
        </w:rPr>
        <w:t>3</w:t>
      </w:r>
      <w:r w:rsidR="003834F1">
        <w:rPr>
          <w:bCs/>
        </w:rPr>
        <w:t>0</w:t>
      </w:r>
      <w:r w:rsidR="003834F1">
        <w:rPr>
          <w:bCs/>
          <w:vertAlign w:val="superscript"/>
        </w:rPr>
        <w:t>th</w:t>
      </w:r>
      <w:r>
        <w:rPr>
          <w:bCs/>
        </w:rPr>
        <w:t xml:space="preserve"> March 2021</w:t>
      </w:r>
      <w:r w:rsidR="00C25C85">
        <w:rPr>
          <w:bCs/>
        </w:rPr>
        <w:t xml:space="preserve"> and agreed with DWP on </w:t>
      </w:r>
      <w:r w:rsidR="003834F1">
        <w:rPr>
          <w:bCs/>
        </w:rPr>
        <w:t>7</w:t>
      </w:r>
      <w:r w:rsidR="003834F1" w:rsidRPr="003834F1">
        <w:rPr>
          <w:bCs/>
          <w:vertAlign w:val="superscript"/>
        </w:rPr>
        <w:t>th</w:t>
      </w:r>
      <w:r w:rsidR="00C25C85">
        <w:rPr>
          <w:bCs/>
        </w:rPr>
        <w:t xml:space="preserve"> </w:t>
      </w:r>
      <w:r w:rsidR="003834F1">
        <w:rPr>
          <w:bCs/>
        </w:rPr>
        <w:t>April</w:t>
      </w:r>
      <w:r w:rsidR="00C25C85">
        <w:rPr>
          <w:bCs/>
        </w:rPr>
        <w:t xml:space="preserve"> 2021</w:t>
      </w:r>
      <w:r w:rsidRPr="00D45F6F">
        <w:rPr>
          <w:bCs/>
        </w:rPr>
        <w:t xml:space="preserve">) </w:t>
      </w:r>
      <w:r w:rsidRPr="00D45F6F">
        <w:t>(as may be amended in accordance with the change control procedure set out therein) and any other subsequent Statements of Work that may be applied to this Call-Off Contract</w:t>
      </w:r>
      <w:r w:rsidRPr="00D45F6F">
        <w:rPr>
          <w:bCs/>
        </w:rPr>
        <w:t>.</w:t>
      </w:r>
    </w:p>
    <w:bookmarkStart w:id="6" w:name="_Toc33176234"/>
    <w:bookmarkStart w:id="7" w:name="_MON_1679466833"/>
    <w:bookmarkEnd w:id="7"/>
    <w:p w14:paraId="0E6BBF00" w14:textId="59DEF621" w:rsidR="00C25C85" w:rsidRDefault="00E63D5D">
      <w:pPr>
        <w:pStyle w:val="Heading2"/>
      </w:pPr>
      <w:r>
        <w:rPr>
          <w:noProof/>
        </w:rPr>
        <w:object w:dxaOrig="1520" w:dyaOrig="960" w14:anchorId="5848B234">
          <v:shape id="_x0000_i1027" type="#_x0000_t75" alt="" style="width:76.1pt;height:48.35pt;mso-width-percent:0;mso-height-percent:0;mso-width-percent:0;mso-height-percent:0" o:ole="">
            <v:imagedata r:id="rId15" o:title=""/>
          </v:shape>
          <o:OLEObject Type="Embed" ProgID="Word.Document.12" ShapeID="_x0000_i1027" DrawAspect="Icon" ObjectID="_1679740400" r:id="rId16">
            <o:FieldCodes>\s</o:FieldCodes>
          </o:OLEObject>
        </w:object>
      </w:r>
      <w:r>
        <w:t xml:space="preserve"> Attachment included at the end of this PDF.</w:t>
      </w:r>
    </w:p>
    <w:p w14:paraId="46C988EB" w14:textId="6F619A5C" w:rsidR="000D1830" w:rsidRDefault="00FD46F3">
      <w:pPr>
        <w:pStyle w:val="Heading2"/>
      </w:pPr>
      <w:r>
        <w:t>Schedule 2: Call-Off Contract charges</w:t>
      </w:r>
      <w:bookmarkEnd w:id="6"/>
    </w:p>
    <w:p w14:paraId="73F5A971" w14:textId="7958FA89" w:rsidR="00D45F6F" w:rsidRPr="00D45F6F" w:rsidRDefault="00D45F6F" w:rsidP="00D45F6F">
      <w:pPr>
        <w:spacing w:before="240"/>
        <w:rPr>
          <w:bCs/>
        </w:rPr>
      </w:pPr>
      <w:r w:rsidRPr="00D45F6F">
        <w:rPr>
          <w:bCs/>
        </w:rPr>
        <w:t xml:space="preserve">For each individual Service, the applicable Call-Off Contract Charges (in accordance with the Supplier’s Digital Marketplace pricing document) shall not be amended during the term of the Call-Off Contract, other than by agreement between the parties in accordance with the change control process set out in the Statement of Work 1 attached hereto at Schedule 1. </w:t>
      </w:r>
    </w:p>
    <w:p w14:paraId="46C988F1" w14:textId="7B1BFC6D" w:rsidR="000D1830" w:rsidRPr="00D45F6F" w:rsidRDefault="00D45F6F" w:rsidP="00D45F6F">
      <w:pPr>
        <w:spacing w:before="240"/>
        <w:rPr>
          <w:bCs/>
        </w:rPr>
      </w:pPr>
      <w:r w:rsidRPr="00D45F6F">
        <w:rPr>
          <w:bCs/>
        </w:rPr>
        <w:t xml:space="preserve">All charges shall be as set out in set out in Section </w:t>
      </w:r>
      <w:r w:rsidR="00263185">
        <w:rPr>
          <w:bCs/>
        </w:rPr>
        <w:t>7</w:t>
      </w:r>
      <w:r w:rsidRPr="00D45F6F">
        <w:rPr>
          <w:bCs/>
        </w:rPr>
        <w:t xml:space="preserve"> of the Statement of Work attached hereto at Schedule 1 (as may be amended in accordance with the change control procedure set out therein) and the Charges sections of any other subsequent Statements of Work that may be applied to this Call-Off Contract.</w:t>
      </w:r>
    </w:p>
    <w:p w14:paraId="46C988F2" w14:textId="77777777" w:rsidR="000D1830" w:rsidRDefault="000D1830">
      <w:pPr>
        <w:rPr>
          <w:sz w:val="32"/>
          <w:szCs w:val="32"/>
        </w:rPr>
      </w:pPr>
    </w:p>
    <w:p w14:paraId="46C988F3" w14:textId="77777777" w:rsidR="000D1830" w:rsidRDefault="000D1830">
      <w:pPr>
        <w:rPr>
          <w:sz w:val="32"/>
          <w:szCs w:val="32"/>
        </w:rPr>
      </w:pPr>
    </w:p>
    <w:p w14:paraId="46C988F4" w14:textId="77777777" w:rsidR="000D1830" w:rsidRDefault="000D1830">
      <w:bookmarkStart w:id="8" w:name="_Toc33176235"/>
    </w:p>
    <w:p w14:paraId="46C988F5" w14:textId="77777777" w:rsidR="000D1830" w:rsidRDefault="00FD46F3">
      <w:pPr>
        <w:pStyle w:val="Heading2"/>
        <w:pageBreakBefore/>
      </w:pPr>
      <w:r>
        <w:lastRenderedPageBreak/>
        <w:t>Part B: Terms and conditions</w:t>
      </w:r>
      <w:bookmarkEnd w:id="8"/>
    </w:p>
    <w:p w14:paraId="46C988F6" w14:textId="77777777" w:rsidR="000D1830" w:rsidRDefault="00FD46F3">
      <w:pPr>
        <w:pStyle w:val="Heading3"/>
        <w:spacing w:before="0" w:after="100"/>
        <w:rPr>
          <w:color w:val="auto"/>
        </w:rPr>
      </w:pPr>
      <w:r>
        <w:rPr>
          <w:color w:val="auto"/>
        </w:rPr>
        <w:t>1.</w:t>
      </w:r>
      <w:r>
        <w:rPr>
          <w:color w:val="auto"/>
        </w:rPr>
        <w:tab/>
        <w:t>Call-Off Contract Start date and length</w:t>
      </w:r>
    </w:p>
    <w:p w14:paraId="46C988F7" w14:textId="77777777" w:rsidR="000D1830" w:rsidRDefault="00FD46F3">
      <w:r>
        <w:t>1.1</w:t>
      </w:r>
      <w:r>
        <w:tab/>
        <w:t>The Supplier must start providing the Services on the date specified in the Order Form.</w:t>
      </w:r>
    </w:p>
    <w:p w14:paraId="46C988F8" w14:textId="77777777" w:rsidR="000D1830" w:rsidRDefault="000D1830">
      <w:pPr>
        <w:ind w:firstLine="720"/>
      </w:pPr>
    </w:p>
    <w:p w14:paraId="46C988F9" w14:textId="77777777" w:rsidR="000D1830" w:rsidRDefault="00FD46F3">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46C988FA" w14:textId="77777777" w:rsidR="000D1830" w:rsidRDefault="000D1830">
      <w:pPr>
        <w:ind w:left="720"/>
      </w:pPr>
    </w:p>
    <w:p w14:paraId="46C988FB" w14:textId="77777777" w:rsidR="000D1830" w:rsidRDefault="00FD46F3">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46C988FC" w14:textId="77777777" w:rsidR="000D1830" w:rsidRDefault="000D1830">
      <w:pPr>
        <w:ind w:left="720"/>
      </w:pPr>
    </w:p>
    <w:p w14:paraId="46C988FD" w14:textId="77777777" w:rsidR="000D1830" w:rsidRDefault="00FD46F3">
      <w:pPr>
        <w:ind w:left="720" w:hanging="720"/>
      </w:pPr>
      <w:r>
        <w:t>1.4</w:t>
      </w:r>
      <w:r>
        <w:tab/>
        <w:t>The Parties must comply with the requirements under clauses 21.3 to 21.8 if the Buyer reserves the right in the Order Form to extend the contract beyond 24 months.</w:t>
      </w:r>
    </w:p>
    <w:p w14:paraId="46C988FE" w14:textId="77777777" w:rsidR="000D1830" w:rsidRDefault="000D1830">
      <w:pPr>
        <w:spacing w:before="240" w:after="240"/>
      </w:pPr>
    </w:p>
    <w:p w14:paraId="46C988FF" w14:textId="77777777" w:rsidR="000D1830" w:rsidRDefault="00FD46F3">
      <w:pPr>
        <w:pStyle w:val="Heading3"/>
        <w:spacing w:before="0" w:after="100"/>
        <w:rPr>
          <w:color w:val="auto"/>
        </w:rPr>
      </w:pPr>
      <w:r>
        <w:rPr>
          <w:color w:val="auto"/>
        </w:rPr>
        <w:t>2.</w:t>
      </w:r>
      <w:r>
        <w:rPr>
          <w:color w:val="auto"/>
        </w:rPr>
        <w:tab/>
        <w:t>Incorporation of terms</w:t>
      </w:r>
    </w:p>
    <w:p w14:paraId="46C98900" w14:textId="77777777" w:rsidR="000D1830" w:rsidRDefault="00FD46F3">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46C98901" w14:textId="77777777" w:rsidR="000D1830" w:rsidRDefault="00FD46F3" w:rsidP="00FC6730">
      <w:pPr>
        <w:pStyle w:val="ListParagraph"/>
        <w:numPr>
          <w:ilvl w:val="0"/>
          <w:numId w:val="1"/>
        </w:numPr>
      </w:pPr>
      <w:r>
        <w:rPr>
          <w:sz w:val="14"/>
          <w:szCs w:val="14"/>
        </w:rPr>
        <w:t xml:space="preserve"> </w:t>
      </w:r>
      <w:r>
        <w:t>4.1 (Warranties and representations)</w:t>
      </w:r>
    </w:p>
    <w:p w14:paraId="46C98902" w14:textId="77777777" w:rsidR="000D1830" w:rsidRDefault="00FD46F3" w:rsidP="00FC6730">
      <w:pPr>
        <w:pStyle w:val="ListParagraph"/>
        <w:numPr>
          <w:ilvl w:val="0"/>
          <w:numId w:val="1"/>
        </w:numPr>
      </w:pPr>
      <w:r>
        <w:t>4.2 to 4.7 (Liability)</w:t>
      </w:r>
    </w:p>
    <w:p w14:paraId="46C98903" w14:textId="77777777" w:rsidR="000D1830" w:rsidRDefault="00FD46F3" w:rsidP="00FC6730">
      <w:pPr>
        <w:pStyle w:val="ListParagraph"/>
        <w:numPr>
          <w:ilvl w:val="0"/>
          <w:numId w:val="1"/>
        </w:numPr>
      </w:pPr>
      <w:r>
        <w:t>4.11 to 4.12 (IR35)</w:t>
      </w:r>
    </w:p>
    <w:p w14:paraId="46C98904" w14:textId="77777777" w:rsidR="000D1830" w:rsidRDefault="00FD46F3" w:rsidP="00FC6730">
      <w:pPr>
        <w:pStyle w:val="ListParagraph"/>
        <w:numPr>
          <w:ilvl w:val="0"/>
          <w:numId w:val="1"/>
        </w:numPr>
      </w:pPr>
      <w:r>
        <w:t>5.4 to 5.5 (Force majeure)</w:t>
      </w:r>
    </w:p>
    <w:p w14:paraId="46C98905" w14:textId="77777777" w:rsidR="000D1830" w:rsidRDefault="00FD46F3" w:rsidP="00FC6730">
      <w:pPr>
        <w:pStyle w:val="ListParagraph"/>
        <w:numPr>
          <w:ilvl w:val="0"/>
          <w:numId w:val="1"/>
        </w:numPr>
      </w:pPr>
      <w:r>
        <w:t>5.8 (Continuing rights)</w:t>
      </w:r>
    </w:p>
    <w:p w14:paraId="46C98906" w14:textId="77777777" w:rsidR="000D1830" w:rsidRDefault="00FD46F3" w:rsidP="00FC6730">
      <w:pPr>
        <w:pStyle w:val="ListParagraph"/>
        <w:numPr>
          <w:ilvl w:val="0"/>
          <w:numId w:val="1"/>
        </w:numPr>
      </w:pPr>
      <w:r>
        <w:t>5.9 to 5.11 (Change of control)</w:t>
      </w:r>
    </w:p>
    <w:p w14:paraId="46C98907" w14:textId="77777777" w:rsidR="000D1830" w:rsidRDefault="00FD46F3" w:rsidP="00FC6730">
      <w:pPr>
        <w:pStyle w:val="ListParagraph"/>
        <w:numPr>
          <w:ilvl w:val="0"/>
          <w:numId w:val="1"/>
        </w:numPr>
      </w:pPr>
      <w:r>
        <w:t>5.12 (Fraud)</w:t>
      </w:r>
    </w:p>
    <w:p w14:paraId="46C98908" w14:textId="77777777" w:rsidR="000D1830" w:rsidRDefault="00FD46F3" w:rsidP="00FC6730">
      <w:pPr>
        <w:pStyle w:val="ListParagraph"/>
        <w:numPr>
          <w:ilvl w:val="0"/>
          <w:numId w:val="1"/>
        </w:numPr>
      </w:pPr>
      <w:r>
        <w:t>5.13 (Notice of fraud)</w:t>
      </w:r>
    </w:p>
    <w:p w14:paraId="46C98909" w14:textId="77777777" w:rsidR="000D1830" w:rsidRDefault="00FD46F3" w:rsidP="00FC6730">
      <w:pPr>
        <w:pStyle w:val="ListParagraph"/>
        <w:numPr>
          <w:ilvl w:val="0"/>
          <w:numId w:val="1"/>
        </w:numPr>
      </w:pPr>
      <w:r>
        <w:t>7.1 to 7.2 (Transparency)</w:t>
      </w:r>
    </w:p>
    <w:p w14:paraId="46C9890A" w14:textId="77777777" w:rsidR="000D1830" w:rsidRDefault="00FD46F3" w:rsidP="00FC6730">
      <w:pPr>
        <w:pStyle w:val="ListParagraph"/>
        <w:numPr>
          <w:ilvl w:val="0"/>
          <w:numId w:val="1"/>
        </w:numPr>
      </w:pPr>
      <w:r>
        <w:t>8.3 (Order of precedence)</w:t>
      </w:r>
    </w:p>
    <w:p w14:paraId="46C9890B" w14:textId="77777777" w:rsidR="000D1830" w:rsidRDefault="00FD46F3" w:rsidP="00FC6730">
      <w:pPr>
        <w:pStyle w:val="ListParagraph"/>
        <w:numPr>
          <w:ilvl w:val="0"/>
          <w:numId w:val="1"/>
        </w:numPr>
      </w:pPr>
      <w:r>
        <w:t>8.6 (Relationship)</w:t>
      </w:r>
    </w:p>
    <w:p w14:paraId="46C9890C" w14:textId="77777777" w:rsidR="000D1830" w:rsidRDefault="00FD46F3" w:rsidP="00FC6730">
      <w:pPr>
        <w:pStyle w:val="ListParagraph"/>
        <w:numPr>
          <w:ilvl w:val="0"/>
          <w:numId w:val="1"/>
        </w:numPr>
      </w:pPr>
      <w:r>
        <w:t>8.9 to 8.11 (Entire agreement)</w:t>
      </w:r>
    </w:p>
    <w:p w14:paraId="46C9890D" w14:textId="77777777" w:rsidR="000D1830" w:rsidRDefault="00FD46F3" w:rsidP="00FC6730">
      <w:pPr>
        <w:pStyle w:val="ListParagraph"/>
        <w:numPr>
          <w:ilvl w:val="0"/>
          <w:numId w:val="1"/>
        </w:numPr>
      </w:pPr>
      <w:r>
        <w:t>8.12 (Law and jurisdiction)</w:t>
      </w:r>
    </w:p>
    <w:p w14:paraId="46C9890E" w14:textId="77777777" w:rsidR="000D1830" w:rsidRDefault="00FD46F3" w:rsidP="00FC6730">
      <w:pPr>
        <w:pStyle w:val="ListParagraph"/>
        <w:numPr>
          <w:ilvl w:val="0"/>
          <w:numId w:val="1"/>
        </w:numPr>
      </w:pPr>
      <w:r>
        <w:t>8.13 to 8.14 (Legislative change)</w:t>
      </w:r>
    </w:p>
    <w:p w14:paraId="46C9890F" w14:textId="77777777" w:rsidR="000D1830" w:rsidRDefault="00FD46F3" w:rsidP="00FC6730">
      <w:pPr>
        <w:pStyle w:val="ListParagraph"/>
        <w:numPr>
          <w:ilvl w:val="0"/>
          <w:numId w:val="1"/>
        </w:numPr>
      </w:pPr>
      <w:r>
        <w:t>8.15 to 8.19 (Bribery and corruption)</w:t>
      </w:r>
    </w:p>
    <w:p w14:paraId="46C98910" w14:textId="77777777" w:rsidR="000D1830" w:rsidRDefault="00FD46F3" w:rsidP="00FC6730">
      <w:pPr>
        <w:pStyle w:val="ListParagraph"/>
        <w:numPr>
          <w:ilvl w:val="0"/>
          <w:numId w:val="1"/>
        </w:numPr>
      </w:pPr>
      <w:r>
        <w:t>8.20 to 8.29 (Freedom of Information Act)</w:t>
      </w:r>
    </w:p>
    <w:p w14:paraId="46C98911" w14:textId="77777777" w:rsidR="000D1830" w:rsidRDefault="00FD46F3" w:rsidP="00FC6730">
      <w:pPr>
        <w:pStyle w:val="ListParagraph"/>
        <w:numPr>
          <w:ilvl w:val="0"/>
          <w:numId w:val="1"/>
        </w:numPr>
      </w:pPr>
      <w:r>
        <w:t>8.30 to 8.31 (Promoting tax compliance)</w:t>
      </w:r>
    </w:p>
    <w:p w14:paraId="46C98912" w14:textId="77777777" w:rsidR="000D1830" w:rsidRDefault="00FD46F3" w:rsidP="00FC6730">
      <w:pPr>
        <w:pStyle w:val="ListParagraph"/>
        <w:numPr>
          <w:ilvl w:val="0"/>
          <w:numId w:val="1"/>
        </w:numPr>
      </w:pPr>
      <w:r>
        <w:t>8.32 to 8.33 (Official Secrets Act)</w:t>
      </w:r>
    </w:p>
    <w:p w14:paraId="46C98913" w14:textId="77777777" w:rsidR="000D1830" w:rsidRDefault="00FD46F3" w:rsidP="00FC6730">
      <w:pPr>
        <w:pStyle w:val="ListParagraph"/>
        <w:numPr>
          <w:ilvl w:val="0"/>
          <w:numId w:val="1"/>
        </w:numPr>
      </w:pPr>
      <w:r>
        <w:t>8.34 to 8.37 (Transfer and subcontracting)</w:t>
      </w:r>
    </w:p>
    <w:p w14:paraId="46C98914" w14:textId="77777777" w:rsidR="000D1830" w:rsidRDefault="00FD46F3" w:rsidP="00FC6730">
      <w:pPr>
        <w:pStyle w:val="ListParagraph"/>
        <w:numPr>
          <w:ilvl w:val="0"/>
          <w:numId w:val="1"/>
        </w:numPr>
      </w:pPr>
      <w:r>
        <w:t>8.40 to 8.43 (Complaints handling and resolution)</w:t>
      </w:r>
    </w:p>
    <w:p w14:paraId="46C98915" w14:textId="77777777" w:rsidR="000D1830" w:rsidRDefault="00FD46F3" w:rsidP="00FC6730">
      <w:pPr>
        <w:pStyle w:val="ListParagraph"/>
        <w:numPr>
          <w:ilvl w:val="0"/>
          <w:numId w:val="1"/>
        </w:numPr>
      </w:pPr>
      <w:r>
        <w:t>8.44 to 8.50 (Conflicts of interest and ethical walls)</w:t>
      </w:r>
    </w:p>
    <w:p w14:paraId="46C98916" w14:textId="77777777" w:rsidR="000D1830" w:rsidRDefault="00FD46F3" w:rsidP="00FC6730">
      <w:pPr>
        <w:pStyle w:val="ListParagraph"/>
        <w:numPr>
          <w:ilvl w:val="0"/>
          <w:numId w:val="1"/>
        </w:numPr>
      </w:pPr>
      <w:r>
        <w:t>8.51 to 8.53 (Publicity and branding)</w:t>
      </w:r>
    </w:p>
    <w:p w14:paraId="46C98917" w14:textId="77777777" w:rsidR="000D1830" w:rsidRDefault="00FD46F3" w:rsidP="00FC6730">
      <w:pPr>
        <w:pStyle w:val="ListParagraph"/>
        <w:numPr>
          <w:ilvl w:val="0"/>
          <w:numId w:val="1"/>
        </w:numPr>
      </w:pPr>
      <w:r>
        <w:t>8.54 to 8.56 (Equality and diversity)</w:t>
      </w:r>
    </w:p>
    <w:p w14:paraId="46C98918" w14:textId="77777777" w:rsidR="000D1830" w:rsidRDefault="00FD46F3" w:rsidP="00FC6730">
      <w:pPr>
        <w:pStyle w:val="ListParagraph"/>
        <w:numPr>
          <w:ilvl w:val="0"/>
          <w:numId w:val="1"/>
        </w:numPr>
      </w:pPr>
      <w:r>
        <w:t>8.59 to 8.60 (Data protection</w:t>
      </w:r>
    </w:p>
    <w:p w14:paraId="46C98919" w14:textId="77777777" w:rsidR="000D1830" w:rsidRDefault="00FD46F3" w:rsidP="00FC6730">
      <w:pPr>
        <w:pStyle w:val="ListParagraph"/>
        <w:numPr>
          <w:ilvl w:val="0"/>
          <w:numId w:val="1"/>
        </w:numPr>
      </w:pPr>
      <w:r>
        <w:t>8.64 to 8.65 (Severability)</w:t>
      </w:r>
    </w:p>
    <w:p w14:paraId="46C9891A" w14:textId="77777777" w:rsidR="000D1830" w:rsidRDefault="00FD46F3" w:rsidP="00FC6730">
      <w:pPr>
        <w:pStyle w:val="ListParagraph"/>
        <w:numPr>
          <w:ilvl w:val="0"/>
          <w:numId w:val="1"/>
        </w:numPr>
      </w:pPr>
      <w:r>
        <w:t>8.66 to 8.69 (Managing disputes and Mediation)</w:t>
      </w:r>
    </w:p>
    <w:p w14:paraId="46C9891B" w14:textId="77777777" w:rsidR="000D1830" w:rsidRDefault="00FD46F3" w:rsidP="00FC6730">
      <w:pPr>
        <w:pStyle w:val="ListParagraph"/>
        <w:numPr>
          <w:ilvl w:val="0"/>
          <w:numId w:val="1"/>
        </w:numPr>
      </w:pPr>
      <w:r>
        <w:lastRenderedPageBreak/>
        <w:t>8.80 to 8.88 (Confidentiality)</w:t>
      </w:r>
    </w:p>
    <w:p w14:paraId="46C9891C" w14:textId="77777777" w:rsidR="000D1830" w:rsidRDefault="00FD46F3" w:rsidP="00FC6730">
      <w:pPr>
        <w:pStyle w:val="ListParagraph"/>
        <w:numPr>
          <w:ilvl w:val="0"/>
          <w:numId w:val="1"/>
        </w:numPr>
      </w:pPr>
      <w:r>
        <w:t>8.89 to 8.90 (Waiver and cumulative remedies)</w:t>
      </w:r>
    </w:p>
    <w:p w14:paraId="46C9891D" w14:textId="77777777" w:rsidR="000D1830" w:rsidRDefault="00FD46F3" w:rsidP="00FC6730">
      <w:pPr>
        <w:pStyle w:val="ListParagraph"/>
        <w:numPr>
          <w:ilvl w:val="0"/>
          <w:numId w:val="1"/>
        </w:numPr>
      </w:pPr>
      <w:r>
        <w:t>8.91 to 8.101 (Corporate Social Responsibility)</w:t>
      </w:r>
    </w:p>
    <w:p w14:paraId="46C9891E" w14:textId="77777777" w:rsidR="000D1830" w:rsidRDefault="00FD46F3" w:rsidP="00FC6730">
      <w:pPr>
        <w:pStyle w:val="ListParagraph"/>
        <w:numPr>
          <w:ilvl w:val="0"/>
          <w:numId w:val="1"/>
        </w:numPr>
      </w:pPr>
      <w:r>
        <w:t>paragraphs 1 to 10 of the Framework Agreement glossary and interpretation</w:t>
      </w:r>
    </w:p>
    <w:p w14:paraId="46C9891F" w14:textId="77777777" w:rsidR="000D1830" w:rsidRDefault="00FD46F3" w:rsidP="00FC6730">
      <w:pPr>
        <w:pStyle w:val="ListParagraph"/>
        <w:numPr>
          <w:ilvl w:val="0"/>
          <w:numId w:val="2"/>
        </w:numPr>
      </w:pPr>
      <w:r>
        <w:t>any audit provisions from the Framework Agreement set out by the Buyer in the Order Form</w:t>
      </w:r>
    </w:p>
    <w:p w14:paraId="46C98920" w14:textId="77777777" w:rsidR="000D1830" w:rsidRDefault="00FD46F3">
      <w:pPr>
        <w:ind w:left="720"/>
      </w:pPr>
      <w:r>
        <w:t xml:space="preserve"> </w:t>
      </w:r>
    </w:p>
    <w:p w14:paraId="46C98921" w14:textId="77777777" w:rsidR="000D1830" w:rsidRDefault="00FD46F3">
      <w:pPr>
        <w:spacing w:after="240"/>
      </w:pPr>
      <w:r>
        <w:t>2.2</w:t>
      </w:r>
      <w:r>
        <w:tab/>
        <w:t>The Framework Agreement provisions in clause 2.1 will be modified as follows:</w:t>
      </w:r>
    </w:p>
    <w:p w14:paraId="46C98922" w14:textId="77777777" w:rsidR="000D1830" w:rsidRDefault="00FD46F3">
      <w:pPr>
        <w:ind w:left="1440" w:hanging="720"/>
      </w:pPr>
      <w:r>
        <w:t>2.2.1</w:t>
      </w:r>
      <w:r>
        <w:tab/>
        <w:t>a reference to the ‘Framework Agreement’ will be a reference to the ‘Call-Off Contract’</w:t>
      </w:r>
    </w:p>
    <w:p w14:paraId="46C98923" w14:textId="77777777" w:rsidR="000D1830" w:rsidRDefault="00FD46F3">
      <w:pPr>
        <w:ind w:firstLine="720"/>
      </w:pPr>
      <w:r>
        <w:t>2.2.2</w:t>
      </w:r>
      <w:r>
        <w:tab/>
        <w:t>a reference to ‘CCS’ will be a reference to ‘the Buyer’</w:t>
      </w:r>
    </w:p>
    <w:p w14:paraId="46C98924" w14:textId="77777777" w:rsidR="000D1830" w:rsidRDefault="00FD46F3">
      <w:pPr>
        <w:ind w:left="1440" w:hanging="720"/>
      </w:pPr>
      <w:r>
        <w:t>2.2.3</w:t>
      </w:r>
      <w:r>
        <w:tab/>
        <w:t>a reference to the ‘Parties’ and a ‘Party’ will be a reference to the Buyer and Supplier as Parties under this Call-Off Contract</w:t>
      </w:r>
    </w:p>
    <w:p w14:paraId="46C98925" w14:textId="77777777" w:rsidR="000D1830" w:rsidRDefault="000D1830"/>
    <w:p w14:paraId="46C98926" w14:textId="77777777" w:rsidR="000D1830" w:rsidRDefault="00FD46F3">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46C98927" w14:textId="77777777" w:rsidR="000D1830" w:rsidRDefault="000D1830">
      <w:pPr>
        <w:ind w:left="720"/>
      </w:pPr>
    </w:p>
    <w:p w14:paraId="46C98928" w14:textId="77777777" w:rsidR="000D1830" w:rsidRDefault="00FD46F3">
      <w:pPr>
        <w:ind w:left="720" w:hanging="720"/>
      </w:pPr>
      <w:r>
        <w:t>2.4</w:t>
      </w:r>
      <w:r>
        <w:tab/>
        <w:t>The Framework Agreement incorporated clauses will be referred to as incorporated Framework clause ‘XX’, where ‘XX’ is the Framework Agreement clause number.</w:t>
      </w:r>
    </w:p>
    <w:p w14:paraId="46C98929" w14:textId="77777777" w:rsidR="000D1830" w:rsidRDefault="000D1830">
      <w:pPr>
        <w:ind w:firstLine="720"/>
      </w:pPr>
    </w:p>
    <w:p w14:paraId="46C9892A" w14:textId="77777777" w:rsidR="000D1830" w:rsidRDefault="00FD46F3">
      <w:pPr>
        <w:ind w:left="720" w:hanging="720"/>
      </w:pPr>
      <w:r>
        <w:t>2.5</w:t>
      </w:r>
      <w:r>
        <w:tab/>
        <w:t>When an Order Form is signed, the terms and conditions agreed in it will be incorporated into this Call-Off Contract.</w:t>
      </w:r>
    </w:p>
    <w:p w14:paraId="46C9892B" w14:textId="77777777" w:rsidR="000D1830" w:rsidRDefault="000D1830"/>
    <w:p w14:paraId="46C9892C" w14:textId="77777777" w:rsidR="000D1830" w:rsidRDefault="00FD46F3">
      <w:pPr>
        <w:pStyle w:val="Heading3"/>
        <w:spacing w:before="0" w:after="100"/>
        <w:rPr>
          <w:color w:val="auto"/>
        </w:rPr>
      </w:pPr>
      <w:r>
        <w:rPr>
          <w:color w:val="auto"/>
        </w:rPr>
        <w:t>3.</w:t>
      </w:r>
      <w:r>
        <w:rPr>
          <w:color w:val="auto"/>
        </w:rPr>
        <w:tab/>
        <w:t>Supply of services</w:t>
      </w:r>
    </w:p>
    <w:p w14:paraId="46C9892D" w14:textId="77777777" w:rsidR="000D1830" w:rsidRDefault="00FD46F3">
      <w:pPr>
        <w:spacing w:before="240" w:after="240"/>
        <w:ind w:left="720" w:hanging="720"/>
      </w:pPr>
      <w:r>
        <w:t>3.1</w:t>
      </w:r>
      <w:r>
        <w:tab/>
        <w:t>The Supplier agrees to supply the G-Cloud Services and any Additional Services under the terms of the Call-Off Contract and the Supplier’s Application.</w:t>
      </w:r>
    </w:p>
    <w:p w14:paraId="46C9892E" w14:textId="77777777" w:rsidR="000D1830" w:rsidRDefault="00FD46F3">
      <w:pPr>
        <w:ind w:left="720" w:hanging="720"/>
      </w:pPr>
      <w:r>
        <w:t>3.2</w:t>
      </w:r>
      <w:r>
        <w:tab/>
        <w:t>The Supplier undertakes that each G-Cloud Service will meet the Buyer’s acceptance criteria, as defined in the Order Form.</w:t>
      </w:r>
    </w:p>
    <w:p w14:paraId="46C9892F" w14:textId="77777777" w:rsidR="000D1830" w:rsidRDefault="000D1830"/>
    <w:p w14:paraId="46C98930" w14:textId="77777777" w:rsidR="000D1830" w:rsidRDefault="00FD46F3">
      <w:pPr>
        <w:pStyle w:val="Heading3"/>
        <w:spacing w:before="0" w:after="100"/>
        <w:rPr>
          <w:color w:val="auto"/>
        </w:rPr>
      </w:pPr>
      <w:r>
        <w:rPr>
          <w:color w:val="auto"/>
        </w:rPr>
        <w:t>4.</w:t>
      </w:r>
      <w:r>
        <w:rPr>
          <w:color w:val="auto"/>
        </w:rPr>
        <w:tab/>
        <w:t>Supplier staff</w:t>
      </w:r>
    </w:p>
    <w:p w14:paraId="46C98931" w14:textId="77777777" w:rsidR="000D1830" w:rsidRDefault="00FD46F3">
      <w:pPr>
        <w:spacing w:before="240" w:after="240"/>
      </w:pPr>
      <w:r>
        <w:t>4.1</w:t>
      </w:r>
      <w:r>
        <w:tab/>
        <w:t>The Supplier Staff must:</w:t>
      </w:r>
    </w:p>
    <w:p w14:paraId="46C98932" w14:textId="77777777" w:rsidR="000D1830" w:rsidRDefault="00FD46F3">
      <w:pPr>
        <w:ind w:firstLine="720"/>
      </w:pPr>
      <w:r>
        <w:t>4.1.1</w:t>
      </w:r>
      <w:r>
        <w:tab/>
        <w:t>be appropriately experienced, qualified and trained to supply the Services</w:t>
      </w:r>
    </w:p>
    <w:p w14:paraId="46C98933" w14:textId="77777777" w:rsidR="000D1830" w:rsidRDefault="000D1830"/>
    <w:p w14:paraId="46C98934" w14:textId="77777777" w:rsidR="000D1830" w:rsidRDefault="00FD46F3">
      <w:pPr>
        <w:ind w:firstLine="720"/>
      </w:pPr>
      <w:r>
        <w:t>4.1.2</w:t>
      </w:r>
      <w:r>
        <w:tab/>
        <w:t>apply all due skill, care and diligence in faithfully performing those duties</w:t>
      </w:r>
    </w:p>
    <w:p w14:paraId="46C98935" w14:textId="77777777" w:rsidR="000D1830" w:rsidRDefault="000D1830"/>
    <w:p w14:paraId="46C98936" w14:textId="77777777" w:rsidR="000D1830" w:rsidRDefault="00FD46F3">
      <w:pPr>
        <w:ind w:left="720"/>
      </w:pPr>
      <w:r>
        <w:t>4.1.3</w:t>
      </w:r>
      <w:r>
        <w:tab/>
        <w:t>obey all lawful instructions and reasonable directions of the Buyer and provide the Services to the reasonable satisfaction of the Buyer</w:t>
      </w:r>
    </w:p>
    <w:p w14:paraId="46C98937" w14:textId="77777777" w:rsidR="000D1830" w:rsidRDefault="000D1830"/>
    <w:p w14:paraId="46C98938" w14:textId="77777777" w:rsidR="000D1830" w:rsidRDefault="00FD46F3">
      <w:pPr>
        <w:ind w:firstLine="720"/>
      </w:pPr>
      <w:r>
        <w:t>4.1.4</w:t>
      </w:r>
      <w:r>
        <w:tab/>
        <w:t>respond to any enquiries about the Services as soon as reasonably possible</w:t>
      </w:r>
    </w:p>
    <w:p w14:paraId="46C98939" w14:textId="77777777" w:rsidR="000D1830" w:rsidRDefault="000D1830"/>
    <w:p w14:paraId="46C9893A" w14:textId="77777777" w:rsidR="000D1830" w:rsidRDefault="00FD46F3">
      <w:pPr>
        <w:ind w:firstLine="720"/>
      </w:pPr>
      <w:r>
        <w:t>4.1.5</w:t>
      </w:r>
      <w:r>
        <w:tab/>
        <w:t>complete any necessary Supplier Staff vetting as specified by the Buyer</w:t>
      </w:r>
    </w:p>
    <w:p w14:paraId="46C9893B" w14:textId="77777777" w:rsidR="000D1830" w:rsidRDefault="000D1830"/>
    <w:p w14:paraId="46C9893C" w14:textId="77777777" w:rsidR="000D1830" w:rsidRDefault="00FD46F3">
      <w:pPr>
        <w:ind w:left="720" w:hanging="720"/>
      </w:pPr>
      <w:r>
        <w:t>4.2</w:t>
      </w:r>
      <w:r>
        <w:tab/>
        <w:t>The Supplier must retain overall control of the Supplier Staff so that they are not considered to be employees, workers, agents or contractors of the Buyer.</w:t>
      </w:r>
    </w:p>
    <w:p w14:paraId="46C9893D" w14:textId="77777777" w:rsidR="000D1830" w:rsidRDefault="000D1830">
      <w:pPr>
        <w:ind w:firstLine="720"/>
      </w:pPr>
    </w:p>
    <w:p w14:paraId="46C9893E" w14:textId="77777777" w:rsidR="000D1830" w:rsidRDefault="00FD46F3">
      <w:pPr>
        <w:ind w:left="720" w:hanging="720"/>
      </w:pPr>
      <w:r>
        <w:t>4.3</w:t>
      </w:r>
      <w:r>
        <w:tab/>
        <w:t>The Supplier may substitute any Supplier Staff as long as they have the equivalent experience and qualifications to the substituted staff member.</w:t>
      </w:r>
    </w:p>
    <w:p w14:paraId="46C9893F" w14:textId="77777777" w:rsidR="000D1830" w:rsidRDefault="000D1830">
      <w:pPr>
        <w:ind w:firstLine="720"/>
      </w:pPr>
    </w:p>
    <w:p w14:paraId="46C98940" w14:textId="77777777" w:rsidR="000D1830" w:rsidRDefault="00FD46F3">
      <w:pPr>
        <w:ind w:left="720" w:hanging="720"/>
      </w:pPr>
      <w:r>
        <w:t>4.4</w:t>
      </w:r>
      <w:r>
        <w:tab/>
        <w:t>The Buyer may conduct IR35 Assessments using the ESI tool to assess whether the Supplier’s engagement under the Call-Off Contract is Inside or Outside IR35.</w:t>
      </w:r>
    </w:p>
    <w:p w14:paraId="46C98941" w14:textId="77777777" w:rsidR="000D1830" w:rsidRDefault="000D1830">
      <w:pPr>
        <w:ind w:firstLine="720"/>
      </w:pPr>
    </w:p>
    <w:p w14:paraId="46C98942" w14:textId="77777777" w:rsidR="000D1830" w:rsidRDefault="00FD46F3">
      <w:pPr>
        <w:ind w:left="720" w:hanging="720"/>
      </w:pPr>
      <w:r>
        <w:t>4.5</w:t>
      </w:r>
      <w:r>
        <w:tab/>
        <w:t>The Buyer may End this Call-Off Contract for Material Breach as per clause 18.5 hereunder if the Supplier is delivering the Services Inside IR35.</w:t>
      </w:r>
    </w:p>
    <w:p w14:paraId="46C98943" w14:textId="77777777" w:rsidR="000D1830" w:rsidRDefault="000D1830">
      <w:pPr>
        <w:ind w:firstLine="720"/>
      </w:pPr>
    </w:p>
    <w:p w14:paraId="46C98944" w14:textId="77777777" w:rsidR="000D1830" w:rsidRDefault="00FD46F3">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6C98945" w14:textId="77777777" w:rsidR="000D1830" w:rsidRDefault="000D1830">
      <w:pPr>
        <w:ind w:left="720"/>
      </w:pPr>
    </w:p>
    <w:p w14:paraId="46C98946" w14:textId="77777777" w:rsidR="000D1830" w:rsidRDefault="00FD46F3">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46C98947" w14:textId="77777777" w:rsidR="000D1830" w:rsidRDefault="000D1830">
      <w:pPr>
        <w:ind w:left="720"/>
      </w:pPr>
    </w:p>
    <w:p w14:paraId="46C98948" w14:textId="77777777" w:rsidR="000D1830" w:rsidRDefault="00FD46F3">
      <w:pPr>
        <w:ind w:left="720" w:hanging="720"/>
      </w:pPr>
      <w:r>
        <w:t>4.8</w:t>
      </w:r>
      <w:r>
        <w:tab/>
        <w:t>If it is determined by the Buyer that the Supplier is Outside IR35, the Buyer will provide the ESI reference number and a copy of the PDF to the Supplier.</w:t>
      </w:r>
    </w:p>
    <w:p w14:paraId="46C98949" w14:textId="77777777" w:rsidR="000D1830" w:rsidRDefault="000D1830">
      <w:pPr>
        <w:spacing w:before="240" w:after="240"/>
        <w:ind w:left="720"/>
      </w:pPr>
    </w:p>
    <w:p w14:paraId="46C9894A" w14:textId="77777777" w:rsidR="000D1830" w:rsidRDefault="00FD46F3">
      <w:pPr>
        <w:pStyle w:val="Heading3"/>
        <w:spacing w:before="0" w:after="100"/>
        <w:rPr>
          <w:color w:val="auto"/>
        </w:rPr>
      </w:pPr>
      <w:r>
        <w:rPr>
          <w:color w:val="auto"/>
        </w:rPr>
        <w:t>5.</w:t>
      </w:r>
      <w:r>
        <w:rPr>
          <w:color w:val="auto"/>
        </w:rPr>
        <w:tab/>
        <w:t>Due diligence</w:t>
      </w:r>
    </w:p>
    <w:p w14:paraId="46C9894B" w14:textId="77777777" w:rsidR="000D1830" w:rsidRDefault="00FD46F3">
      <w:pPr>
        <w:spacing w:before="240" w:after="120"/>
      </w:pPr>
      <w:r>
        <w:t xml:space="preserve"> 5.1</w:t>
      </w:r>
      <w:r>
        <w:tab/>
        <w:t>Both Parties agree that when entering into a Call-Off Contract they:</w:t>
      </w:r>
    </w:p>
    <w:p w14:paraId="46C9894C" w14:textId="77777777" w:rsidR="000D1830" w:rsidRDefault="00FD46F3">
      <w:pPr>
        <w:spacing w:after="120"/>
        <w:ind w:left="1440" w:hanging="720"/>
      </w:pPr>
      <w:r>
        <w:t>5.1.1</w:t>
      </w:r>
      <w:r>
        <w:tab/>
        <w:t>have made their own enquiries and are satisfied by the accuracy of any information supplied by the other Party</w:t>
      </w:r>
    </w:p>
    <w:p w14:paraId="46C9894D" w14:textId="77777777" w:rsidR="000D1830" w:rsidRDefault="00FD46F3">
      <w:pPr>
        <w:spacing w:after="120"/>
        <w:ind w:left="1440" w:hanging="720"/>
      </w:pPr>
      <w:r>
        <w:t>5.1.2</w:t>
      </w:r>
      <w:r>
        <w:tab/>
        <w:t>are confident that they can fulfil their obligations according to the Call-Off Contract terms</w:t>
      </w:r>
    </w:p>
    <w:p w14:paraId="46C9894E" w14:textId="77777777" w:rsidR="000D1830" w:rsidRDefault="00FD46F3">
      <w:pPr>
        <w:spacing w:after="120"/>
        <w:ind w:firstLine="720"/>
      </w:pPr>
      <w:r>
        <w:t>5.1.3</w:t>
      </w:r>
      <w:r>
        <w:tab/>
        <w:t>have raised all due diligence questions before signing the Call-Off Contract</w:t>
      </w:r>
    </w:p>
    <w:p w14:paraId="46C9894F" w14:textId="77777777" w:rsidR="000D1830" w:rsidRDefault="00FD46F3">
      <w:pPr>
        <w:ind w:firstLine="720"/>
      </w:pPr>
      <w:r>
        <w:t>5.1.4</w:t>
      </w:r>
      <w:r>
        <w:tab/>
        <w:t>have entered into the Call-Off Contract relying on its own due diligence</w:t>
      </w:r>
    </w:p>
    <w:p w14:paraId="46C98950" w14:textId="77777777" w:rsidR="000D1830" w:rsidRDefault="000D1830">
      <w:pPr>
        <w:spacing w:before="240"/>
      </w:pPr>
    </w:p>
    <w:p w14:paraId="46C98951" w14:textId="77777777" w:rsidR="000D1830" w:rsidRDefault="00FD46F3">
      <w:pPr>
        <w:pStyle w:val="Heading3"/>
        <w:spacing w:before="0" w:after="100"/>
        <w:rPr>
          <w:color w:val="auto"/>
        </w:rPr>
      </w:pPr>
      <w:r>
        <w:rPr>
          <w:color w:val="auto"/>
        </w:rPr>
        <w:t xml:space="preserve">6. </w:t>
      </w:r>
      <w:r>
        <w:rPr>
          <w:color w:val="auto"/>
        </w:rPr>
        <w:tab/>
        <w:t>Business continuity and disaster recovery</w:t>
      </w:r>
    </w:p>
    <w:p w14:paraId="46C98952" w14:textId="77777777" w:rsidR="000D1830" w:rsidRDefault="00FD46F3">
      <w:pPr>
        <w:ind w:left="720" w:hanging="720"/>
      </w:pPr>
      <w:r>
        <w:t>6.1</w:t>
      </w:r>
      <w:r>
        <w:tab/>
        <w:t>The Supplier will have a clear business continuity and disaster recovery plan in their service descriptions.</w:t>
      </w:r>
    </w:p>
    <w:p w14:paraId="46C98953" w14:textId="77777777" w:rsidR="000D1830" w:rsidRDefault="000D1830"/>
    <w:p w14:paraId="46C98954" w14:textId="77777777" w:rsidR="000D1830" w:rsidRDefault="00FD46F3">
      <w:pPr>
        <w:ind w:left="720" w:hanging="720"/>
      </w:pPr>
      <w:r>
        <w:t>6.2</w:t>
      </w:r>
      <w:r>
        <w:tab/>
        <w:t>The Supplier’s business continuity and disaster recovery services are part of the Services and will be performed by the Supplier when required.</w:t>
      </w:r>
    </w:p>
    <w:p w14:paraId="46C98955" w14:textId="77777777" w:rsidR="000D1830" w:rsidRDefault="00FD46F3">
      <w:pPr>
        <w:ind w:left="720" w:hanging="720"/>
      </w:pPr>
      <w:r>
        <w:t>6.3</w:t>
      </w:r>
      <w:r>
        <w:tab/>
        <w:t>If requested by the Buyer prior to entering into this Call-Off Contract, the Supplier must ensure that its business continuity and disaster recovery plan is consistent with the Buyer’s own plans.</w:t>
      </w:r>
    </w:p>
    <w:p w14:paraId="46C98956" w14:textId="77777777" w:rsidR="000D1830" w:rsidRDefault="000D1830"/>
    <w:p w14:paraId="46C98957" w14:textId="77777777" w:rsidR="000D1830" w:rsidRDefault="00FD46F3">
      <w:pPr>
        <w:pStyle w:val="Heading3"/>
        <w:spacing w:before="0" w:after="100"/>
        <w:rPr>
          <w:color w:val="auto"/>
        </w:rPr>
      </w:pPr>
      <w:r>
        <w:rPr>
          <w:color w:val="auto"/>
        </w:rPr>
        <w:lastRenderedPageBreak/>
        <w:t>7.</w:t>
      </w:r>
      <w:r>
        <w:rPr>
          <w:color w:val="auto"/>
        </w:rPr>
        <w:tab/>
        <w:t>Payment, VAT and Call-Off Contract charges</w:t>
      </w:r>
    </w:p>
    <w:p w14:paraId="46C98958" w14:textId="77777777" w:rsidR="000D1830" w:rsidRDefault="00FD46F3">
      <w:pPr>
        <w:spacing w:after="120"/>
        <w:ind w:left="720" w:hanging="720"/>
      </w:pPr>
      <w:r>
        <w:t>7.1</w:t>
      </w:r>
      <w:r>
        <w:tab/>
        <w:t>The Buyer must pay the Charges following clauses 7.2 to 7.11 for the Supplier’s delivery of the Services.</w:t>
      </w:r>
    </w:p>
    <w:p w14:paraId="46C98959" w14:textId="77777777" w:rsidR="000D1830" w:rsidRDefault="00FD46F3">
      <w:pPr>
        <w:ind w:left="720" w:hanging="720"/>
      </w:pPr>
      <w:r>
        <w:t>7.2</w:t>
      </w:r>
      <w:r>
        <w:tab/>
        <w:t>The Buyer will pay the Supplier within the number of days specified in the Order Form on receipt of a valid invoice.</w:t>
      </w:r>
    </w:p>
    <w:p w14:paraId="46C9895A" w14:textId="77777777" w:rsidR="000D1830" w:rsidRDefault="00FD46F3">
      <w:pPr>
        <w:spacing w:after="120"/>
        <w:ind w:left="720" w:hanging="720"/>
      </w:pPr>
      <w:r>
        <w:t>7.3</w:t>
      </w:r>
      <w:r>
        <w:tab/>
        <w:t>The Call-Off Contract Charges include all Charges for payment Processing. All invoices submitted to the Buyer for the Services will be exclusive of any Management Charge.</w:t>
      </w:r>
    </w:p>
    <w:p w14:paraId="46C9895B" w14:textId="77777777" w:rsidR="000D1830" w:rsidRDefault="00FD46F3">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6C9895C" w14:textId="77777777" w:rsidR="000D1830" w:rsidRDefault="00FD46F3">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6C9895D" w14:textId="77777777" w:rsidR="000D1830" w:rsidRDefault="00FD46F3">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46C9895E" w14:textId="77777777" w:rsidR="000D1830" w:rsidRDefault="00FD46F3">
      <w:pPr>
        <w:spacing w:after="120"/>
      </w:pPr>
      <w:r>
        <w:t>7.7</w:t>
      </w:r>
      <w:r>
        <w:tab/>
        <w:t>All Charges payable by the Buyer to the Supplier will include VAT at the appropriate Rate.</w:t>
      </w:r>
    </w:p>
    <w:p w14:paraId="46C9895F" w14:textId="77777777" w:rsidR="000D1830" w:rsidRDefault="00FD46F3">
      <w:pPr>
        <w:spacing w:after="120"/>
        <w:ind w:left="720" w:hanging="720"/>
      </w:pPr>
      <w:r>
        <w:t>7.8</w:t>
      </w:r>
      <w:r>
        <w:tab/>
        <w:t>The Supplier must add VAT to the Charges at the appropriate rate with visibility of the amount as a separate line item.</w:t>
      </w:r>
    </w:p>
    <w:p w14:paraId="46C98960" w14:textId="77777777" w:rsidR="000D1830" w:rsidRDefault="00FD46F3">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46C98961" w14:textId="77777777" w:rsidR="000D1830" w:rsidRDefault="00FD46F3">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6C98962" w14:textId="77777777" w:rsidR="000D1830" w:rsidRDefault="00FD46F3">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6C98963" w14:textId="77777777" w:rsidR="000D1830" w:rsidRDefault="00FD46F3">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6C98964" w14:textId="77777777" w:rsidR="000D1830" w:rsidRDefault="000D1830">
      <w:pPr>
        <w:ind w:left="720"/>
      </w:pPr>
    </w:p>
    <w:p w14:paraId="46C98965" w14:textId="77777777" w:rsidR="000D1830" w:rsidRDefault="00FD46F3">
      <w:pPr>
        <w:pStyle w:val="Heading3"/>
        <w:rPr>
          <w:color w:val="auto"/>
        </w:rPr>
      </w:pPr>
      <w:r>
        <w:rPr>
          <w:color w:val="auto"/>
        </w:rPr>
        <w:t>8.</w:t>
      </w:r>
      <w:r>
        <w:rPr>
          <w:color w:val="auto"/>
        </w:rPr>
        <w:tab/>
        <w:t>Recovery of sums due and right of set-off</w:t>
      </w:r>
    </w:p>
    <w:p w14:paraId="46C98966" w14:textId="77777777" w:rsidR="000D1830" w:rsidRDefault="00FD46F3">
      <w:pPr>
        <w:spacing w:before="240" w:after="240"/>
        <w:ind w:left="720" w:hanging="720"/>
      </w:pPr>
      <w:r>
        <w:t>8.1</w:t>
      </w:r>
      <w:r>
        <w:tab/>
        <w:t>If a Supplier owes money to the Buyer, the Buyer may deduct that sum from the Call-Off Contract Charges.</w:t>
      </w:r>
    </w:p>
    <w:p w14:paraId="46C98967" w14:textId="77777777" w:rsidR="000D1830" w:rsidRDefault="000D1830">
      <w:pPr>
        <w:spacing w:before="240" w:after="240"/>
        <w:ind w:left="720" w:hanging="720"/>
      </w:pPr>
    </w:p>
    <w:p w14:paraId="46C98968" w14:textId="77777777" w:rsidR="000D1830" w:rsidRDefault="00FD46F3">
      <w:pPr>
        <w:pStyle w:val="Heading3"/>
        <w:rPr>
          <w:color w:val="auto"/>
        </w:rPr>
      </w:pPr>
      <w:r>
        <w:rPr>
          <w:color w:val="auto"/>
        </w:rPr>
        <w:lastRenderedPageBreak/>
        <w:t>9.</w:t>
      </w:r>
      <w:r>
        <w:rPr>
          <w:color w:val="auto"/>
        </w:rPr>
        <w:tab/>
        <w:t>Insurance</w:t>
      </w:r>
    </w:p>
    <w:p w14:paraId="46C98969" w14:textId="77777777" w:rsidR="000D1830" w:rsidRDefault="00FD46F3">
      <w:pPr>
        <w:spacing w:before="240" w:after="240"/>
        <w:ind w:left="660" w:hanging="660"/>
      </w:pPr>
      <w:r>
        <w:t>9.1</w:t>
      </w:r>
      <w:r>
        <w:tab/>
        <w:t>The Supplier will maintain the insurances required by the Buyer including those in this clause.</w:t>
      </w:r>
    </w:p>
    <w:p w14:paraId="46C9896A" w14:textId="77777777" w:rsidR="000D1830" w:rsidRDefault="00FD46F3">
      <w:r>
        <w:t>9.2</w:t>
      </w:r>
      <w:r>
        <w:tab/>
        <w:t>The Supplier will ensure that:</w:t>
      </w:r>
    </w:p>
    <w:p w14:paraId="46C9896B" w14:textId="77777777" w:rsidR="000D1830" w:rsidRDefault="000D1830"/>
    <w:p w14:paraId="46C9896C" w14:textId="77777777" w:rsidR="000D1830" w:rsidRDefault="00FD46F3">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6C9896D" w14:textId="77777777" w:rsidR="000D1830" w:rsidRDefault="000D1830">
      <w:pPr>
        <w:ind w:firstLine="720"/>
      </w:pPr>
    </w:p>
    <w:p w14:paraId="46C9896E" w14:textId="77777777" w:rsidR="000D1830" w:rsidRDefault="00FD46F3">
      <w:pPr>
        <w:ind w:left="1440" w:hanging="720"/>
      </w:pPr>
      <w:r>
        <w:t>9.2.2</w:t>
      </w:r>
      <w:r>
        <w:tab/>
        <w:t>the third-party public and products liability insurance contains an ‘indemnity to principals’ clause for the Buyer’s benefit</w:t>
      </w:r>
    </w:p>
    <w:p w14:paraId="46C9896F" w14:textId="77777777" w:rsidR="000D1830" w:rsidRDefault="000D1830">
      <w:pPr>
        <w:ind w:firstLine="720"/>
      </w:pPr>
    </w:p>
    <w:p w14:paraId="46C98970" w14:textId="77777777" w:rsidR="000D1830" w:rsidRDefault="00FD46F3">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46C98971" w14:textId="77777777" w:rsidR="000D1830" w:rsidRDefault="000D1830">
      <w:pPr>
        <w:ind w:firstLine="720"/>
      </w:pPr>
    </w:p>
    <w:p w14:paraId="46C98972" w14:textId="77777777" w:rsidR="000D1830" w:rsidRDefault="00FD46F3">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6C98973" w14:textId="77777777" w:rsidR="000D1830" w:rsidRDefault="000D1830">
      <w:pPr>
        <w:ind w:left="720"/>
      </w:pPr>
    </w:p>
    <w:p w14:paraId="46C98974" w14:textId="77777777" w:rsidR="000D1830" w:rsidRDefault="00FD46F3">
      <w:pPr>
        <w:ind w:left="720" w:hanging="720"/>
      </w:pPr>
      <w:r>
        <w:t>9.3</w:t>
      </w:r>
      <w:r>
        <w:tab/>
        <w:t>If requested by the Buyer, the Supplier will obtain additional insurance policies, or extend existing policies bought under the Framework Agreement.</w:t>
      </w:r>
    </w:p>
    <w:p w14:paraId="46C98975" w14:textId="77777777" w:rsidR="000D1830" w:rsidRDefault="000D1830">
      <w:pPr>
        <w:ind w:left="720" w:firstLine="720"/>
      </w:pPr>
    </w:p>
    <w:p w14:paraId="46C98976" w14:textId="77777777" w:rsidR="000D1830" w:rsidRDefault="00FD46F3">
      <w:pPr>
        <w:ind w:left="720" w:hanging="720"/>
      </w:pPr>
      <w:r>
        <w:t>9.4</w:t>
      </w:r>
      <w:r>
        <w:tab/>
        <w:t>If requested by the Buyer, the Supplier will provide the following to show compliance with this clause:</w:t>
      </w:r>
    </w:p>
    <w:p w14:paraId="46C98977" w14:textId="77777777" w:rsidR="000D1830" w:rsidRDefault="000D1830">
      <w:pPr>
        <w:ind w:firstLine="720"/>
      </w:pPr>
    </w:p>
    <w:p w14:paraId="46C98978" w14:textId="77777777" w:rsidR="000D1830" w:rsidRDefault="00FD46F3">
      <w:pPr>
        <w:ind w:firstLine="720"/>
      </w:pPr>
      <w:r>
        <w:t>9.4.1</w:t>
      </w:r>
      <w:r>
        <w:tab/>
        <w:t>a broker's verification of insurance</w:t>
      </w:r>
    </w:p>
    <w:p w14:paraId="46C98979" w14:textId="77777777" w:rsidR="000D1830" w:rsidRDefault="000D1830">
      <w:pPr>
        <w:ind w:firstLine="720"/>
      </w:pPr>
    </w:p>
    <w:p w14:paraId="46C9897A" w14:textId="77777777" w:rsidR="000D1830" w:rsidRDefault="00FD46F3">
      <w:pPr>
        <w:ind w:firstLine="720"/>
      </w:pPr>
      <w:r>
        <w:t>9.4.2</w:t>
      </w:r>
      <w:r>
        <w:tab/>
        <w:t>receipts for the insurance premium</w:t>
      </w:r>
    </w:p>
    <w:p w14:paraId="46C9897B" w14:textId="77777777" w:rsidR="000D1830" w:rsidRDefault="000D1830">
      <w:pPr>
        <w:ind w:firstLine="720"/>
      </w:pPr>
    </w:p>
    <w:p w14:paraId="46C9897C" w14:textId="77777777" w:rsidR="000D1830" w:rsidRDefault="00FD46F3">
      <w:pPr>
        <w:ind w:firstLine="720"/>
      </w:pPr>
      <w:r>
        <w:t>9.4.3</w:t>
      </w:r>
      <w:r>
        <w:tab/>
        <w:t>evidence of payment of the latest premiums due</w:t>
      </w:r>
    </w:p>
    <w:p w14:paraId="46C9897D" w14:textId="77777777" w:rsidR="000D1830" w:rsidRDefault="000D1830">
      <w:pPr>
        <w:ind w:firstLine="720"/>
      </w:pPr>
    </w:p>
    <w:p w14:paraId="46C9897E" w14:textId="77777777" w:rsidR="000D1830" w:rsidRDefault="00FD46F3">
      <w:pPr>
        <w:ind w:left="720" w:hanging="720"/>
      </w:pPr>
      <w:r>
        <w:t>9.5</w:t>
      </w:r>
      <w:r>
        <w:tab/>
        <w:t>Insurance will not relieve the Supplier of any liabilities under the Framework Agreement or this Call-Off Contract and the Supplier will:</w:t>
      </w:r>
    </w:p>
    <w:p w14:paraId="46C9897F" w14:textId="77777777" w:rsidR="000D1830" w:rsidRDefault="000D1830">
      <w:pPr>
        <w:ind w:firstLine="720"/>
      </w:pPr>
    </w:p>
    <w:p w14:paraId="46C98980" w14:textId="77777777" w:rsidR="000D1830" w:rsidRDefault="00FD46F3">
      <w:pPr>
        <w:ind w:left="1440" w:hanging="720"/>
      </w:pPr>
      <w:r>
        <w:t>9.5.1</w:t>
      </w:r>
      <w:r>
        <w:tab/>
        <w:t>take all risk control measures using Good Industry Practice, including the investigation and reports of claims to insurers</w:t>
      </w:r>
    </w:p>
    <w:p w14:paraId="46C98981" w14:textId="77777777" w:rsidR="000D1830" w:rsidRDefault="000D1830">
      <w:pPr>
        <w:ind w:left="720" w:firstLine="720"/>
      </w:pPr>
    </w:p>
    <w:p w14:paraId="46C98982" w14:textId="77777777" w:rsidR="000D1830" w:rsidRDefault="00FD46F3">
      <w:pPr>
        <w:ind w:left="1440" w:hanging="720"/>
      </w:pPr>
      <w:r>
        <w:t>9.5.2</w:t>
      </w:r>
      <w:r>
        <w:tab/>
        <w:t>promptly notify the insurers in writing of any relevant material fact under any Insurances</w:t>
      </w:r>
    </w:p>
    <w:p w14:paraId="46C98983" w14:textId="77777777" w:rsidR="000D1830" w:rsidRDefault="000D1830">
      <w:pPr>
        <w:ind w:firstLine="720"/>
      </w:pPr>
    </w:p>
    <w:p w14:paraId="46C98984" w14:textId="77777777" w:rsidR="000D1830" w:rsidRDefault="00FD46F3">
      <w:pPr>
        <w:ind w:left="1440" w:hanging="720"/>
      </w:pPr>
      <w:r>
        <w:t>9.5.3</w:t>
      </w:r>
      <w:r>
        <w:tab/>
        <w:t>hold all insurance policies and require any broker arranging the insurance to hold any insurance slips and other evidence of insurance</w:t>
      </w:r>
    </w:p>
    <w:p w14:paraId="46C98985" w14:textId="77777777" w:rsidR="000D1830" w:rsidRDefault="00FD46F3">
      <w:r>
        <w:t xml:space="preserve"> </w:t>
      </w:r>
    </w:p>
    <w:p w14:paraId="46C98986" w14:textId="77777777" w:rsidR="000D1830" w:rsidRDefault="00FD46F3">
      <w:pPr>
        <w:ind w:left="720" w:hanging="720"/>
      </w:pPr>
      <w:r>
        <w:t>9.6</w:t>
      </w:r>
      <w:r>
        <w:tab/>
        <w:t>The Supplier will not do or omit to do anything, which would destroy or impair the legal validity of the insurance.</w:t>
      </w:r>
    </w:p>
    <w:p w14:paraId="46C98987" w14:textId="77777777" w:rsidR="000D1830" w:rsidRDefault="000D1830">
      <w:pPr>
        <w:ind w:firstLine="720"/>
      </w:pPr>
    </w:p>
    <w:p w14:paraId="46C98988" w14:textId="77777777" w:rsidR="000D1830" w:rsidRDefault="00FD46F3">
      <w:pPr>
        <w:ind w:left="720" w:hanging="720"/>
      </w:pPr>
      <w:r>
        <w:lastRenderedPageBreak/>
        <w:t>9.7</w:t>
      </w:r>
      <w:r>
        <w:tab/>
        <w:t>The Supplier will notify CCS and the Buyer as soon as possible if any insurance policies have been, or are due to be, cancelled, suspended, Ended or not renewed.</w:t>
      </w:r>
    </w:p>
    <w:p w14:paraId="46C98989" w14:textId="77777777" w:rsidR="000D1830" w:rsidRDefault="000D1830">
      <w:pPr>
        <w:ind w:firstLine="720"/>
      </w:pPr>
    </w:p>
    <w:p w14:paraId="46C9898A" w14:textId="77777777" w:rsidR="000D1830" w:rsidRDefault="00FD46F3">
      <w:r>
        <w:t>9.8</w:t>
      </w:r>
      <w:r>
        <w:tab/>
        <w:t>The Supplier will be liable for the payment of any:</w:t>
      </w:r>
    </w:p>
    <w:p w14:paraId="46C9898B" w14:textId="77777777" w:rsidR="000D1830" w:rsidRDefault="000D1830"/>
    <w:p w14:paraId="46C9898C" w14:textId="77777777" w:rsidR="000D1830" w:rsidRDefault="00FD46F3">
      <w:pPr>
        <w:ind w:firstLine="720"/>
      </w:pPr>
      <w:r>
        <w:t>9.8.1</w:t>
      </w:r>
      <w:r>
        <w:tab/>
        <w:t>premiums, which it will pay promptly</w:t>
      </w:r>
    </w:p>
    <w:p w14:paraId="46C9898D" w14:textId="77777777" w:rsidR="000D1830" w:rsidRDefault="00FD46F3">
      <w:pPr>
        <w:ind w:firstLine="720"/>
      </w:pPr>
      <w:r>
        <w:t>9.8.2</w:t>
      </w:r>
      <w:r>
        <w:tab/>
        <w:t>excess or deductibles and will not be entitled to recover this from the Buyer</w:t>
      </w:r>
    </w:p>
    <w:p w14:paraId="46C9898E" w14:textId="77777777" w:rsidR="000D1830" w:rsidRDefault="000D1830">
      <w:pPr>
        <w:ind w:firstLine="720"/>
      </w:pPr>
    </w:p>
    <w:p w14:paraId="46C9898F" w14:textId="77777777" w:rsidR="000D1830" w:rsidRDefault="00FD46F3">
      <w:pPr>
        <w:pStyle w:val="Heading3"/>
        <w:spacing w:before="0" w:after="100"/>
        <w:rPr>
          <w:color w:val="auto"/>
        </w:rPr>
      </w:pPr>
      <w:r>
        <w:rPr>
          <w:color w:val="auto"/>
        </w:rPr>
        <w:t>10.</w:t>
      </w:r>
      <w:r>
        <w:rPr>
          <w:color w:val="auto"/>
        </w:rPr>
        <w:tab/>
        <w:t>Confidentiality</w:t>
      </w:r>
    </w:p>
    <w:p w14:paraId="46C98990" w14:textId="77777777" w:rsidR="000D1830" w:rsidRDefault="00FD46F3">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6C98991" w14:textId="77777777" w:rsidR="000D1830" w:rsidRDefault="000D1830">
      <w:pPr>
        <w:ind w:left="720" w:hanging="720"/>
      </w:pPr>
    </w:p>
    <w:p w14:paraId="46C98992" w14:textId="77777777" w:rsidR="000D1830" w:rsidRDefault="00FD46F3">
      <w:pPr>
        <w:pStyle w:val="Heading3"/>
        <w:spacing w:before="0" w:after="100"/>
        <w:rPr>
          <w:color w:val="auto"/>
        </w:rPr>
      </w:pPr>
      <w:r>
        <w:rPr>
          <w:color w:val="auto"/>
        </w:rPr>
        <w:t>11.</w:t>
      </w:r>
      <w:r>
        <w:rPr>
          <w:color w:val="auto"/>
        </w:rPr>
        <w:tab/>
        <w:t>Intellectual Property Rights</w:t>
      </w:r>
    </w:p>
    <w:p w14:paraId="46C98993" w14:textId="77777777" w:rsidR="000D1830" w:rsidRDefault="00FD46F3">
      <w:pPr>
        <w:ind w:left="720" w:hanging="720"/>
      </w:pPr>
      <w:r>
        <w:t>11.1</w:t>
      </w:r>
      <w:r>
        <w:tab/>
        <w:t>Unless otherwise specified in this Call-Off Contract, a Party will not acquire any right, title or interest in or to the Intellectual Property Rights (IPRs) of the other Party or its Licensors.</w:t>
      </w:r>
    </w:p>
    <w:p w14:paraId="46C98994" w14:textId="77777777" w:rsidR="000D1830" w:rsidRDefault="000D1830">
      <w:pPr>
        <w:ind w:left="720"/>
      </w:pPr>
    </w:p>
    <w:p w14:paraId="46C98995" w14:textId="77777777" w:rsidR="000D1830" w:rsidRDefault="00FD46F3">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46C98996" w14:textId="77777777" w:rsidR="000D1830" w:rsidRDefault="000D1830">
      <w:pPr>
        <w:ind w:left="720"/>
      </w:pPr>
    </w:p>
    <w:p w14:paraId="46C98997" w14:textId="77777777" w:rsidR="000D1830" w:rsidRDefault="00FD46F3">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46C98998" w14:textId="77777777" w:rsidR="000D1830" w:rsidRDefault="000D1830">
      <w:pPr>
        <w:ind w:left="720"/>
      </w:pPr>
    </w:p>
    <w:p w14:paraId="46C98999" w14:textId="77777777" w:rsidR="000D1830" w:rsidRDefault="00FD46F3">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6C9899A" w14:textId="77777777" w:rsidR="000D1830" w:rsidRDefault="000D1830">
      <w:pPr>
        <w:ind w:left="720"/>
      </w:pPr>
    </w:p>
    <w:p w14:paraId="46C9899B" w14:textId="77777777" w:rsidR="000D1830" w:rsidRDefault="00FD46F3">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46C9899C" w14:textId="77777777" w:rsidR="000D1830" w:rsidRDefault="000D1830">
      <w:pPr>
        <w:ind w:firstLine="720"/>
      </w:pPr>
    </w:p>
    <w:p w14:paraId="46C9899D" w14:textId="77777777" w:rsidR="000D1830" w:rsidRDefault="00FD46F3">
      <w:pPr>
        <w:ind w:firstLine="720"/>
      </w:pPr>
      <w:r>
        <w:t>11.5.1</w:t>
      </w:r>
      <w:r>
        <w:tab/>
        <w:t>rights granted to the Buyer under this Call-Off Contract</w:t>
      </w:r>
    </w:p>
    <w:p w14:paraId="46C9899E" w14:textId="77777777" w:rsidR="000D1830" w:rsidRDefault="000D1830"/>
    <w:p w14:paraId="46C9899F" w14:textId="77777777" w:rsidR="000D1830" w:rsidRDefault="00FD46F3">
      <w:pPr>
        <w:ind w:firstLine="720"/>
      </w:pPr>
      <w:r>
        <w:t>11.5.2</w:t>
      </w:r>
      <w:r>
        <w:tab/>
        <w:t>Supplier’s performance of the Services</w:t>
      </w:r>
    </w:p>
    <w:p w14:paraId="46C989A0" w14:textId="77777777" w:rsidR="000D1830" w:rsidRDefault="000D1830">
      <w:pPr>
        <w:ind w:firstLine="720"/>
      </w:pPr>
    </w:p>
    <w:p w14:paraId="46C989A1" w14:textId="77777777" w:rsidR="000D1830" w:rsidRDefault="00FD46F3">
      <w:pPr>
        <w:ind w:firstLine="720"/>
      </w:pPr>
      <w:r>
        <w:t>11.5.3</w:t>
      </w:r>
      <w:r>
        <w:tab/>
        <w:t>use by the Buyer of the Services</w:t>
      </w:r>
    </w:p>
    <w:p w14:paraId="46C989A2" w14:textId="77777777" w:rsidR="000D1830" w:rsidRDefault="000D1830">
      <w:pPr>
        <w:ind w:firstLine="720"/>
      </w:pPr>
    </w:p>
    <w:p w14:paraId="46C989A3" w14:textId="77777777" w:rsidR="000D1830" w:rsidRDefault="00FD46F3">
      <w:pPr>
        <w:ind w:left="720" w:hanging="720"/>
      </w:pPr>
      <w:r>
        <w:t>11.6</w:t>
      </w:r>
      <w:r>
        <w:tab/>
        <w:t>If an IPR Claim is made, or is likely to be made, the Supplier will immediately notify the Buyer in writing and must at its own expense after written approval from the Buyer, either:</w:t>
      </w:r>
    </w:p>
    <w:p w14:paraId="46C989A4" w14:textId="77777777" w:rsidR="000D1830" w:rsidRDefault="000D1830">
      <w:pPr>
        <w:ind w:firstLine="720"/>
      </w:pPr>
    </w:p>
    <w:p w14:paraId="46C989A5" w14:textId="77777777" w:rsidR="000D1830" w:rsidRDefault="00FD46F3">
      <w:pPr>
        <w:ind w:left="1440" w:hanging="720"/>
      </w:pPr>
      <w:r>
        <w:t>11.6.1</w:t>
      </w:r>
      <w:r>
        <w:tab/>
        <w:t>modify the relevant part of the Services without reducing its functionality or performance</w:t>
      </w:r>
    </w:p>
    <w:p w14:paraId="46C989A6" w14:textId="77777777" w:rsidR="000D1830" w:rsidRDefault="000D1830">
      <w:pPr>
        <w:ind w:left="720" w:firstLine="720"/>
      </w:pPr>
    </w:p>
    <w:p w14:paraId="46C989A7" w14:textId="77777777" w:rsidR="000D1830" w:rsidRDefault="00FD46F3">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46C989A8" w14:textId="77777777" w:rsidR="000D1830" w:rsidRDefault="000D1830">
      <w:pPr>
        <w:ind w:left="1440"/>
      </w:pPr>
    </w:p>
    <w:p w14:paraId="46C989A9" w14:textId="77777777" w:rsidR="000D1830" w:rsidRDefault="00FD46F3">
      <w:pPr>
        <w:ind w:left="1440" w:hanging="720"/>
      </w:pPr>
      <w:r>
        <w:t>11.6.3</w:t>
      </w:r>
      <w:r>
        <w:tab/>
        <w:t>buy a licence to use and supply the Services which are the subject of the alleged infringement, on terms acceptable to the Buyer</w:t>
      </w:r>
    </w:p>
    <w:p w14:paraId="46C989AA" w14:textId="77777777" w:rsidR="000D1830" w:rsidRDefault="000D1830">
      <w:pPr>
        <w:ind w:left="720" w:firstLine="720"/>
      </w:pPr>
    </w:p>
    <w:p w14:paraId="46C989AB" w14:textId="77777777" w:rsidR="000D1830" w:rsidRDefault="00FD46F3">
      <w:r>
        <w:t>11.7</w:t>
      </w:r>
      <w:r>
        <w:tab/>
        <w:t>Clause 11.5 will not apply if the IPR Claim is from:</w:t>
      </w:r>
    </w:p>
    <w:p w14:paraId="46C989AC" w14:textId="77777777" w:rsidR="000D1830" w:rsidRDefault="000D1830"/>
    <w:p w14:paraId="46C989AD" w14:textId="77777777" w:rsidR="000D1830" w:rsidRDefault="00FD46F3">
      <w:pPr>
        <w:ind w:left="1440" w:hanging="720"/>
      </w:pPr>
      <w:r>
        <w:t>11.7.2</w:t>
      </w:r>
      <w:r>
        <w:tab/>
        <w:t>the use of data supplied by the Buyer which the Supplier isn’t required to verify under this Call-Off Contract</w:t>
      </w:r>
    </w:p>
    <w:p w14:paraId="46C989AE" w14:textId="77777777" w:rsidR="000D1830" w:rsidRDefault="000D1830">
      <w:pPr>
        <w:ind w:left="720" w:firstLine="720"/>
      </w:pPr>
    </w:p>
    <w:p w14:paraId="46C989AF" w14:textId="77777777" w:rsidR="000D1830" w:rsidRDefault="00FD46F3">
      <w:pPr>
        <w:ind w:firstLine="720"/>
      </w:pPr>
      <w:r>
        <w:t>11.7.3</w:t>
      </w:r>
      <w:r>
        <w:tab/>
        <w:t>other material provided by the Buyer necessary for the Services</w:t>
      </w:r>
    </w:p>
    <w:p w14:paraId="46C989B0" w14:textId="77777777" w:rsidR="000D1830" w:rsidRDefault="000D1830">
      <w:pPr>
        <w:ind w:firstLine="720"/>
      </w:pPr>
    </w:p>
    <w:p w14:paraId="46C989B1" w14:textId="77777777" w:rsidR="000D1830" w:rsidRDefault="00FD46F3">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46C989B2" w14:textId="77777777" w:rsidR="000D1830" w:rsidRDefault="000D1830">
      <w:pPr>
        <w:ind w:left="720" w:hanging="720"/>
      </w:pPr>
    </w:p>
    <w:p w14:paraId="46C989B3" w14:textId="77777777" w:rsidR="000D1830" w:rsidRDefault="00FD46F3">
      <w:pPr>
        <w:pStyle w:val="Heading3"/>
        <w:rPr>
          <w:color w:val="auto"/>
        </w:rPr>
      </w:pPr>
      <w:r>
        <w:rPr>
          <w:color w:val="auto"/>
        </w:rPr>
        <w:t>12.</w:t>
      </w:r>
      <w:r>
        <w:rPr>
          <w:color w:val="auto"/>
        </w:rPr>
        <w:tab/>
        <w:t>Protection of information</w:t>
      </w:r>
    </w:p>
    <w:p w14:paraId="46C989B4" w14:textId="77777777" w:rsidR="000D1830" w:rsidRDefault="00FD46F3">
      <w:pPr>
        <w:spacing w:before="240" w:after="240"/>
      </w:pPr>
      <w:r>
        <w:t>12.1</w:t>
      </w:r>
      <w:r>
        <w:tab/>
        <w:t>The Supplier must:</w:t>
      </w:r>
    </w:p>
    <w:p w14:paraId="46C989B5" w14:textId="77777777" w:rsidR="000D1830" w:rsidRDefault="00FD46F3">
      <w:pPr>
        <w:ind w:left="1440" w:hanging="720"/>
      </w:pPr>
      <w:r>
        <w:t>12.1.1</w:t>
      </w:r>
      <w:r>
        <w:tab/>
        <w:t>comply with the Buyer’s written instructions and this Call-Off Contract when Processing Buyer Personal Data</w:t>
      </w:r>
    </w:p>
    <w:p w14:paraId="46C989B6" w14:textId="77777777" w:rsidR="000D1830" w:rsidRDefault="000D1830">
      <w:pPr>
        <w:ind w:left="720" w:firstLine="720"/>
      </w:pPr>
    </w:p>
    <w:p w14:paraId="46C989B7" w14:textId="77777777" w:rsidR="000D1830" w:rsidRDefault="00FD46F3">
      <w:pPr>
        <w:ind w:left="1440" w:hanging="720"/>
      </w:pPr>
      <w:r>
        <w:t>12.1.2</w:t>
      </w:r>
      <w:r>
        <w:tab/>
        <w:t>only Process the Buyer Personal Data as necessary for the provision of the G-Cloud Services or as required by Law or any Regulatory Body</w:t>
      </w:r>
    </w:p>
    <w:p w14:paraId="46C989B8" w14:textId="77777777" w:rsidR="000D1830" w:rsidRDefault="000D1830">
      <w:pPr>
        <w:ind w:left="720" w:firstLine="720"/>
      </w:pPr>
    </w:p>
    <w:p w14:paraId="46C989B9" w14:textId="77777777" w:rsidR="000D1830" w:rsidRDefault="00FD46F3">
      <w:pPr>
        <w:ind w:left="1440" w:hanging="720"/>
      </w:pPr>
      <w:r>
        <w:t>12.1.3</w:t>
      </w:r>
      <w:r>
        <w:tab/>
        <w:t>take reasonable steps to ensure that any Supplier Staff who have access to Buyer Personal Data act in compliance with Supplier's security processes</w:t>
      </w:r>
    </w:p>
    <w:p w14:paraId="46C989BA" w14:textId="77777777" w:rsidR="000D1830" w:rsidRDefault="000D1830">
      <w:pPr>
        <w:ind w:left="720" w:firstLine="720"/>
      </w:pPr>
    </w:p>
    <w:p w14:paraId="46C989BB" w14:textId="77777777" w:rsidR="000D1830" w:rsidRDefault="00FD46F3">
      <w:pPr>
        <w:ind w:left="720" w:hanging="720"/>
      </w:pPr>
      <w:r>
        <w:t>12.2</w:t>
      </w:r>
      <w:r>
        <w:tab/>
        <w:t>The Supplier must fully assist with any complaint or request for Buyer Personal Data including by:</w:t>
      </w:r>
    </w:p>
    <w:p w14:paraId="46C989BC" w14:textId="77777777" w:rsidR="000D1830" w:rsidRDefault="000D1830">
      <w:pPr>
        <w:ind w:firstLine="720"/>
      </w:pPr>
    </w:p>
    <w:p w14:paraId="46C989BD" w14:textId="77777777" w:rsidR="000D1830" w:rsidRDefault="00FD46F3">
      <w:pPr>
        <w:ind w:firstLine="720"/>
      </w:pPr>
      <w:r>
        <w:t>12.2.1</w:t>
      </w:r>
      <w:r>
        <w:tab/>
        <w:t>providing the Buyer with full details of the complaint or request</w:t>
      </w:r>
    </w:p>
    <w:p w14:paraId="46C989BE" w14:textId="77777777" w:rsidR="000D1830" w:rsidRDefault="000D1830">
      <w:pPr>
        <w:ind w:firstLine="720"/>
      </w:pPr>
    </w:p>
    <w:p w14:paraId="46C989BF" w14:textId="77777777" w:rsidR="000D1830" w:rsidRDefault="00FD46F3">
      <w:pPr>
        <w:ind w:left="1440" w:hanging="720"/>
      </w:pPr>
      <w:r>
        <w:t>12.2.2</w:t>
      </w:r>
      <w:r>
        <w:tab/>
        <w:t>complying with a data access request within the timescales in the Data Protection Legislation and following the Buyer’s instructions</w:t>
      </w:r>
    </w:p>
    <w:p w14:paraId="46C989C0" w14:textId="77777777" w:rsidR="000D1830" w:rsidRDefault="000D1830"/>
    <w:p w14:paraId="46C989C1" w14:textId="77777777" w:rsidR="000D1830" w:rsidRDefault="00FD46F3">
      <w:pPr>
        <w:ind w:left="1440" w:hanging="720"/>
      </w:pPr>
      <w:r>
        <w:t>12.2.3</w:t>
      </w:r>
      <w:r>
        <w:tab/>
        <w:t>providing the Buyer with any Buyer Personal Data it holds about a Data Subject (within the timescales required by the Buyer)</w:t>
      </w:r>
    </w:p>
    <w:p w14:paraId="46C989C2" w14:textId="77777777" w:rsidR="000D1830" w:rsidRDefault="000D1830">
      <w:pPr>
        <w:ind w:left="720" w:firstLine="720"/>
      </w:pPr>
    </w:p>
    <w:p w14:paraId="46C989C3" w14:textId="77777777" w:rsidR="000D1830" w:rsidRDefault="00FD46F3">
      <w:pPr>
        <w:ind w:firstLine="720"/>
      </w:pPr>
      <w:r>
        <w:t>12.2.4</w:t>
      </w:r>
      <w:r>
        <w:tab/>
        <w:t>providing the Buyer with any information requested by the Data Subject</w:t>
      </w:r>
    </w:p>
    <w:p w14:paraId="46C989C4" w14:textId="77777777" w:rsidR="000D1830" w:rsidRDefault="000D1830">
      <w:pPr>
        <w:ind w:firstLine="720"/>
      </w:pPr>
    </w:p>
    <w:p w14:paraId="46C989C5" w14:textId="77777777" w:rsidR="000D1830" w:rsidRDefault="00FD46F3">
      <w:pPr>
        <w:ind w:left="720" w:hanging="720"/>
      </w:pPr>
      <w:r>
        <w:t>12.3</w:t>
      </w:r>
      <w:r>
        <w:tab/>
        <w:t>The Supplier must get prior written consent from the Buyer to transfer Buyer Personal Data to any other person (including any Subcontractors) for the provision of the G-Cloud Services.</w:t>
      </w:r>
    </w:p>
    <w:p w14:paraId="46C989C6" w14:textId="77777777" w:rsidR="000D1830" w:rsidRDefault="000D1830">
      <w:pPr>
        <w:ind w:left="720" w:hanging="720"/>
      </w:pPr>
    </w:p>
    <w:p w14:paraId="46C989C7" w14:textId="77777777" w:rsidR="000D1830" w:rsidRDefault="00FD46F3">
      <w:pPr>
        <w:pStyle w:val="Heading3"/>
        <w:rPr>
          <w:color w:val="auto"/>
        </w:rPr>
      </w:pPr>
      <w:r>
        <w:rPr>
          <w:color w:val="auto"/>
        </w:rPr>
        <w:lastRenderedPageBreak/>
        <w:t>13.</w:t>
      </w:r>
      <w:r>
        <w:rPr>
          <w:color w:val="auto"/>
        </w:rPr>
        <w:tab/>
        <w:t>Buyer data</w:t>
      </w:r>
    </w:p>
    <w:p w14:paraId="46C989C8" w14:textId="77777777" w:rsidR="000D1830" w:rsidRDefault="00FD46F3">
      <w:pPr>
        <w:spacing w:before="240" w:after="240"/>
      </w:pPr>
      <w:r>
        <w:t>13.1</w:t>
      </w:r>
      <w:r>
        <w:tab/>
        <w:t>The Supplier must not remove any proprietary notices in the Buyer Data.</w:t>
      </w:r>
    </w:p>
    <w:p w14:paraId="46C989C9" w14:textId="77777777" w:rsidR="000D1830" w:rsidRDefault="00FD46F3">
      <w:r>
        <w:t>13.2</w:t>
      </w:r>
      <w:r>
        <w:tab/>
        <w:t>The Supplier will not store or use Buyer Data except if necessary to fulfil its</w:t>
      </w:r>
    </w:p>
    <w:p w14:paraId="46C989CA" w14:textId="77777777" w:rsidR="000D1830" w:rsidRDefault="00FD46F3">
      <w:pPr>
        <w:ind w:firstLine="720"/>
      </w:pPr>
      <w:r>
        <w:t>obligations.</w:t>
      </w:r>
    </w:p>
    <w:p w14:paraId="46C989CB" w14:textId="77777777" w:rsidR="000D1830" w:rsidRDefault="000D1830"/>
    <w:p w14:paraId="46C989CC" w14:textId="77777777" w:rsidR="000D1830" w:rsidRDefault="00FD46F3">
      <w:pPr>
        <w:ind w:left="720" w:hanging="720"/>
      </w:pPr>
      <w:r>
        <w:t>13.3</w:t>
      </w:r>
      <w:r>
        <w:tab/>
        <w:t>If Buyer Data is processed by the Supplier, the Supplier will supply the data to the Buyer as requested.</w:t>
      </w:r>
    </w:p>
    <w:p w14:paraId="46C989CD" w14:textId="77777777" w:rsidR="000D1830" w:rsidRDefault="000D1830"/>
    <w:p w14:paraId="46C989CE" w14:textId="77777777" w:rsidR="000D1830" w:rsidRDefault="00FD46F3">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46C989CF" w14:textId="77777777" w:rsidR="000D1830" w:rsidRDefault="000D1830">
      <w:pPr>
        <w:ind w:left="720"/>
      </w:pPr>
    </w:p>
    <w:p w14:paraId="46C989D0" w14:textId="77777777" w:rsidR="000D1830" w:rsidRDefault="00FD46F3">
      <w:pPr>
        <w:ind w:left="720" w:hanging="720"/>
      </w:pPr>
      <w:r>
        <w:t>13.5</w:t>
      </w:r>
      <w:r>
        <w:tab/>
        <w:t>The Supplier will preserve the integrity of Buyer Data processed by the Supplier and prevent its corruption and loss.</w:t>
      </w:r>
    </w:p>
    <w:p w14:paraId="46C989D1" w14:textId="77777777" w:rsidR="000D1830" w:rsidRDefault="000D1830">
      <w:pPr>
        <w:ind w:firstLine="720"/>
      </w:pPr>
    </w:p>
    <w:p w14:paraId="46C989D2" w14:textId="77777777" w:rsidR="000D1830" w:rsidRDefault="00FD46F3">
      <w:pPr>
        <w:ind w:left="720" w:hanging="720"/>
      </w:pPr>
      <w:r>
        <w:t>13.6</w:t>
      </w:r>
      <w:r>
        <w:tab/>
        <w:t>The Supplier will ensure that any Supplier system which holds any protectively marked Buyer Data or other government data will comply with:</w:t>
      </w:r>
    </w:p>
    <w:p w14:paraId="46C989D3" w14:textId="77777777" w:rsidR="000D1830" w:rsidRDefault="000D1830">
      <w:pPr>
        <w:ind w:firstLine="720"/>
      </w:pPr>
    </w:p>
    <w:p w14:paraId="46C989D4" w14:textId="77777777" w:rsidR="000D1830" w:rsidRDefault="00FD46F3">
      <w:pPr>
        <w:ind w:firstLine="720"/>
      </w:pPr>
      <w:r>
        <w:t>13.6.1</w:t>
      </w:r>
      <w:r>
        <w:tab/>
        <w:t>the principles in the Security Policy Framework:</w:t>
      </w:r>
      <w:hyperlink r:id="rId17" w:history="1">
        <w:r>
          <w:rPr>
            <w:u w:val="single"/>
          </w:rPr>
          <w:t xml:space="preserve"> </w:t>
        </w:r>
      </w:hyperlink>
    </w:p>
    <w:p w14:paraId="46C989D5" w14:textId="77777777" w:rsidR="000D1830" w:rsidRDefault="00EE563F">
      <w:pPr>
        <w:ind w:left="1440"/>
      </w:pPr>
      <w:hyperlink r:id="rId18" w:history="1">
        <w:r w:rsidR="00FD46F3">
          <w:rPr>
            <w:rStyle w:val="Hyperlink"/>
          </w:rPr>
          <w:t>https://www.gov.uk/government/publications/security-policy-framework</w:t>
        </w:r>
      </w:hyperlink>
      <w:r w:rsidR="00FD46F3">
        <w:rPr>
          <w:rStyle w:val="Hyperlink"/>
          <w:color w:val="auto"/>
        </w:rPr>
        <w:t xml:space="preserve"> and</w:t>
      </w:r>
    </w:p>
    <w:p w14:paraId="46C989D6" w14:textId="77777777" w:rsidR="000D1830" w:rsidRDefault="00FD46F3">
      <w:pPr>
        <w:ind w:left="1440"/>
      </w:pPr>
      <w:r>
        <w:t>the Government Security Classification policy:</w:t>
      </w:r>
      <w:r>
        <w:rPr>
          <w:u w:val="single"/>
        </w:rPr>
        <w:t xml:space="preserve"> https:/www.gov.uk/government/publications/government-security-classifications</w:t>
      </w:r>
    </w:p>
    <w:p w14:paraId="46C989D7" w14:textId="77777777" w:rsidR="000D1830" w:rsidRDefault="000D1830">
      <w:pPr>
        <w:ind w:left="1440"/>
      </w:pPr>
    </w:p>
    <w:p w14:paraId="46C989D8" w14:textId="77777777" w:rsidR="000D1830" w:rsidRDefault="00FD46F3">
      <w:pPr>
        <w:ind w:firstLine="720"/>
      </w:pPr>
      <w:r>
        <w:t>13.6.2</w:t>
      </w:r>
      <w:r>
        <w:tab/>
        <w:t>guidance issued by the Centre for Protection of National Infrastructure on</w:t>
      </w:r>
    </w:p>
    <w:p w14:paraId="46C989D9" w14:textId="77777777" w:rsidR="000D1830" w:rsidRDefault="00FD46F3">
      <w:pPr>
        <w:ind w:left="720" w:firstLine="720"/>
      </w:pPr>
      <w:r>
        <w:t>Risk Management:</w:t>
      </w:r>
    </w:p>
    <w:p w14:paraId="46C989DA" w14:textId="77777777" w:rsidR="000D1830" w:rsidRDefault="00EE563F">
      <w:pPr>
        <w:ind w:left="720" w:firstLine="720"/>
      </w:pPr>
      <w:hyperlink r:id="rId19" w:history="1">
        <w:r w:rsidR="00FD46F3">
          <w:rPr>
            <w:u w:val="single"/>
          </w:rPr>
          <w:t>https://www.cpni.gov.uk/content/adopt-risk-management-approach</w:t>
        </w:r>
      </w:hyperlink>
      <w:r w:rsidR="00FD46F3">
        <w:t xml:space="preserve"> and</w:t>
      </w:r>
    </w:p>
    <w:p w14:paraId="46C989DB" w14:textId="77777777" w:rsidR="000D1830" w:rsidRDefault="00FD46F3">
      <w:pPr>
        <w:ind w:left="720" w:firstLine="720"/>
      </w:pPr>
      <w:r>
        <w:t>Protection of Sensitive Information and Assets:</w:t>
      </w:r>
      <w:hyperlink r:id="rId20" w:history="1">
        <w:r>
          <w:rPr>
            <w:u w:val="single"/>
          </w:rPr>
          <w:t xml:space="preserve"> </w:t>
        </w:r>
      </w:hyperlink>
    </w:p>
    <w:p w14:paraId="46C989DC" w14:textId="77777777" w:rsidR="000D1830" w:rsidRDefault="00EE563F">
      <w:pPr>
        <w:ind w:left="720" w:firstLine="720"/>
      </w:pPr>
      <w:hyperlink r:id="rId21" w:history="1">
        <w:r w:rsidR="00FD46F3">
          <w:rPr>
            <w:u w:val="single"/>
          </w:rPr>
          <w:t>https://www.cpni.gov.uk/protection-sensitive-information-and-assets</w:t>
        </w:r>
      </w:hyperlink>
    </w:p>
    <w:p w14:paraId="46C989DD" w14:textId="77777777" w:rsidR="000D1830" w:rsidRDefault="000D1830">
      <w:pPr>
        <w:ind w:left="720" w:firstLine="720"/>
      </w:pPr>
    </w:p>
    <w:p w14:paraId="46C989DE" w14:textId="77777777" w:rsidR="000D1830" w:rsidRDefault="00FD46F3">
      <w:pPr>
        <w:ind w:left="1440" w:hanging="720"/>
      </w:pPr>
      <w:r>
        <w:t>13.6.3</w:t>
      </w:r>
      <w:r>
        <w:tab/>
        <w:t>the National Cyber Security Centre’s (NCSC) information risk management guidance:</w:t>
      </w:r>
    </w:p>
    <w:p w14:paraId="46C989DF" w14:textId="77777777" w:rsidR="000D1830" w:rsidRDefault="00EE563F">
      <w:pPr>
        <w:ind w:left="720" w:firstLine="720"/>
      </w:pPr>
      <w:hyperlink r:id="rId22" w:history="1">
        <w:r w:rsidR="00FD46F3">
          <w:rPr>
            <w:u w:val="single"/>
          </w:rPr>
          <w:t>https://www.ncsc.gov.uk/collection/risk-management-collection</w:t>
        </w:r>
      </w:hyperlink>
    </w:p>
    <w:p w14:paraId="46C989E0" w14:textId="77777777" w:rsidR="000D1830" w:rsidRDefault="000D1830"/>
    <w:p w14:paraId="46C989E1" w14:textId="77777777" w:rsidR="000D1830" w:rsidRDefault="00FD46F3">
      <w:pPr>
        <w:ind w:left="1440" w:hanging="720"/>
      </w:pPr>
      <w:r>
        <w:t>13.6.4</w:t>
      </w:r>
      <w:r>
        <w:tab/>
        <w:t>government best practice in the design and implementation of system components, including network principles, security design principles for digital services and the secure email blueprint:</w:t>
      </w:r>
    </w:p>
    <w:p w14:paraId="46C989E2" w14:textId="77777777" w:rsidR="000D1830" w:rsidRDefault="00EE563F">
      <w:pPr>
        <w:ind w:left="1440"/>
      </w:pPr>
      <w:hyperlink r:id="rId23" w:history="1">
        <w:r w:rsidR="00FD46F3">
          <w:rPr>
            <w:rStyle w:val="Hyperlink"/>
            <w:color w:val="auto"/>
          </w:rPr>
          <w:t>https://www.gov.uk/government/publications/technology-code-of-practice/technology-code-of-practice</w:t>
        </w:r>
      </w:hyperlink>
    </w:p>
    <w:p w14:paraId="46C989E3" w14:textId="77777777" w:rsidR="000D1830" w:rsidRDefault="000D1830">
      <w:pPr>
        <w:ind w:left="1440"/>
      </w:pPr>
    </w:p>
    <w:p w14:paraId="46C989E4" w14:textId="77777777" w:rsidR="000D1830" w:rsidRDefault="00FD46F3">
      <w:pPr>
        <w:ind w:left="1440" w:hanging="720"/>
      </w:pPr>
      <w:r>
        <w:t>13.6.5</w:t>
      </w:r>
      <w:r>
        <w:tab/>
        <w:t>the security requirements of cloud services using the NCSC Cloud Security Principles and accompanying guidance:</w:t>
      </w:r>
      <w:hyperlink r:id="rId24" w:history="1">
        <w:r>
          <w:rPr>
            <w:u w:val="single"/>
          </w:rPr>
          <w:t xml:space="preserve"> </w:t>
        </w:r>
      </w:hyperlink>
    </w:p>
    <w:p w14:paraId="46C989E5" w14:textId="77777777" w:rsidR="000D1830" w:rsidRDefault="00EE563F">
      <w:pPr>
        <w:ind w:left="720" w:firstLine="720"/>
      </w:pPr>
      <w:hyperlink r:id="rId25" w:history="1">
        <w:r w:rsidR="00FD46F3">
          <w:rPr>
            <w:rStyle w:val="Hyperlink"/>
            <w:color w:val="auto"/>
          </w:rPr>
          <w:t>https://www.ncsc.gov.uk/guidance/implementing-cloud-security-principles</w:t>
        </w:r>
      </w:hyperlink>
    </w:p>
    <w:p w14:paraId="46C989E6" w14:textId="77777777" w:rsidR="000D1830" w:rsidRDefault="000D1830"/>
    <w:p w14:paraId="46C989E7" w14:textId="77777777" w:rsidR="000D1830" w:rsidRDefault="00FD46F3">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46C989E8" w14:textId="77777777" w:rsidR="000D1830" w:rsidRDefault="000D1830"/>
    <w:p w14:paraId="46C989E9" w14:textId="77777777" w:rsidR="000D1830" w:rsidRDefault="00FD46F3">
      <w:r>
        <w:t>13.7</w:t>
      </w:r>
      <w:r>
        <w:tab/>
        <w:t>The Buyer will specify any security requirements for this project in the Order Form.</w:t>
      </w:r>
    </w:p>
    <w:p w14:paraId="46C989EA" w14:textId="77777777" w:rsidR="000D1830" w:rsidRDefault="000D1830"/>
    <w:p w14:paraId="46C989EB" w14:textId="77777777" w:rsidR="000D1830" w:rsidRDefault="00FD46F3">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46C989EC" w14:textId="77777777" w:rsidR="000D1830" w:rsidRDefault="000D1830">
      <w:pPr>
        <w:ind w:left="720"/>
      </w:pPr>
    </w:p>
    <w:p w14:paraId="46C989ED" w14:textId="77777777" w:rsidR="000D1830" w:rsidRDefault="00FD46F3">
      <w:pPr>
        <w:ind w:left="720" w:hanging="720"/>
      </w:pPr>
      <w:r>
        <w:t>13.9</w:t>
      </w:r>
      <w:r>
        <w:tab/>
        <w:t>The Supplier agrees to use the appropriate organisational, operational and technological processes to keep the Buyer Data safe from unauthorised use or access, loss, destruction, theft or disclosure.</w:t>
      </w:r>
    </w:p>
    <w:p w14:paraId="46C989EE" w14:textId="77777777" w:rsidR="000D1830" w:rsidRDefault="000D1830">
      <w:pPr>
        <w:ind w:left="720"/>
      </w:pPr>
    </w:p>
    <w:p w14:paraId="46C989EF" w14:textId="77777777" w:rsidR="000D1830" w:rsidRDefault="00FD46F3">
      <w:pPr>
        <w:ind w:left="720" w:hanging="720"/>
      </w:pPr>
      <w:r>
        <w:t>13.10</w:t>
      </w:r>
      <w:r>
        <w:tab/>
        <w:t>The provisions of this clause 13 will apply during the term of this Call-Off Contract and for as long as the Supplier holds the Buyer’s Data.</w:t>
      </w:r>
    </w:p>
    <w:p w14:paraId="46C989F0" w14:textId="77777777" w:rsidR="000D1830" w:rsidRDefault="000D1830">
      <w:pPr>
        <w:spacing w:before="240" w:after="240"/>
      </w:pPr>
    </w:p>
    <w:p w14:paraId="46C989F1" w14:textId="77777777" w:rsidR="000D1830" w:rsidRDefault="00FD46F3">
      <w:pPr>
        <w:pStyle w:val="Heading3"/>
        <w:rPr>
          <w:color w:val="auto"/>
        </w:rPr>
      </w:pPr>
      <w:r>
        <w:rPr>
          <w:color w:val="auto"/>
        </w:rPr>
        <w:t>14.</w:t>
      </w:r>
      <w:r>
        <w:rPr>
          <w:color w:val="auto"/>
        </w:rPr>
        <w:tab/>
        <w:t>Standards and quality</w:t>
      </w:r>
    </w:p>
    <w:p w14:paraId="46C989F2" w14:textId="77777777" w:rsidR="000D1830" w:rsidRDefault="00FD46F3">
      <w:pPr>
        <w:ind w:left="720" w:hanging="720"/>
      </w:pPr>
      <w:r>
        <w:t>14.1</w:t>
      </w:r>
      <w:r>
        <w:tab/>
        <w:t>The Supplier will comply with any standards in this Call-Off Contract, the Order Form and the Framework Agreement.</w:t>
      </w:r>
    </w:p>
    <w:p w14:paraId="46C989F3" w14:textId="77777777" w:rsidR="000D1830" w:rsidRDefault="000D1830">
      <w:pPr>
        <w:ind w:firstLine="720"/>
      </w:pPr>
    </w:p>
    <w:p w14:paraId="46C989F4" w14:textId="77777777" w:rsidR="000D1830" w:rsidRDefault="00FD46F3">
      <w:pPr>
        <w:ind w:left="720" w:hanging="720"/>
      </w:pPr>
      <w:r>
        <w:t>14.2</w:t>
      </w:r>
      <w:r>
        <w:tab/>
        <w:t>The Supplier will deliver the Services in a way that enables the Buyer to comply with its obligations under the Technology Code of Practice, which is at:</w:t>
      </w:r>
      <w:hyperlink r:id="rId26" w:history="1">
        <w:r>
          <w:rPr>
            <w:u w:val="single"/>
          </w:rPr>
          <w:t xml:space="preserve"> </w:t>
        </w:r>
      </w:hyperlink>
    </w:p>
    <w:p w14:paraId="46C989F5" w14:textId="77777777" w:rsidR="000D1830" w:rsidRDefault="00EE563F">
      <w:pPr>
        <w:ind w:left="720"/>
      </w:pPr>
      <w:hyperlink r:id="rId27" w:history="1">
        <w:r w:rsidR="00FD46F3">
          <w:rPr>
            <w:u w:val="single"/>
          </w:rPr>
          <w:t>https://www.gov.uk/government/publications/technology-code-of-practice/technology-code-of-practice</w:t>
        </w:r>
      </w:hyperlink>
    </w:p>
    <w:p w14:paraId="46C989F6" w14:textId="77777777" w:rsidR="000D1830" w:rsidRDefault="000D1830">
      <w:pPr>
        <w:ind w:left="720" w:hanging="720"/>
      </w:pPr>
    </w:p>
    <w:p w14:paraId="46C989F7" w14:textId="77777777" w:rsidR="000D1830" w:rsidRDefault="00FD46F3">
      <w:pPr>
        <w:ind w:left="720" w:hanging="720"/>
      </w:pPr>
      <w:r>
        <w:t>14.3</w:t>
      </w:r>
      <w:r>
        <w:tab/>
        <w:t>If requested by the Buyer, the Supplier must, at its own cost, ensure that the G-Cloud Services comply with the requirements in the PSN Code of Practice.</w:t>
      </w:r>
    </w:p>
    <w:p w14:paraId="46C989F8" w14:textId="77777777" w:rsidR="000D1830" w:rsidRDefault="000D1830">
      <w:pPr>
        <w:ind w:firstLine="720"/>
      </w:pPr>
    </w:p>
    <w:p w14:paraId="46C989F9" w14:textId="77777777" w:rsidR="000D1830" w:rsidRDefault="00FD46F3">
      <w:pPr>
        <w:ind w:left="720" w:hanging="720"/>
      </w:pPr>
      <w:r>
        <w:t>14.4</w:t>
      </w:r>
      <w:r>
        <w:tab/>
        <w:t>If any PSN Services are Subcontracted by the Supplier, the Supplier must ensure that the services have the relevant PSN compliance certification.</w:t>
      </w:r>
    </w:p>
    <w:p w14:paraId="46C989FA" w14:textId="77777777" w:rsidR="000D1830" w:rsidRDefault="000D1830">
      <w:pPr>
        <w:ind w:firstLine="720"/>
      </w:pPr>
    </w:p>
    <w:p w14:paraId="46C989FB" w14:textId="77777777" w:rsidR="000D1830" w:rsidRDefault="00FD46F3">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46C989FC" w14:textId="77777777" w:rsidR="000D1830" w:rsidRDefault="00FD46F3">
      <w:r>
        <w:t xml:space="preserve"> </w:t>
      </w:r>
    </w:p>
    <w:p w14:paraId="46C989FD" w14:textId="77777777" w:rsidR="000D1830" w:rsidRDefault="00FD46F3">
      <w:pPr>
        <w:pStyle w:val="Heading3"/>
        <w:rPr>
          <w:color w:val="auto"/>
        </w:rPr>
      </w:pPr>
      <w:r>
        <w:rPr>
          <w:color w:val="auto"/>
        </w:rPr>
        <w:t>15.</w:t>
      </w:r>
      <w:r>
        <w:rPr>
          <w:color w:val="auto"/>
        </w:rPr>
        <w:tab/>
        <w:t>Open source</w:t>
      </w:r>
    </w:p>
    <w:p w14:paraId="46C989FE" w14:textId="77777777" w:rsidR="000D1830" w:rsidRDefault="00FD46F3">
      <w:pPr>
        <w:ind w:left="720" w:hanging="720"/>
      </w:pPr>
      <w:r>
        <w:t>15.1</w:t>
      </w:r>
      <w:r>
        <w:tab/>
        <w:t>All software created for the Buyer must be suitable for publication as open source, unless otherwise agreed by the Buyer.</w:t>
      </w:r>
    </w:p>
    <w:p w14:paraId="46C989FF" w14:textId="77777777" w:rsidR="000D1830" w:rsidRDefault="000D1830">
      <w:pPr>
        <w:ind w:firstLine="720"/>
      </w:pPr>
    </w:p>
    <w:p w14:paraId="46C98A00" w14:textId="77777777" w:rsidR="000D1830" w:rsidRDefault="00FD46F3">
      <w:pPr>
        <w:ind w:left="720" w:hanging="720"/>
      </w:pPr>
      <w:r>
        <w:t>15.2</w:t>
      </w:r>
      <w:r>
        <w:tab/>
        <w:t>If software needs to be converted before publication as open source, the Supplier must also provide the converted format unless otherwise agreed by the Buyer.</w:t>
      </w:r>
    </w:p>
    <w:p w14:paraId="46C98A01" w14:textId="77777777" w:rsidR="000D1830" w:rsidRDefault="00FD46F3">
      <w:pPr>
        <w:spacing w:before="240" w:after="240"/>
        <w:ind w:left="720"/>
      </w:pPr>
      <w:r>
        <w:t xml:space="preserve"> </w:t>
      </w:r>
    </w:p>
    <w:p w14:paraId="46C98A02" w14:textId="77777777" w:rsidR="000D1830" w:rsidRDefault="00FD46F3">
      <w:pPr>
        <w:pStyle w:val="Heading3"/>
        <w:rPr>
          <w:color w:val="auto"/>
        </w:rPr>
      </w:pPr>
      <w:r>
        <w:rPr>
          <w:color w:val="auto"/>
        </w:rPr>
        <w:t>16.</w:t>
      </w:r>
      <w:r>
        <w:rPr>
          <w:color w:val="auto"/>
        </w:rPr>
        <w:tab/>
        <w:t>Security</w:t>
      </w:r>
    </w:p>
    <w:p w14:paraId="46C98A03" w14:textId="77777777" w:rsidR="000D1830" w:rsidRDefault="00FD46F3">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46C98A04" w14:textId="77777777" w:rsidR="000D1830" w:rsidRDefault="000D1830">
      <w:pPr>
        <w:ind w:left="720"/>
      </w:pPr>
    </w:p>
    <w:p w14:paraId="46C98A05" w14:textId="77777777" w:rsidR="000D1830" w:rsidRDefault="00FD46F3">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46C98A06" w14:textId="77777777" w:rsidR="000D1830" w:rsidRDefault="000D1830">
      <w:pPr>
        <w:ind w:left="720"/>
      </w:pPr>
    </w:p>
    <w:p w14:paraId="46C98A07" w14:textId="77777777" w:rsidR="000D1830" w:rsidRDefault="00FD46F3">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46C98A08" w14:textId="77777777" w:rsidR="000D1830" w:rsidRDefault="000D1830">
      <w:pPr>
        <w:ind w:firstLine="720"/>
      </w:pPr>
    </w:p>
    <w:p w14:paraId="46C98A09" w14:textId="77777777" w:rsidR="000D1830" w:rsidRDefault="00FD46F3">
      <w:r>
        <w:t>16.4</w:t>
      </w:r>
      <w:r>
        <w:tab/>
        <w:t>Responsibility for costs will be at the:</w:t>
      </w:r>
    </w:p>
    <w:p w14:paraId="46C98A0A" w14:textId="77777777" w:rsidR="000D1830" w:rsidRDefault="00FD46F3">
      <w:r>
        <w:tab/>
      </w:r>
    </w:p>
    <w:p w14:paraId="46C98A0B" w14:textId="77777777" w:rsidR="000D1830" w:rsidRDefault="00FD46F3">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6C98A0C" w14:textId="77777777" w:rsidR="000D1830" w:rsidRDefault="000D1830">
      <w:pPr>
        <w:ind w:left="1440"/>
      </w:pPr>
    </w:p>
    <w:p w14:paraId="46C98A0D" w14:textId="77777777" w:rsidR="000D1830" w:rsidRDefault="00FD46F3">
      <w:pPr>
        <w:ind w:left="1440" w:hanging="720"/>
      </w:pPr>
      <w:r>
        <w:t>16.4.2</w:t>
      </w:r>
      <w:r>
        <w:tab/>
        <w:t>Buyer’s expense if the Malicious Software originates from the Buyer software or the Service Data, while the Service Data was under the Buyer’s control</w:t>
      </w:r>
    </w:p>
    <w:p w14:paraId="46C98A0E" w14:textId="77777777" w:rsidR="000D1830" w:rsidRDefault="000D1830">
      <w:pPr>
        <w:ind w:left="720" w:firstLine="720"/>
      </w:pPr>
    </w:p>
    <w:p w14:paraId="46C98A0F" w14:textId="77777777" w:rsidR="000D1830" w:rsidRDefault="00FD46F3">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6C98A10" w14:textId="77777777" w:rsidR="000D1830" w:rsidRDefault="000D1830">
      <w:pPr>
        <w:ind w:left="720"/>
      </w:pPr>
    </w:p>
    <w:p w14:paraId="46C98A11" w14:textId="77777777" w:rsidR="000D1830" w:rsidRDefault="00FD46F3">
      <w:pPr>
        <w:ind w:left="720" w:hanging="720"/>
      </w:pPr>
      <w:r>
        <w:t>16.6</w:t>
      </w:r>
      <w:r>
        <w:tab/>
        <w:t>Any system development by the Supplier should also comply with the government’s ‘10 Steps to Cyber Security’ guidance:</w:t>
      </w:r>
      <w:hyperlink r:id="rId28" w:history="1">
        <w:r>
          <w:rPr>
            <w:u w:val="single"/>
          </w:rPr>
          <w:t xml:space="preserve"> </w:t>
        </w:r>
      </w:hyperlink>
    </w:p>
    <w:p w14:paraId="46C98A12" w14:textId="77777777" w:rsidR="000D1830" w:rsidRDefault="00EE563F">
      <w:pPr>
        <w:ind w:left="720"/>
      </w:pPr>
      <w:hyperlink r:id="rId29" w:history="1">
        <w:r w:rsidR="00FD46F3">
          <w:rPr>
            <w:u w:val="single"/>
          </w:rPr>
          <w:t>https://www.ncsc.gov.uk/guidance/10-steps-cyber-security</w:t>
        </w:r>
      </w:hyperlink>
    </w:p>
    <w:p w14:paraId="46C98A13" w14:textId="77777777" w:rsidR="000D1830" w:rsidRDefault="000D1830">
      <w:pPr>
        <w:ind w:left="720"/>
      </w:pPr>
    </w:p>
    <w:p w14:paraId="46C98A14" w14:textId="77777777" w:rsidR="000D1830" w:rsidRDefault="00FD46F3">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46C98A15" w14:textId="77777777" w:rsidR="000D1830" w:rsidRDefault="00FD46F3">
      <w:r>
        <w:t xml:space="preserve"> </w:t>
      </w:r>
    </w:p>
    <w:p w14:paraId="46C98A16" w14:textId="77777777" w:rsidR="000D1830" w:rsidRDefault="00FD46F3">
      <w:pPr>
        <w:pStyle w:val="Heading3"/>
        <w:rPr>
          <w:color w:val="auto"/>
        </w:rPr>
      </w:pPr>
      <w:r>
        <w:rPr>
          <w:color w:val="auto"/>
        </w:rPr>
        <w:t>17.</w:t>
      </w:r>
      <w:r>
        <w:rPr>
          <w:color w:val="auto"/>
        </w:rPr>
        <w:tab/>
        <w:t>Guarantee</w:t>
      </w:r>
    </w:p>
    <w:p w14:paraId="46C98A17" w14:textId="77777777" w:rsidR="000D1830" w:rsidRDefault="00FD46F3">
      <w:pPr>
        <w:ind w:left="720" w:hanging="720"/>
      </w:pPr>
      <w:r>
        <w:t>17.1</w:t>
      </w:r>
      <w:r>
        <w:tab/>
        <w:t>If this Call-Off Contract is conditional on receipt of a Guarantee that is acceptable to the Buyer, the Supplier must give the Buyer on or before the Start date:</w:t>
      </w:r>
    </w:p>
    <w:p w14:paraId="46C98A18" w14:textId="77777777" w:rsidR="000D1830" w:rsidRDefault="000D1830">
      <w:pPr>
        <w:ind w:firstLine="720"/>
      </w:pPr>
    </w:p>
    <w:p w14:paraId="46C98A19" w14:textId="77777777" w:rsidR="000D1830" w:rsidRDefault="00FD46F3">
      <w:pPr>
        <w:ind w:firstLine="720"/>
      </w:pPr>
      <w:r>
        <w:t>17.1.1</w:t>
      </w:r>
      <w:r>
        <w:tab/>
        <w:t>an executed Guarantee in the form at Schedule 5</w:t>
      </w:r>
    </w:p>
    <w:p w14:paraId="46C98A1A" w14:textId="77777777" w:rsidR="000D1830" w:rsidRDefault="000D1830"/>
    <w:p w14:paraId="46C98A1B" w14:textId="77777777" w:rsidR="000D1830" w:rsidRDefault="00FD46F3">
      <w:pPr>
        <w:ind w:left="1440" w:hanging="720"/>
      </w:pPr>
      <w:r>
        <w:t>17.1.2</w:t>
      </w:r>
      <w:r>
        <w:tab/>
        <w:t>a certified copy of the passed resolution or board minutes of the guarantor approving the execution of the Guarantee</w:t>
      </w:r>
    </w:p>
    <w:p w14:paraId="46C98A1C" w14:textId="77777777" w:rsidR="000D1830" w:rsidRDefault="000D1830">
      <w:pPr>
        <w:ind w:left="720" w:firstLine="720"/>
      </w:pPr>
    </w:p>
    <w:p w14:paraId="46C98A1D" w14:textId="77777777" w:rsidR="000D1830" w:rsidRDefault="00FD46F3">
      <w:pPr>
        <w:pStyle w:val="Heading3"/>
        <w:rPr>
          <w:color w:val="auto"/>
        </w:rPr>
      </w:pPr>
      <w:r>
        <w:rPr>
          <w:color w:val="auto"/>
        </w:rPr>
        <w:t>18.</w:t>
      </w:r>
      <w:r>
        <w:rPr>
          <w:color w:val="auto"/>
        </w:rPr>
        <w:tab/>
        <w:t>Ending the Call-Off Contract</w:t>
      </w:r>
    </w:p>
    <w:p w14:paraId="46C98A1E" w14:textId="77777777" w:rsidR="000D1830" w:rsidRDefault="00FD46F3">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46C98A1F" w14:textId="77777777" w:rsidR="000D1830" w:rsidRDefault="000D1830">
      <w:pPr>
        <w:ind w:left="720"/>
      </w:pPr>
    </w:p>
    <w:p w14:paraId="46C98A20" w14:textId="77777777" w:rsidR="000D1830" w:rsidRDefault="00FD46F3">
      <w:r>
        <w:t>18.2</w:t>
      </w:r>
      <w:r>
        <w:tab/>
        <w:t>The Parties agree that the:</w:t>
      </w:r>
    </w:p>
    <w:p w14:paraId="46C98A21" w14:textId="77777777" w:rsidR="000D1830" w:rsidRDefault="000D1830"/>
    <w:p w14:paraId="46C98A22" w14:textId="77777777" w:rsidR="000D1830" w:rsidRDefault="00FD46F3">
      <w:pPr>
        <w:ind w:left="1440" w:hanging="720"/>
      </w:pPr>
      <w:r>
        <w:t>18.2.1</w:t>
      </w:r>
      <w:r>
        <w:tab/>
        <w:t>Buyer’s right to End the Call-Off Contract under clause 18.1 is reasonable considering the type of cloud Service being provided</w:t>
      </w:r>
    </w:p>
    <w:p w14:paraId="46C98A23" w14:textId="77777777" w:rsidR="000D1830" w:rsidRDefault="000D1830">
      <w:pPr>
        <w:ind w:left="720"/>
      </w:pPr>
    </w:p>
    <w:p w14:paraId="46C98A24" w14:textId="77777777" w:rsidR="000D1830" w:rsidRDefault="00FD46F3">
      <w:pPr>
        <w:ind w:left="1440" w:hanging="720"/>
      </w:pPr>
      <w:r>
        <w:t>18.2.2</w:t>
      </w:r>
      <w:r>
        <w:tab/>
        <w:t>Call-Off Contract Charges paid during the notice period is reasonable compensation and covers all the Supplier’s avoidable costs or Losses</w:t>
      </w:r>
    </w:p>
    <w:p w14:paraId="46C98A25" w14:textId="77777777" w:rsidR="000D1830" w:rsidRDefault="000D1830">
      <w:pPr>
        <w:ind w:left="720" w:firstLine="720"/>
      </w:pPr>
    </w:p>
    <w:p w14:paraId="46C98A26" w14:textId="77777777" w:rsidR="000D1830" w:rsidRDefault="00FD46F3">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6C98A27" w14:textId="77777777" w:rsidR="000D1830" w:rsidRDefault="000D1830">
      <w:pPr>
        <w:ind w:left="720"/>
      </w:pPr>
    </w:p>
    <w:p w14:paraId="46C98A28" w14:textId="77777777" w:rsidR="000D1830" w:rsidRDefault="00FD46F3">
      <w:pPr>
        <w:ind w:left="720" w:hanging="720"/>
      </w:pPr>
      <w:r>
        <w:t>18.4</w:t>
      </w:r>
      <w:r>
        <w:tab/>
        <w:t>The Buyer will have the right to End this Call-Off Contract at any time with immediate effect by written notice to the Supplier if either the Supplier commits:</w:t>
      </w:r>
    </w:p>
    <w:p w14:paraId="46C98A29" w14:textId="77777777" w:rsidR="000D1830" w:rsidRDefault="000D1830">
      <w:pPr>
        <w:ind w:firstLine="720"/>
      </w:pPr>
    </w:p>
    <w:p w14:paraId="46C98A2A" w14:textId="77777777" w:rsidR="000D1830" w:rsidRDefault="00FD46F3">
      <w:pPr>
        <w:ind w:left="1440" w:hanging="720"/>
      </w:pPr>
      <w:r>
        <w:t>18.4.1</w:t>
      </w:r>
      <w:r>
        <w:tab/>
        <w:t>a Supplier Default and if the Supplier Default cannot, in the reasonable opinion of the Buyer, be remedied</w:t>
      </w:r>
    </w:p>
    <w:p w14:paraId="46C98A2B" w14:textId="77777777" w:rsidR="000D1830" w:rsidRDefault="000D1830">
      <w:pPr>
        <w:ind w:left="720" w:firstLine="720"/>
      </w:pPr>
    </w:p>
    <w:p w14:paraId="46C98A2C" w14:textId="77777777" w:rsidR="000D1830" w:rsidRDefault="00FD46F3">
      <w:pPr>
        <w:ind w:firstLine="720"/>
      </w:pPr>
      <w:r>
        <w:t>18.4.2</w:t>
      </w:r>
      <w:r>
        <w:tab/>
        <w:t>any fraud</w:t>
      </w:r>
    </w:p>
    <w:p w14:paraId="46C98A2D" w14:textId="77777777" w:rsidR="000D1830" w:rsidRDefault="000D1830">
      <w:pPr>
        <w:ind w:firstLine="720"/>
      </w:pPr>
    </w:p>
    <w:p w14:paraId="46C98A2E" w14:textId="77777777" w:rsidR="000D1830" w:rsidRDefault="00FD46F3">
      <w:r>
        <w:t>18.5</w:t>
      </w:r>
      <w:r>
        <w:tab/>
        <w:t>A Party can End this Call-Off Contract at any time with immediate effect by written notice if:</w:t>
      </w:r>
    </w:p>
    <w:p w14:paraId="46C98A2F" w14:textId="77777777" w:rsidR="000D1830" w:rsidRDefault="000D1830">
      <w:pPr>
        <w:ind w:firstLine="720"/>
      </w:pPr>
    </w:p>
    <w:p w14:paraId="46C98A30" w14:textId="77777777" w:rsidR="000D1830" w:rsidRDefault="00FD46F3">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46C98A31" w14:textId="77777777" w:rsidR="000D1830" w:rsidRDefault="000D1830">
      <w:pPr>
        <w:ind w:left="1440"/>
      </w:pPr>
    </w:p>
    <w:p w14:paraId="46C98A32" w14:textId="77777777" w:rsidR="000D1830" w:rsidRDefault="00FD46F3">
      <w:pPr>
        <w:ind w:firstLine="720"/>
      </w:pPr>
      <w:r>
        <w:t>18.5.2</w:t>
      </w:r>
      <w:r>
        <w:tab/>
        <w:t>an Insolvency Event of the other Party happens</w:t>
      </w:r>
    </w:p>
    <w:p w14:paraId="46C98A33" w14:textId="77777777" w:rsidR="000D1830" w:rsidRDefault="000D1830">
      <w:pPr>
        <w:ind w:firstLine="720"/>
      </w:pPr>
    </w:p>
    <w:p w14:paraId="46C98A34" w14:textId="77777777" w:rsidR="000D1830" w:rsidRDefault="00FD46F3">
      <w:pPr>
        <w:ind w:left="1440" w:hanging="720"/>
      </w:pPr>
      <w:r>
        <w:t>18.5.3</w:t>
      </w:r>
      <w:r>
        <w:tab/>
        <w:t>the other Party ceases or threatens to cease to carry on the whole or any material part of its business</w:t>
      </w:r>
    </w:p>
    <w:p w14:paraId="46C98A35" w14:textId="77777777" w:rsidR="000D1830" w:rsidRDefault="000D1830">
      <w:pPr>
        <w:ind w:left="720" w:firstLine="720"/>
      </w:pPr>
    </w:p>
    <w:p w14:paraId="46C98A36" w14:textId="77777777" w:rsidR="000D1830" w:rsidRDefault="00FD46F3">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6C98A37" w14:textId="77777777" w:rsidR="000D1830" w:rsidRDefault="000D1830">
      <w:pPr>
        <w:ind w:left="720"/>
      </w:pPr>
    </w:p>
    <w:p w14:paraId="46C98A38" w14:textId="77777777" w:rsidR="000D1830" w:rsidRDefault="00FD46F3">
      <w:pPr>
        <w:ind w:left="720" w:hanging="720"/>
      </w:pPr>
      <w:r>
        <w:t>18.7</w:t>
      </w:r>
      <w:r>
        <w:tab/>
        <w:t>A Party who isn’t relying on a Force Majeure event will have the right to End this Call-Off Contract if clause 23.1 applies.</w:t>
      </w:r>
    </w:p>
    <w:p w14:paraId="46C98A39" w14:textId="77777777" w:rsidR="000D1830" w:rsidRDefault="00FD46F3">
      <w:pPr>
        <w:ind w:left="720" w:hanging="720"/>
      </w:pPr>
      <w:r>
        <w:t xml:space="preserve"> </w:t>
      </w:r>
    </w:p>
    <w:p w14:paraId="46C98A3A" w14:textId="77777777" w:rsidR="000D1830" w:rsidRDefault="00FD46F3">
      <w:pPr>
        <w:pStyle w:val="Heading3"/>
        <w:rPr>
          <w:color w:val="auto"/>
        </w:rPr>
      </w:pPr>
      <w:r>
        <w:rPr>
          <w:color w:val="auto"/>
        </w:rPr>
        <w:t>19.</w:t>
      </w:r>
      <w:r>
        <w:rPr>
          <w:color w:val="auto"/>
        </w:rPr>
        <w:tab/>
        <w:t>Consequences of suspension, ending and expiry</w:t>
      </w:r>
    </w:p>
    <w:p w14:paraId="46C98A3B" w14:textId="77777777" w:rsidR="000D1830" w:rsidRDefault="00FD46F3">
      <w:pPr>
        <w:ind w:left="720" w:hanging="720"/>
      </w:pPr>
      <w:r>
        <w:t>19.1</w:t>
      </w:r>
      <w:r>
        <w:tab/>
        <w:t>If a Buyer has the right to End a Call-Off Contract, it may elect to suspend this Call-Off Contract or any part of it.</w:t>
      </w:r>
    </w:p>
    <w:p w14:paraId="46C98A3C" w14:textId="77777777" w:rsidR="000D1830" w:rsidRDefault="000D1830"/>
    <w:p w14:paraId="46C98A3D" w14:textId="77777777" w:rsidR="000D1830" w:rsidRDefault="00FD46F3">
      <w:pPr>
        <w:ind w:left="720" w:hanging="720"/>
      </w:pPr>
      <w:r>
        <w:t>19.2</w:t>
      </w:r>
      <w:r>
        <w:tab/>
        <w:t>Even if a notice has been served to End this Call-Off Contract or any part of it, the Supplier must continue to provide the Ordered G-Cloud Services until the dates set out in the notice.</w:t>
      </w:r>
    </w:p>
    <w:p w14:paraId="46C98A3E" w14:textId="77777777" w:rsidR="000D1830" w:rsidRDefault="000D1830">
      <w:pPr>
        <w:ind w:left="720" w:hanging="720"/>
      </w:pPr>
    </w:p>
    <w:p w14:paraId="46C98A3F" w14:textId="77777777" w:rsidR="000D1830" w:rsidRDefault="00FD46F3">
      <w:pPr>
        <w:ind w:left="720" w:hanging="720"/>
      </w:pPr>
      <w:r>
        <w:t>19.3</w:t>
      </w:r>
      <w:r>
        <w:tab/>
        <w:t>The rights and obligations of the Parties will cease on the Expiry Date or End Date whichever applies) of this Call-Off Contract, except those continuing provisions described in clause 19.4.</w:t>
      </w:r>
    </w:p>
    <w:p w14:paraId="46C98A40" w14:textId="77777777" w:rsidR="000D1830" w:rsidRDefault="000D1830"/>
    <w:p w14:paraId="46C98A41" w14:textId="77777777" w:rsidR="000D1830" w:rsidRDefault="00FD46F3">
      <w:r>
        <w:t>19.4</w:t>
      </w:r>
      <w:r>
        <w:tab/>
        <w:t>Ending or expiry of this Call-Off Contract will not affect:</w:t>
      </w:r>
    </w:p>
    <w:p w14:paraId="46C98A42" w14:textId="77777777" w:rsidR="000D1830" w:rsidRDefault="000D1830"/>
    <w:p w14:paraId="46C98A43" w14:textId="77777777" w:rsidR="000D1830" w:rsidRDefault="00FD46F3">
      <w:pPr>
        <w:ind w:firstLine="720"/>
      </w:pPr>
      <w:r>
        <w:t>19.4.1</w:t>
      </w:r>
      <w:r>
        <w:tab/>
        <w:t>any rights, remedies or obligations accrued before its Ending or expiration</w:t>
      </w:r>
    </w:p>
    <w:p w14:paraId="46C98A44" w14:textId="77777777" w:rsidR="000D1830" w:rsidRDefault="000D1830"/>
    <w:p w14:paraId="46C98A45" w14:textId="77777777" w:rsidR="000D1830" w:rsidRDefault="00FD46F3">
      <w:pPr>
        <w:ind w:left="1440" w:hanging="720"/>
      </w:pPr>
      <w:r>
        <w:t>19.4.2</w:t>
      </w:r>
      <w:r>
        <w:tab/>
        <w:t>the right of either Party to recover any amount outstanding at the time of Ending or expiry</w:t>
      </w:r>
    </w:p>
    <w:p w14:paraId="46C98A46" w14:textId="77777777" w:rsidR="000D1830" w:rsidRDefault="000D1830"/>
    <w:p w14:paraId="46C98A47" w14:textId="77777777" w:rsidR="000D1830" w:rsidRDefault="00FD46F3">
      <w:pPr>
        <w:ind w:left="1440" w:hanging="720"/>
      </w:pPr>
      <w:r>
        <w:t>19.4.3</w:t>
      </w:r>
      <w:r>
        <w:tab/>
        <w:t>the continuing rights, remedies or obligations of the Buyer or the Supplier under clauses</w:t>
      </w:r>
    </w:p>
    <w:p w14:paraId="46C98A48" w14:textId="77777777" w:rsidR="000D1830" w:rsidRDefault="00FD46F3" w:rsidP="00FC6730">
      <w:pPr>
        <w:pStyle w:val="ListParagraph"/>
        <w:numPr>
          <w:ilvl w:val="1"/>
          <w:numId w:val="2"/>
        </w:numPr>
      </w:pPr>
      <w:r>
        <w:t>7 (Payment, VAT and Call-Off Contract charges)</w:t>
      </w:r>
    </w:p>
    <w:p w14:paraId="46C98A49" w14:textId="77777777" w:rsidR="000D1830" w:rsidRDefault="00FD46F3" w:rsidP="00FC6730">
      <w:pPr>
        <w:pStyle w:val="ListParagraph"/>
        <w:numPr>
          <w:ilvl w:val="1"/>
          <w:numId w:val="2"/>
        </w:numPr>
      </w:pPr>
      <w:r>
        <w:t>8 (Recovery of sums due and right of set-off)</w:t>
      </w:r>
    </w:p>
    <w:p w14:paraId="46C98A4A" w14:textId="77777777" w:rsidR="000D1830" w:rsidRDefault="00FD46F3" w:rsidP="00FC6730">
      <w:pPr>
        <w:pStyle w:val="ListParagraph"/>
        <w:numPr>
          <w:ilvl w:val="1"/>
          <w:numId w:val="2"/>
        </w:numPr>
      </w:pPr>
      <w:r>
        <w:t>9 (Insurance)</w:t>
      </w:r>
    </w:p>
    <w:p w14:paraId="46C98A4B" w14:textId="77777777" w:rsidR="000D1830" w:rsidRDefault="00FD46F3" w:rsidP="00FC6730">
      <w:pPr>
        <w:pStyle w:val="ListParagraph"/>
        <w:numPr>
          <w:ilvl w:val="1"/>
          <w:numId w:val="2"/>
        </w:numPr>
      </w:pPr>
      <w:r>
        <w:t>10 (Confidentiality)</w:t>
      </w:r>
    </w:p>
    <w:p w14:paraId="46C98A4C" w14:textId="77777777" w:rsidR="000D1830" w:rsidRDefault="00FD46F3" w:rsidP="00FC6730">
      <w:pPr>
        <w:pStyle w:val="ListParagraph"/>
        <w:numPr>
          <w:ilvl w:val="1"/>
          <w:numId w:val="2"/>
        </w:numPr>
      </w:pPr>
      <w:r>
        <w:t>11 (Intellectual property rights)</w:t>
      </w:r>
    </w:p>
    <w:p w14:paraId="46C98A4D" w14:textId="77777777" w:rsidR="000D1830" w:rsidRDefault="00FD46F3" w:rsidP="00FC6730">
      <w:pPr>
        <w:pStyle w:val="ListParagraph"/>
        <w:numPr>
          <w:ilvl w:val="1"/>
          <w:numId w:val="2"/>
        </w:numPr>
      </w:pPr>
      <w:r>
        <w:t>12 (Protection of information)</w:t>
      </w:r>
    </w:p>
    <w:p w14:paraId="46C98A4E" w14:textId="77777777" w:rsidR="000D1830" w:rsidRDefault="00FD46F3" w:rsidP="00FC6730">
      <w:pPr>
        <w:pStyle w:val="ListParagraph"/>
        <w:numPr>
          <w:ilvl w:val="1"/>
          <w:numId w:val="2"/>
        </w:numPr>
      </w:pPr>
      <w:r>
        <w:t>13 (Buyer data)</w:t>
      </w:r>
    </w:p>
    <w:p w14:paraId="46C98A4F" w14:textId="77777777" w:rsidR="000D1830" w:rsidRDefault="00FD46F3" w:rsidP="00FC6730">
      <w:pPr>
        <w:pStyle w:val="ListParagraph"/>
        <w:numPr>
          <w:ilvl w:val="1"/>
          <w:numId w:val="2"/>
        </w:numPr>
      </w:pPr>
      <w:r>
        <w:t>19 (Consequences of suspension, ending and expiry)</w:t>
      </w:r>
    </w:p>
    <w:p w14:paraId="46C98A50" w14:textId="77777777" w:rsidR="000D1830" w:rsidRDefault="00FD46F3" w:rsidP="00FC6730">
      <w:pPr>
        <w:pStyle w:val="ListParagraph"/>
        <w:numPr>
          <w:ilvl w:val="1"/>
          <w:numId w:val="2"/>
        </w:numPr>
      </w:pPr>
      <w:r>
        <w:t>24 (Liability); incorporated Framework Agreement clauses: 4.2 to 4.7 (Liability)</w:t>
      </w:r>
    </w:p>
    <w:p w14:paraId="46C98A51" w14:textId="77777777" w:rsidR="000D1830" w:rsidRDefault="00FD46F3" w:rsidP="00FC6730">
      <w:pPr>
        <w:pStyle w:val="ListParagraph"/>
        <w:numPr>
          <w:ilvl w:val="1"/>
          <w:numId w:val="2"/>
        </w:numPr>
      </w:pPr>
      <w:r>
        <w:t>8.44 to 8.50 (Conflicts of interest and ethical walls)</w:t>
      </w:r>
    </w:p>
    <w:p w14:paraId="46C98A52" w14:textId="77777777" w:rsidR="000D1830" w:rsidRDefault="00FD46F3" w:rsidP="00FC6730">
      <w:pPr>
        <w:pStyle w:val="ListParagraph"/>
        <w:numPr>
          <w:ilvl w:val="1"/>
          <w:numId w:val="2"/>
        </w:numPr>
      </w:pPr>
      <w:r>
        <w:t>8.89 to 8.90 (Waiver and cumulative remedies)</w:t>
      </w:r>
    </w:p>
    <w:p w14:paraId="46C98A53" w14:textId="77777777" w:rsidR="000D1830" w:rsidRDefault="000D1830">
      <w:pPr>
        <w:ind w:firstLine="720"/>
      </w:pPr>
    </w:p>
    <w:p w14:paraId="46C98A54" w14:textId="77777777" w:rsidR="000D1830" w:rsidRDefault="00FD46F3">
      <w:pPr>
        <w:ind w:left="1440" w:hanging="720"/>
      </w:pPr>
      <w:r>
        <w:t>19.4.4</w:t>
      </w:r>
      <w:r>
        <w:tab/>
        <w:t>any other provision of the Framework Agreement or this Call-Off Contract which expressly or by implication is in force even if it Ends or expires</w:t>
      </w:r>
    </w:p>
    <w:p w14:paraId="46C98A55" w14:textId="77777777" w:rsidR="000D1830" w:rsidRDefault="00FD46F3">
      <w:r>
        <w:t xml:space="preserve"> </w:t>
      </w:r>
    </w:p>
    <w:p w14:paraId="46C98A56" w14:textId="77777777" w:rsidR="000D1830" w:rsidRDefault="00FD46F3">
      <w:r>
        <w:t>19.5</w:t>
      </w:r>
      <w:r>
        <w:tab/>
        <w:t>At the end of the Call-Off Contract Term, the Supplier must promptly:</w:t>
      </w:r>
    </w:p>
    <w:p w14:paraId="46C98A57" w14:textId="77777777" w:rsidR="000D1830" w:rsidRDefault="000D1830"/>
    <w:p w14:paraId="46C98A58" w14:textId="77777777" w:rsidR="000D1830" w:rsidRDefault="00FD46F3">
      <w:pPr>
        <w:ind w:left="1440" w:hanging="720"/>
      </w:pPr>
      <w:r>
        <w:t>19.5.1</w:t>
      </w:r>
      <w:r>
        <w:tab/>
        <w:t>return all Buyer Data including all copies of Buyer software, code and any other software licensed by the Buyer to the Supplier under it</w:t>
      </w:r>
    </w:p>
    <w:p w14:paraId="46C98A59" w14:textId="77777777" w:rsidR="000D1830" w:rsidRDefault="000D1830">
      <w:pPr>
        <w:ind w:firstLine="720"/>
      </w:pPr>
    </w:p>
    <w:p w14:paraId="46C98A5A" w14:textId="77777777" w:rsidR="000D1830" w:rsidRDefault="00FD46F3">
      <w:pPr>
        <w:ind w:left="1440" w:hanging="720"/>
      </w:pPr>
      <w:r>
        <w:t>19.5.2</w:t>
      </w:r>
      <w:r>
        <w:tab/>
        <w:t>return any materials created by the Supplier under this Call-Off Contract if the IPRs are owned by the Buyer</w:t>
      </w:r>
    </w:p>
    <w:p w14:paraId="46C98A5B" w14:textId="77777777" w:rsidR="000D1830" w:rsidRDefault="000D1830">
      <w:pPr>
        <w:ind w:firstLine="720"/>
      </w:pPr>
    </w:p>
    <w:p w14:paraId="46C98A5C" w14:textId="77777777" w:rsidR="000D1830" w:rsidRDefault="00FD46F3">
      <w:pPr>
        <w:ind w:left="1440" w:hanging="720"/>
      </w:pPr>
      <w:r>
        <w:t>19.5.3</w:t>
      </w:r>
      <w:r>
        <w:tab/>
        <w:t>stop using the Buyer Data and, at the direction of the Buyer, provide the Buyer with a complete and uncorrupted version in electronic form in the formats and on media agreed with the Buyer</w:t>
      </w:r>
    </w:p>
    <w:p w14:paraId="46C98A5D" w14:textId="77777777" w:rsidR="000D1830" w:rsidRDefault="000D1830">
      <w:pPr>
        <w:ind w:firstLine="720"/>
      </w:pPr>
    </w:p>
    <w:p w14:paraId="46C98A5E" w14:textId="77777777" w:rsidR="000D1830" w:rsidRDefault="00FD46F3">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46C98A5F" w14:textId="77777777" w:rsidR="000D1830" w:rsidRDefault="000D1830">
      <w:pPr>
        <w:ind w:left="720"/>
      </w:pPr>
    </w:p>
    <w:p w14:paraId="46C98A60" w14:textId="77777777" w:rsidR="000D1830" w:rsidRDefault="00FD46F3">
      <w:pPr>
        <w:ind w:firstLine="720"/>
      </w:pPr>
      <w:r>
        <w:t>19.5.5</w:t>
      </w:r>
      <w:r>
        <w:tab/>
        <w:t>work with the Buyer on any ongoing work</w:t>
      </w:r>
    </w:p>
    <w:p w14:paraId="46C98A61" w14:textId="77777777" w:rsidR="000D1830" w:rsidRDefault="000D1830"/>
    <w:p w14:paraId="46C98A62" w14:textId="77777777" w:rsidR="000D1830" w:rsidRDefault="00FD46F3">
      <w:pPr>
        <w:ind w:left="1440" w:hanging="720"/>
      </w:pPr>
      <w:r>
        <w:t>19.5.6</w:t>
      </w:r>
      <w:r>
        <w:tab/>
        <w:t>return any sums prepaid for Services which have not been delivered to the Buyer, within 10 Working Days of the End or Expiry Date</w:t>
      </w:r>
    </w:p>
    <w:p w14:paraId="46C98A63" w14:textId="77777777" w:rsidR="000D1830" w:rsidRDefault="000D1830">
      <w:pPr>
        <w:ind w:firstLine="720"/>
      </w:pPr>
    </w:p>
    <w:p w14:paraId="46C98A64" w14:textId="77777777" w:rsidR="000D1830" w:rsidRDefault="000D1830"/>
    <w:p w14:paraId="46C98A65" w14:textId="77777777" w:rsidR="000D1830" w:rsidRDefault="00FD46F3">
      <w:pPr>
        <w:ind w:left="720" w:hanging="720"/>
      </w:pPr>
      <w:r>
        <w:t>19.6</w:t>
      </w:r>
      <w:r>
        <w:tab/>
        <w:t>Each Party will return all of the other Party’s Confidential Information and confirm this has been done, unless there is a legal requirement to keep it or this Call-Off Contract states otherwise.</w:t>
      </w:r>
    </w:p>
    <w:p w14:paraId="46C98A66" w14:textId="77777777" w:rsidR="000D1830" w:rsidRDefault="000D1830">
      <w:pPr>
        <w:ind w:left="720"/>
      </w:pPr>
    </w:p>
    <w:p w14:paraId="46C98A67" w14:textId="77777777" w:rsidR="000D1830" w:rsidRDefault="00FD46F3">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6C98A68" w14:textId="77777777" w:rsidR="000D1830" w:rsidRDefault="000D1830"/>
    <w:p w14:paraId="46C98A69" w14:textId="77777777" w:rsidR="000D1830" w:rsidRDefault="00FD46F3">
      <w:pPr>
        <w:pStyle w:val="Heading3"/>
        <w:rPr>
          <w:color w:val="auto"/>
        </w:rPr>
      </w:pPr>
      <w:r>
        <w:rPr>
          <w:color w:val="auto"/>
        </w:rPr>
        <w:t>20.</w:t>
      </w:r>
      <w:r>
        <w:rPr>
          <w:color w:val="auto"/>
        </w:rPr>
        <w:tab/>
        <w:t>Notices</w:t>
      </w:r>
    </w:p>
    <w:p w14:paraId="46C98A6A" w14:textId="77777777" w:rsidR="000D1830" w:rsidRDefault="00FD46F3">
      <w:pPr>
        <w:ind w:left="720" w:hanging="720"/>
      </w:pPr>
      <w:r>
        <w:t>20.1</w:t>
      </w:r>
      <w:r>
        <w:tab/>
        <w:t>Any notices sent must be in writing. For the purpose of this clause, an email is accepted as being 'in writing'.</w:t>
      </w:r>
    </w:p>
    <w:p w14:paraId="46C98A6B" w14:textId="77777777" w:rsidR="000D1830" w:rsidRDefault="000D1830">
      <w:pPr>
        <w:ind w:left="720" w:hanging="720"/>
      </w:pPr>
    </w:p>
    <w:p w14:paraId="46C98A6C" w14:textId="77777777" w:rsidR="000D1830" w:rsidRDefault="00FD46F3" w:rsidP="00FC6730">
      <w:pPr>
        <w:pStyle w:val="ListParagraph"/>
        <w:numPr>
          <w:ilvl w:val="0"/>
          <w:numId w:val="3"/>
        </w:numPr>
        <w:spacing w:after="120" w:line="360" w:lineRule="auto"/>
      </w:pPr>
      <w:r>
        <w:t>Manner of delivery: email</w:t>
      </w:r>
    </w:p>
    <w:p w14:paraId="46C98A6D" w14:textId="77777777" w:rsidR="000D1830" w:rsidRDefault="00FD46F3" w:rsidP="00FC6730">
      <w:pPr>
        <w:pStyle w:val="ListParagraph"/>
        <w:numPr>
          <w:ilvl w:val="0"/>
          <w:numId w:val="3"/>
        </w:numPr>
        <w:spacing w:line="360" w:lineRule="auto"/>
      </w:pPr>
      <w:r>
        <w:t>Deemed time of delivery: 9am on the first Working Day after sending</w:t>
      </w:r>
    </w:p>
    <w:p w14:paraId="46C98A6E" w14:textId="77777777" w:rsidR="000D1830" w:rsidRDefault="00FD46F3" w:rsidP="00FC6730">
      <w:pPr>
        <w:pStyle w:val="ListParagraph"/>
        <w:numPr>
          <w:ilvl w:val="0"/>
          <w:numId w:val="3"/>
        </w:numPr>
      </w:pPr>
      <w:r>
        <w:t>Proof of service: Sent in an emailed letter in PDF format to the correct email address without any error message</w:t>
      </w:r>
    </w:p>
    <w:p w14:paraId="46C98A6F" w14:textId="77777777" w:rsidR="000D1830" w:rsidRDefault="000D1830"/>
    <w:p w14:paraId="46C98A70" w14:textId="77777777" w:rsidR="000D1830" w:rsidRDefault="00FD46F3">
      <w:pPr>
        <w:ind w:left="720" w:hanging="720"/>
      </w:pPr>
      <w:r>
        <w:t>20.2</w:t>
      </w:r>
      <w:r>
        <w:tab/>
        <w:t>This clause does not apply to any legal action or other method of dispute resolution which should be sent to the addresses in the Order Form (other than a dispute notice under this Call-Off Contract).</w:t>
      </w:r>
    </w:p>
    <w:p w14:paraId="46C98A71" w14:textId="77777777" w:rsidR="000D1830" w:rsidRDefault="000D1830">
      <w:pPr>
        <w:spacing w:before="240" w:after="240"/>
        <w:ind w:left="720"/>
      </w:pPr>
    </w:p>
    <w:p w14:paraId="46C98A72" w14:textId="77777777" w:rsidR="000D1830" w:rsidRDefault="00FD46F3">
      <w:pPr>
        <w:pStyle w:val="Heading3"/>
        <w:rPr>
          <w:color w:val="auto"/>
        </w:rPr>
      </w:pPr>
      <w:r>
        <w:rPr>
          <w:color w:val="auto"/>
        </w:rPr>
        <w:t>21.</w:t>
      </w:r>
      <w:r>
        <w:rPr>
          <w:color w:val="auto"/>
        </w:rPr>
        <w:tab/>
        <w:t>Exit plan</w:t>
      </w:r>
    </w:p>
    <w:p w14:paraId="46C98A73" w14:textId="77777777" w:rsidR="000D1830" w:rsidRDefault="00FD46F3">
      <w:pPr>
        <w:ind w:left="720" w:hanging="720"/>
      </w:pPr>
      <w:r>
        <w:t>21.1</w:t>
      </w:r>
      <w:r>
        <w:tab/>
        <w:t>The Supplier must provide an exit plan in its Application which ensures continuity of service and the Supplier will follow it.</w:t>
      </w:r>
    </w:p>
    <w:p w14:paraId="46C98A74" w14:textId="77777777" w:rsidR="000D1830" w:rsidRDefault="000D1830">
      <w:pPr>
        <w:ind w:firstLine="720"/>
      </w:pPr>
    </w:p>
    <w:p w14:paraId="46C98A75" w14:textId="77777777" w:rsidR="000D1830" w:rsidRDefault="00FD46F3">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46C98A76" w14:textId="77777777" w:rsidR="000D1830" w:rsidRDefault="000D1830">
      <w:pPr>
        <w:ind w:left="720"/>
      </w:pPr>
    </w:p>
    <w:p w14:paraId="46C98A77" w14:textId="77777777" w:rsidR="000D1830" w:rsidRDefault="00FD46F3">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46C98A78" w14:textId="77777777" w:rsidR="000D1830" w:rsidRDefault="000D1830">
      <w:pPr>
        <w:ind w:left="720"/>
      </w:pPr>
    </w:p>
    <w:p w14:paraId="46C98A79" w14:textId="77777777" w:rsidR="000D1830" w:rsidRDefault="00FD46F3">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6C98A7A" w14:textId="77777777" w:rsidR="000D1830" w:rsidRDefault="000D1830">
      <w:pPr>
        <w:ind w:left="720"/>
      </w:pPr>
    </w:p>
    <w:p w14:paraId="46C98A7B" w14:textId="77777777" w:rsidR="000D1830" w:rsidRDefault="00FD46F3">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6C98A7C" w14:textId="77777777" w:rsidR="000D1830" w:rsidRDefault="000D1830">
      <w:pPr>
        <w:ind w:left="720"/>
      </w:pPr>
    </w:p>
    <w:p w14:paraId="46C98A7D" w14:textId="77777777" w:rsidR="000D1830" w:rsidRDefault="00FD46F3">
      <w:pPr>
        <w:ind w:left="720" w:hanging="720"/>
      </w:pPr>
      <w:r>
        <w:lastRenderedPageBreak/>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6C98A7E" w14:textId="77777777" w:rsidR="000D1830" w:rsidRDefault="000D1830">
      <w:pPr>
        <w:ind w:left="720"/>
      </w:pPr>
    </w:p>
    <w:p w14:paraId="46C98A7F" w14:textId="77777777" w:rsidR="000D1830" w:rsidRDefault="00FD46F3">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6C98A80" w14:textId="77777777" w:rsidR="000D1830" w:rsidRDefault="000D1830"/>
    <w:p w14:paraId="46C98A81" w14:textId="77777777" w:rsidR="000D1830" w:rsidRDefault="00FD46F3">
      <w:pPr>
        <w:ind w:firstLine="720"/>
      </w:pPr>
      <w:r>
        <w:t>21.6.2</w:t>
      </w:r>
      <w:r>
        <w:tab/>
        <w:t>there will be no adverse impact on service continuity</w:t>
      </w:r>
    </w:p>
    <w:p w14:paraId="46C98A82" w14:textId="77777777" w:rsidR="000D1830" w:rsidRDefault="000D1830">
      <w:pPr>
        <w:ind w:firstLine="720"/>
      </w:pPr>
    </w:p>
    <w:p w14:paraId="46C98A83" w14:textId="77777777" w:rsidR="000D1830" w:rsidRDefault="00FD46F3">
      <w:pPr>
        <w:ind w:firstLine="720"/>
      </w:pPr>
      <w:r>
        <w:t>21.6.3</w:t>
      </w:r>
      <w:r>
        <w:tab/>
        <w:t>there is no vendor lock-in to the Supplier’s Service at exit</w:t>
      </w:r>
    </w:p>
    <w:p w14:paraId="46C98A84" w14:textId="77777777" w:rsidR="000D1830" w:rsidRDefault="000D1830"/>
    <w:p w14:paraId="46C98A85" w14:textId="77777777" w:rsidR="000D1830" w:rsidRDefault="00FD46F3">
      <w:pPr>
        <w:ind w:firstLine="720"/>
      </w:pPr>
      <w:r>
        <w:t>21.6.4</w:t>
      </w:r>
      <w:r>
        <w:tab/>
        <w:t>it enables the Buyer to meet its obligations under the Technology Code Of Practice</w:t>
      </w:r>
    </w:p>
    <w:p w14:paraId="46C98A86" w14:textId="77777777" w:rsidR="000D1830" w:rsidRDefault="000D1830">
      <w:pPr>
        <w:ind w:left="720" w:firstLine="720"/>
      </w:pPr>
    </w:p>
    <w:p w14:paraId="46C98A87" w14:textId="77777777" w:rsidR="000D1830" w:rsidRDefault="00FD46F3">
      <w:pPr>
        <w:ind w:left="720" w:hanging="720"/>
      </w:pPr>
      <w:r>
        <w:t>21.7</w:t>
      </w:r>
      <w:r>
        <w:tab/>
        <w:t>If approval is obtained by the Buyer to extend the Term, then the Supplier will comply with its obligations in the additional exit plan.</w:t>
      </w:r>
    </w:p>
    <w:p w14:paraId="46C98A88" w14:textId="77777777" w:rsidR="000D1830" w:rsidRDefault="000D1830">
      <w:pPr>
        <w:ind w:firstLine="720"/>
      </w:pPr>
    </w:p>
    <w:p w14:paraId="46C98A89" w14:textId="77777777" w:rsidR="000D1830" w:rsidRDefault="00FD46F3">
      <w:pPr>
        <w:ind w:left="720" w:hanging="720"/>
      </w:pPr>
      <w:r>
        <w:t>21.8</w:t>
      </w:r>
      <w:r>
        <w:tab/>
        <w:t>The additional exit plan must set out full details of timescales, activities and roles and responsibilities of the Parties for:</w:t>
      </w:r>
    </w:p>
    <w:p w14:paraId="46C98A8A" w14:textId="77777777" w:rsidR="000D1830" w:rsidRDefault="000D1830">
      <w:pPr>
        <w:ind w:firstLine="720"/>
      </w:pPr>
    </w:p>
    <w:p w14:paraId="46C98A8B" w14:textId="77777777" w:rsidR="000D1830" w:rsidRDefault="00FD46F3">
      <w:pPr>
        <w:ind w:left="1440" w:hanging="720"/>
      </w:pPr>
      <w:r>
        <w:t>21.8.1</w:t>
      </w:r>
      <w:r>
        <w:tab/>
        <w:t>the transfer to the Buyer of any technical information, instructions, manuals and code reasonably required by the Buyer to enable a smooth migration from the Supplier</w:t>
      </w:r>
    </w:p>
    <w:p w14:paraId="46C98A8C" w14:textId="77777777" w:rsidR="000D1830" w:rsidRDefault="000D1830">
      <w:pPr>
        <w:ind w:left="1440"/>
      </w:pPr>
    </w:p>
    <w:p w14:paraId="46C98A8D" w14:textId="77777777" w:rsidR="000D1830" w:rsidRDefault="00FD46F3">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46C98A8E" w14:textId="77777777" w:rsidR="000D1830" w:rsidRDefault="000D1830">
      <w:pPr>
        <w:ind w:left="1440"/>
      </w:pPr>
    </w:p>
    <w:p w14:paraId="46C98A8F" w14:textId="77777777" w:rsidR="000D1830" w:rsidRDefault="00FD46F3">
      <w:pPr>
        <w:ind w:left="1440" w:hanging="720"/>
      </w:pPr>
      <w:r>
        <w:t>21.8.3</w:t>
      </w:r>
      <w:r>
        <w:tab/>
        <w:t>the transfer of Project Specific IPR items and other Buyer customisations, configurations and databases to the Buyer or a replacement supplier</w:t>
      </w:r>
    </w:p>
    <w:p w14:paraId="46C98A90" w14:textId="77777777" w:rsidR="000D1830" w:rsidRDefault="000D1830">
      <w:pPr>
        <w:ind w:left="720" w:firstLine="720"/>
      </w:pPr>
    </w:p>
    <w:p w14:paraId="46C98A91" w14:textId="77777777" w:rsidR="000D1830" w:rsidRDefault="00FD46F3">
      <w:pPr>
        <w:ind w:firstLine="720"/>
      </w:pPr>
      <w:r>
        <w:t>21.8.4</w:t>
      </w:r>
      <w:r>
        <w:tab/>
        <w:t>the testing and assurance strategy for exported Buyer Data</w:t>
      </w:r>
    </w:p>
    <w:p w14:paraId="46C98A92" w14:textId="77777777" w:rsidR="000D1830" w:rsidRDefault="000D1830">
      <w:pPr>
        <w:ind w:firstLine="720"/>
      </w:pPr>
    </w:p>
    <w:p w14:paraId="46C98A93" w14:textId="77777777" w:rsidR="000D1830" w:rsidRDefault="00FD46F3">
      <w:pPr>
        <w:ind w:firstLine="720"/>
      </w:pPr>
      <w:r>
        <w:t>21.8.5</w:t>
      </w:r>
      <w:r>
        <w:tab/>
        <w:t>if relevant, TUPE-related activity to comply with the TUPE regulations</w:t>
      </w:r>
    </w:p>
    <w:p w14:paraId="46C98A94" w14:textId="77777777" w:rsidR="000D1830" w:rsidRDefault="000D1830">
      <w:pPr>
        <w:ind w:firstLine="720"/>
      </w:pPr>
    </w:p>
    <w:p w14:paraId="46C98A95" w14:textId="77777777" w:rsidR="000D1830" w:rsidRDefault="00FD46F3">
      <w:pPr>
        <w:ind w:left="1440" w:hanging="720"/>
      </w:pPr>
      <w:r>
        <w:t>21.8.6</w:t>
      </w:r>
      <w:r>
        <w:tab/>
        <w:t>any other activities and information which is reasonably required to ensure continuity of Service during the exit period and an orderly transition</w:t>
      </w:r>
    </w:p>
    <w:p w14:paraId="46C98A96" w14:textId="77777777" w:rsidR="000D1830" w:rsidRDefault="000D1830"/>
    <w:p w14:paraId="46C98A97" w14:textId="77777777" w:rsidR="000D1830" w:rsidRDefault="00FD46F3">
      <w:pPr>
        <w:pStyle w:val="Heading3"/>
        <w:rPr>
          <w:color w:val="auto"/>
        </w:rPr>
      </w:pPr>
      <w:r>
        <w:rPr>
          <w:color w:val="auto"/>
        </w:rPr>
        <w:t>22.</w:t>
      </w:r>
      <w:r>
        <w:rPr>
          <w:color w:val="auto"/>
        </w:rPr>
        <w:tab/>
        <w:t>Handover to replacement supplier</w:t>
      </w:r>
    </w:p>
    <w:p w14:paraId="46C98A98" w14:textId="77777777" w:rsidR="000D1830" w:rsidRDefault="00FD46F3">
      <w:pPr>
        <w:ind w:left="720" w:hanging="720"/>
      </w:pPr>
      <w:r>
        <w:t>22.1</w:t>
      </w:r>
      <w:r>
        <w:tab/>
        <w:t>At least 10 Working Days before the Expiry Date or End Date, the Supplier must provide any:</w:t>
      </w:r>
    </w:p>
    <w:p w14:paraId="46C98A99" w14:textId="77777777" w:rsidR="000D1830" w:rsidRDefault="000D1830">
      <w:pPr>
        <w:ind w:firstLine="720"/>
      </w:pPr>
    </w:p>
    <w:p w14:paraId="46C98A9A" w14:textId="77777777" w:rsidR="000D1830" w:rsidRDefault="00FD46F3">
      <w:pPr>
        <w:ind w:left="1440" w:hanging="720"/>
      </w:pPr>
      <w:r>
        <w:t>22.1.1</w:t>
      </w:r>
      <w:r>
        <w:tab/>
        <w:t>data (including Buyer Data), Buyer Personal Data and Buyer Confidential Information in the Supplier’s possession, power or control</w:t>
      </w:r>
    </w:p>
    <w:p w14:paraId="46C98A9B" w14:textId="77777777" w:rsidR="000D1830" w:rsidRDefault="000D1830">
      <w:pPr>
        <w:ind w:left="720" w:firstLine="720"/>
      </w:pPr>
    </w:p>
    <w:p w14:paraId="46C98A9C" w14:textId="77777777" w:rsidR="000D1830" w:rsidRDefault="00FD46F3">
      <w:pPr>
        <w:ind w:firstLine="720"/>
      </w:pPr>
      <w:r>
        <w:t>22.1.2</w:t>
      </w:r>
      <w:r>
        <w:tab/>
        <w:t>other information reasonably requested by the Buyer</w:t>
      </w:r>
    </w:p>
    <w:p w14:paraId="46C98A9D" w14:textId="77777777" w:rsidR="000D1830" w:rsidRDefault="000D1830">
      <w:pPr>
        <w:ind w:firstLine="720"/>
      </w:pPr>
    </w:p>
    <w:p w14:paraId="46C98A9E" w14:textId="77777777" w:rsidR="000D1830" w:rsidRDefault="00FD46F3">
      <w:pPr>
        <w:ind w:left="720" w:hanging="720"/>
      </w:pPr>
      <w:r>
        <w:lastRenderedPageBreak/>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6C98A9F" w14:textId="77777777" w:rsidR="000D1830" w:rsidRDefault="000D1830">
      <w:pPr>
        <w:ind w:left="720"/>
      </w:pPr>
    </w:p>
    <w:p w14:paraId="46C98AA0" w14:textId="77777777" w:rsidR="000D1830" w:rsidRDefault="00FD46F3">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6C98AA1" w14:textId="77777777" w:rsidR="000D1830" w:rsidRDefault="000D1830">
      <w:pPr>
        <w:ind w:left="720"/>
      </w:pPr>
    </w:p>
    <w:p w14:paraId="46C98AA2" w14:textId="77777777" w:rsidR="000D1830" w:rsidRDefault="00FD46F3">
      <w:pPr>
        <w:pStyle w:val="Heading3"/>
        <w:rPr>
          <w:color w:val="auto"/>
        </w:rPr>
      </w:pPr>
      <w:r>
        <w:rPr>
          <w:color w:val="auto"/>
        </w:rPr>
        <w:t>23.</w:t>
      </w:r>
      <w:r>
        <w:rPr>
          <w:color w:val="auto"/>
        </w:rPr>
        <w:tab/>
        <w:t>Force majeure</w:t>
      </w:r>
    </w:p>
    <w:p w14:paraId="46C98AA3" w14:textId="77777777" w:rsidR="000D1830" w:rsidRDefault="00FD46F3">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46C98AA4" w14:textId="77777777" w:rsidR="000D1830" w:rsidRDefault="000D1830">
      <w:pPr>
        <w:ind w:left="720" w:hanging="720"/>
      </w:pPr>
    </w:p>
    <w:p w14:paraId="46C98AA5" w14:textId="77777777" w:rsidR="000D1830" w:rsidRDefault="00FD46F3">
      <w:pPr>
        <w:pStyle w:val="Heading3"/>
        <w:rPr>
          <w:color w:val="auto"/>
        </w:rPr>
      </w:pPr>
      <w:r>
        <w:rPr>
          <w:color w:val="auto"/>
        </w:rPr>
        <w:t>24.</w:t>
      </w:r>
      <w:r>
        <w:rPr>
          <w:color w:val="auto"/>
        </w:rPr>
        <w:tab/>
        <w:t>Liability</w:t>
      </w:r>
    </w:p>
    <w:p w14:paraId="46C98AA6" w14:textId="77777777" w:rsidR="000D1830" w:rsidRDefault="00FD46F3">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6C98AA7" w14:textId="77777777" w:rsidR="000D1830" w:rsidRDefault="000D1830">
      <w:pPr>
        <w:ind w:left="720"/>
      </w:pPr>
    </w:p>
    <w:p w14:paraId="46C98AA8" w14:textId="77777777" w:rsidR="000D1830" w:rsidRDefault="00FD46F3">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6C98AA9" w14:textId="77777777" w:rsidR="000D1830" w:rsidRDefault="000D1830">
      <w:pPr>
        <w:ind w:left="1440"/>
      </w:pPr>
    </w:p>
    <w:p w14:paraId="46C98AAA" w14:textId="77777777" w:rsidR="000D1830" w:rsidRDefault="00FD46F3">
      <w:pPr>
        <w:ind w:left="1440" w:hanging="720"/>
      </w:pPr>
      <w:r>
        <w:t>24.1.2</w:t>
      </w:r>
      <w:r>
        <w:tab/>
        <w:t>Buyer Data: for all Defaults by the Supplier resulting in direct loss, destruction, corruption, degradation or damage to any Buyer Data, will not exceed the amount in the Order Form</w:t>
      </w:r>
    </w:p>
    <w:p w14:paraId="46C98AAB" w14:textId="77777777" w:rsidR="000D1830" w:rsidRDefault="000D1830">
      <w:pPr>
        <w:ind w:left="1440"/>
      </w:pPr>
    </w:p>
    <w:p w14:paraId="46C98AAC" w14:textId="77777777" w:rsidR="000D1830" w:rsidRDefault="00FD46F3">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46C98AAD" w14:textId="77777777" w:rsidR="000D1830" w:rsidRDefault="000D1830">
      <w:pPr>
        <w:spacing w:before="240" w:after="240"/>
      </w:pPr>
    </w:p>
    <w:p w14:paraId="46C98AAE" w14:textId="77777777" w:rsidR="000D1830" w:rsidRDefault="00FD46F3">
      <w:pPr>
        <w:pStyle w:val="Heading3"/>
        <w:rPr>
          <w:color w:val="auto"/>
        </w:rPr>
      </w:pPr>
      <w:r>
        <w:rPr>
          <w:color w:val="auto"/>
        </w:rPr>
        <w:t>25.</w:t>
      </w:r>
      <w:r>
        <w:rPr>
          <w:color w:val="auto"/>
        </w:rPr>
        <w:tab/>
        <w:t>Premises</w:t>
      </w:r>
    </w:p>
    <w:p w14:paraId="46C98AAF" w14:textId="77777777" w:rsidR="000D1830" w:rsidRDefault="00FD46F3">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6C98AB0" w14:textId="77777777" w:rsidR="000D1830" w:rsidRDefault="000D1830">
      <w:pPr>
        <w:ind w:left="720"/>
      </w:pPr>
    </w:p>
    <w:p w14:paraId="46C98AB1" w14:textId="77777777" w:rsidR="000D1830" w:rsidRDefault="00FD46F3">
      <w:pPr>
        <w:ind w:left="720" w:hanging="720"/>
      </w:pPr>
      <w:r>
        <w:t>25.2</w:t>
      </w:r>
      <w:r>
        <w:tab/>
        <w:t>The Supplier will use the Buyer’s premises solely for the performance of its obligations under this Call-Off Contract.</w:t>
      </w:r>
    </w:p>
    <w:p w14:paraId="46C98AB2" w14:textId="77777777" w:rsidR="000D1830" w:rsidRDefault="000D1830">
      <w:pPr>
        <w:ind w:firstLine="720"/>
      </w:pPr>
    </w:p>
    <w:p w14:paraId="46C98AB3" w14:textId="77777777" w:rsidR="000D1830" w:rsidRDefault="00FD46F3">
      <w:r>
        <w:t>25.3</w:t>
      </w:r>
      <w:r>
        <w:tab/>
        <w:t>The Supplier will vacate the Buyer’s premises when the Call-Off Contract Ends or expires.</w:t>
      </w:r>
    </w:p>
    <w:p w14:paraId="46C98AB4" w14:textId="77777777" w:rsidR="000D1830" w:rsidRDefault="000D1830">
      <w:pPr>
        <w:ind w:firstLine="720"/>
      </w:pPr>
    </w:p>
    <w:p w14:paraId="46C98AB5" w14:textId="77777777" w:rsidR="000D1830" w:rsidRDefault="00FD46F3">
      <w:r>
        <w:lastRenderedPageBreak/>
        <w:t>25.4</w:t>
      </w:r>
      <w:r>
        <w:tab/>
        <w:t>This clause does not create a tenancy or exclusive right of occupation.</w:t>
      </w:r>
    </w:p>
    <w:p w14:paraId="46C98AB6" w14:textId="77777777" w:rsidR="000D1830" w:rsidRDefault="000D1830"/>
    <w:p w14:paraId="46C98AB7" w14:textId="77777777" w:rsidR="000D1830" w:rsidRDefault="00FD46F3">
      <w:r>
        <w:t>25.5</w:t>
      </w:r>
      <w:r>
        <w:tab/>
        <w:t>While on the Buyer’s premises, the Supplier will:</w:t>
      </w:r>
    </w:p>
    <w:p w14:paraId="46C98AB8" w14:textId="77777777" w:rsidR="000D1830" w:rsidRDefault="000D1830"/>
    <w:p w14:paraId="46C98AB9" w14:textId="77777777" w:rsidR="000D1830" w:rsidRDefault="00FD46F3">
      <w:pPr>
        <w:ind w:left="1440" w:hanging="720"/>
      </w:pPr>
      <w:r>
        <w:t>25.5.1</w:t>
      </w:r>
      <w:r>
        <w:tab/>
        <w:t>comply with any security requirements at the premises and not do anything to weaken the security of the premises</w:t>
      </w:r>
    </w:p>
    <w:p w14:paraId="46C98ABA" w14:textId="77777777" w:rsidR="000D1830" w:rsidRDefault="000D1830">
      <w:pPr>
        <w:ind w:left="720"/>
      </w:pPr>
    </w:p>
    <w:p w14:paraId="46C98ABB" w14:textId="77777777" w:rsidR="000D1830" w:rsidRDefault="00FD46F3">
      <w:pPr>
        <w:ind w:firstLine="720"/>
      </w:pPr>
      <w:r>
        <w:t>25.5.2</w:t>
      </w:r>
      <w:r>
        <w:tab/>
        <w:t>comply with Buyer requirements for the conduct of personnel</w:t>
      </w:r>
    </w:p>
    <w:p w14:paraId="46C98ABC" w14:textId="77777777" w:rsidR="000D1830" w:rsidRDefault="000D1830">
      <w:pPr>
        <w:ind w:firstLine="720"/>
      </w:pPr>
    </w:p>
    <w:p w14:paraId="46C98ABD" w14:textId="77777777" w:rsidR="000D1830" w:rsidRDefault="00FD46F3">
      <w:pPr>
        <w:ind w:firstLine="720"/>
      </w:pPr>
      <w:r>
        <w:t>25.5.3</w:t>
      </w:r>
      <w:r>
        <w:tab/>
        <w:t>comply with any health and safety measures implemented by the Buyer</w:t>
      </w:r>
    </w:p>
    <w:p w14:paraId="46C98ABE" w14:textId="77777777" w:rsidR="000D1830" w:rsidRDefault="000D1830">
      <w:pPr>
        <w:ind w:firstLine="720"/>
      </w:pPr>
    </w:p>
    <w:p w14:paraId="46C98ABF" w14:textId="77777777" w:rsidR="000D1830" w:rsidRDefault="00FD46F3">
      <w:pPr>
        <w:ind w:left="1440" w:hanging="720"/>
      </w:pPr>
      <w:r>
        <w:t>25.5.4</w:t>
      </w:r>
      <w:r>
        <w:tab/>
        <w:t>immediately notify the Buyer of any incident on the premises that causes any damage to Property which could cause personal injury</w:t>
      </w:r>
    </w:p>
    <w:p w14:paraId="46C98AC0" w14:textId="77777777" w:rsidR="000D1830" w:rsidRDefault="000D1830">
      <w:pPr>
        <w:ind w:left="720" w:firstLine="720"/>
      </w:pPr>
    </w:p>
    <w:p w14:paraId="46C98AC1" w14:textId="77777777" w:rsidR="000D1830" w:rsidRDefault="00FD46F3">
      <w:pPr>
        <w:ind w:left="720" w:hanging="720"/>
      </w:pPr>
      <w:r>
        <w:t>25.6</w:t>
      </w:r>
      <w:r>
        <w:tab/>
        <w:t>The Supplier will ensure that its health and safety policy statement (as required by the Health and Safety at Work etc Act 1974) is made available to the Buyer on request.</w:t>
      </w:r>
    </w:p>
    <w:p w14:paraId="46C98AC2" w14:textId="77777777" w:rsidR="000D1830" w:rsidRDefault="000D1830">
      <w:pPr>
        <w:ind w:left="720" w:hanging="720"/>
      </w:pPr>
    </w:p>
    <w:p w14:paraId="46C98AC3" w14:textId="77777777" w:rsidR="000D1830" w:rsidRDefault="00FD46F3">
      <w:pPr>
        <w:pStyle w:val="Heading3"/>
        <w:rPr>
          <w:color w:val="auto"/>
        </w:rPr>
      </w:pPr>
      <w:r>
        <w:rPr>
          <w:color w:val="auto"/>
        </w:rPr>
        <w:t>26.</w:t>
      </w:r>
      <w:r>
        <w:rPr>
          <w:color w:val="auto"/>
        </w:rPr>
        <w:tab/>
        <w:t>Equipment</w:t>
      </w:r>
    </w:p>
    <w:p w14:paraId="46C98AC4" w14:textId="77777777" w:rsidR="000D1830" w:rsidRDefault="00FD46F3">
      <w:pPr>
        <w:spacing w:before="240" w:after="240"/>
      </w:pPr>
      <w:r>
        <w:t>26.1</w:t>
      </w:r>
      <w:r>
        <w:tab/>
        <w:t>The Supplier is responsible for providing any Equipment which the Supplier requires to provide the Services.</w:t>
      </w:r>
    </w:p>
    <w:p w14:paraId="46C98AC5" w14:textId="77777777" w:rsidR="000D1830" w:rsidRDefault="000D1830">
      <w:pPr>
        <w:ind w:firstLine="720"/>
      </w:pPr>
    </w:p>
    <w:p w14:paraId="46C98AC6" w14:textId="77777777" w:rsidR="000D1830" w:rsidRDefault="00FD46F3">
      <w:pPr>
        <w:ind w:left="720" w:hanging="720"/>
      </w:pPr>
      <w:r>
        <w:t>26.2</w:t>
      </w:r>
      <w:r>
        <w:tab/>
        <w:t>Any Equipment brought onto the premises will be at the Supplier's own risk and the Buyer will have no liability for any loss of, or damage to, any Equipment.</w:t>
      </w:r>
    </w:p>
    <w:p w14:paraId="46C98AC7" w14:textId="77777777" w:rsidR="000D1830" w:rsidRDefault="000D1830">
      <w:pPr>
        <w:ind w:firstLine="720"/>
      </w:pPr>
    </w:p>
    <w:p w14:paraId="46C98AC8" w14:textId="77777777" w:rsidR="000D1830" w:rsidRDefault="00FD46F3">
      <w:pPr>
        <w:ind w:left="720" w:hanging="720"/>
      </w:pPr>
      <w:r>
        <w:t>26.3</w:t>
      </w:r>
      <w:r>
        <w:tab/>
        <w:t>When the Call-Off Contract Ends or expires, the Supplier will remove the Equipment and any other materials leaving the premises in a safe and clean condition.</w:t>
      </w:r>
    </w:p>
    <w:p w14:paraId="46C98AC9" w14:textId="77777777" w:rsidR="000D1830" w:rsidRDefault="000D1830">
      <w:pPr>
        <w:ind w:left="720" w:hanging="720"/>
      </w:pPr>
    </w:p>
    <w:p w14:paraId="46C98ACA" w14:textId="77777777" w:rsidR="000D1830" w:rsidRDefault="00FD46F3">
      <w:pPr>
        <w:pStyle w:val="Heading3"/>
        <w:rPr>
          <w:color w:val="auto"/>
        </w:rPr>
      </w:pPr>
      <w:r>
        <w:rPr>
          <w:color w:val="auto"/>
        </w:rPr>
        <w:t>27.</w:t>
      </w:r>
      <w:r>
        <w:rPr>
          <w:color w:val="auto"/>
        </w:rPr>
        <w:tab/>
        <w:t>The Contracts (Rights of Third Parties) Act 1999</w:t>
      </w:r>
    </w:p>
    <w:p w14:paraId="46C98ACB" w14:textId="77777777" w:rsidR="000D1830" w:rsidRDefault="000D1830"/>
    <w:p w14:paraId="46C98ACC" w14:textId="77777777" w:rsidR="000D1830" w:rsidRDefault="00FD46F3">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6C98ACD" w14:textId="77777777" w:rsidR="000D1830" w:rsidRDefault="000D1830">
      <w:pPr>
        <w:ind w:left="720" w:hanging="720"/>
      </w:pPr>
    </w:p>
    <w:p w14:paraId="46C98ACE" w14:textId="77777777" w:rsidR="000D1830" w:rsidRDefault="00FD46F3">
      <w:pPr>
        <w:pStyle w:val="Heading3"/>
        <w:rPr>
          <w:color w:val="auto"/>
        </w:rPr>
      </w:pPr>
      <w:r>
        <w:rPr>
          <w:color w:val="auto"/>
        </w:rPr>
        <w:t>28.</w:t>
      </w:r>
      <w:r>
        <w:rPr>
          <w:color w:val="auto"/>
        </w:rPr>
        <w:tab/>
        <w:t>Environmental requirements</w:t>
      </w:r>
    </w:p>
    <w:p w14:paraId="46C98ACF" w14:textId="77777777" w:rsidR="000D1830" w:rsidRDefault="00FD46F3">
      <w:pPr>
        <w:ind w:left="720" w:hanging="720"/>
      </w:pPr>
      <w:r>
        <w:t>28.1</w:t>
      </w:r>
      <w:r>
        <w:tab/>
        <w:t>The Buyer will provide a copy of its environmental policy to the Supplier on request, which the Supplier will comply with.</w:t>
      </w:r>
    </w:p>
    <w:p w14:paraId="46C98AD0" w14:textId="77777777" w:rsidR="000D1830" w:rsidRDefault="000D1830">
      <w:pPr>
        <w:ind w:firstLine="720"/>
      </w:pPr>
    </w:p>
    <w:p w14:paraId="46C98AD1" w14:textId="77777777" w:rsidR="000D1830" w:rsidRDefault="00FD46F3">
      <w:pPr>
        <w:ind w:left="720" w:hanging="720"/>
      </w:pPr>
      <w:r>
        <w:t>28.2</w:t>
      </w:r>
      <w:r>
        <w:tab/>
        <w:t>The Supplier must provide reasonable support to enable Buyers to work in an environmentally friendly way, for example by helping them recycle or lower their carbon footprint.</w:t>
      </w:r>
    </w:p>
    <w:p w14:paraId="46C98AD2" w14:textId="77777777" w:rsidR="000D1830" w:rsidRDefault="000D1830">
      <w:pPr>
        <w:ind w:left="720" w:hanging="720"/>
      </w:pPr>
    </w:p>
    <w:p w14:paraId="46C98AD3" w14:textId="77777777" w:rsidR="000D1830" w:rsidRDefault="00FD46F3">
      <w:pPr>
        <w:pStyle w:val="Heading3"/>
        <w:rPr>
          <w:color w:val="auto"/>
        </w:rPr>
      </w:pPr>
      <w:r>
        <w:rPr>
          <w:color w:val="auto"/>
        </w:rPr>
        <w:lastRenderedPageBreak/>
        <w:t>29.</w:t>
      </w:r>
      <w:r>
        <w:rPr>
          <w:color w:val="auto"/>
        </w:rPr>
        <w:tab/>
        <w:t>The Employment Regulations (TUPE)</w:t>
      </w:r>
    </w:p>
    <w:p w14:paraId="46C98AD4" w14:textId="77777777" w:rsidR="000D1830" w:rsidRDefault="00FD46F3">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6C98AD5" w14:textId="77777777" w:rsidR="000D1830" w:rsidRDefault="000D1830">
      <w:pPr>
        <w:ind w:left="720"/>
      </w:pPr>
    </w:p>
    <w:p w14:paraId="46C98AD6" w14:textId="77777777" w:rsidR="000D1830" w:rsidRDefault="00FD46F3">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6C98AD7" w14:textId="77777777" w:rsidR="000D1830" w:rsidRDefault="000D1830">
      <w:pPr>
        <w:ind w:left="720"/>
      </w:pPr>
    </w:p>
    <w:p w14:paraId="46C98AD8" w14:textId="77777777" w:rsidR="000D1830" w:rsidRDefault="00FD46F3">
      <w:pPr>
        <w:ind w:firstLine="720"/>
      </w:pPr>
      <w:r>
        <w:t>29.2.1</w:t>
      </w:r>
      <w:r>
        <w:tab/>
      </w:r>
      <w:r>
        <w:tab/>
        <w:t>the activities they perform</w:t>
      </w:r>
    </w:p>
    <w:p w14:paraId="46C98AD9" w14:textId="77777777" w:rsidR="000D1830" w:rsidRDefault="00FD46F3">
      <w:pPr>
        <w:ind w:firstLine="720"/>
      </w:pPr>
      <w:r>
        <w:t>29.2.2</w:t>
      </w:r>
      <w:r>
        <w:tab/>
      </w:r>
      <w:r>
        <w:tab/>
        <w:t>age</w:t>
      </w:r>
    </w:p>
    <w:p w14:paraId="46C98ADA" w14:textId="77777777" w:rsidR="000D1830" w:rsidRDefault="00FD46F3">
      <w:pPr>
        <w:ind w:firstLine="720"/>
      </w:pPr>
      <w:r>
        <w:t>29.2.3</w:t>
      </w:r>
      <w:r>
        <w:tab/>
      </w:r>
      <w:r>
        <w:tab/>
        <w:t>start date</w:t>
      </w:r>
    </w:p>
    <w:p w14:paraId="46C98ADB" w14:textId="77777777" w:rsidR="000D1830" w:rsidRDefault="00FD46F3">
      <w:pPr>
        <w:ind w:firstLine="720"/>
      </w:pPr>
      <w:r>
        <w:t>29.2.4</w:t>
      </w:r>
      <w:r>
        <w:tab/>
      </w:r>
      <w:r>
        <w:tab/>
        <w:t>place of work</w:t>
      </w:r>
    </w:p>
    <w:p w14:paraId="46C98ADC" w14:textId="77777777" w:rsidR="000D1830" w:rsidRDefault="00FD46F3">
      <w:pPr>
        <w:ind w:firstLine="720"/>
      </w:pPr>
      <w:r>
        <w:t>29.2.5</w:t>
      </w:r>
      <w:r>
        <w:tab/>
      </w:r>
      <w:r>
        <w:tab/>
        <w:t>notice period</w:t>
      </w:r>
    </w:p>
    <w:p w14:paraId="46C98ADD" w14:textId="77777777" w:rsidR="000D1830" w:rsidRDefault="00FD46F3">
      <w:pPr>
        <w:ind w:firstLine="720"/>
      </w:pPr>
      <w:r>
        <w:t>29.2.6</w:t>
      </w:r>
      <w:r>
        <w:tab/>
      </w:r>
      <w:r>
        <w:tab/>
        <w:t>redundancy payment entitlement</w:t>
      </w:r>
    </w:p>
    <w:p w14:paraId="46C98ADE" w14:textId="77777777" w:rsidR="000D1830" w:rsidRDefault="00FD46F3">
      <w:pPr>
        <w:ind w:firstLine="720"/>
      </w:pPr>
      <w:r>
        <w:t>29.2.7</w:t>
      </w:r>
      <w:r>
        <w:tab/>
      </w:r>
      <w:r>
        <w:tab/>
        <w:t>salary, benefits and pension entitlements</w:t>
      </w:r>
    </w:p>
    <w:p w14:paraId="46C98ADF" w14:textId="77777777" w:rsidR="000D1830" w:rsidRDefault="00FD46F3">
      <w:pPr>
        <w:ind w:firstLine="720"/>
      </w:pPr>
      <w:r>
        <w:t>29.2.8</w:t>
      </w:r>
      <w:r>
        <w:tab/>
      </w:r>
      <w:r>
        <w:tab/>
        <w:t>employment status</w:t>
      </w:r>
    </w:p>
    <w:p w14:paraId="46C98AE0" w14:textId="77777777" w:rsidR="000D1830" w:rsidRDefault="00FD46F3">
      <w:pPr>
        <w:ind w:firstLine="720"/>
      </w:pPr>
      <w:r>
        <w:t>29.2.9</w:t>
      </w:r>
      <w:r>
        <w:tab/>
      </w:r>
      <w:r>
        <w:tab/>
        <w:t>identity of employer</w:t>
      </w:r>
    </w:p>
    <w:p w14:paraId="46C98AE1" w14:textId="77777777" w:rsidR="000D1830" w:rsidRDefault="00FD46F3">
      <w:pPr>
        <w:ind w:firstLine="720"/>
      </w:pPr>
      <w:r>
        <w:t>29.2.10</w:t>
      </w:r>
      <w:r>
        <w:tab/>
        <w:t>working arrangements</w:t>
      </w:r>
    </w:p>
    <w:p w14:paraId="46C98AE2" w14:textId="77777777" w:rsidR="000D1830" w:rsidRDefault="00FD46F3">
      <w:pPr>
        <w:ind w:firstLine="720"/>
      </w:pPr>
      <w:r>
        <w:t>29.2.11</w:t>
      </w:r>
      <w:r>
        <w:tab/>
        <w:t>outstanding liabilities</w:t>
      </w:r>
    </w:p>
    <w:p w14:paraId="46C98AE3" w14:textId="77777777" w:rsidR="000D1830" w:rsidRDefault="00FD46F3">
      <w:pPr>
        <w:ind w:firstLine="720"/>
      </w:pPr>
      <w:r>
        <w:t>29.2.12</w:t>
      </w:r>
      <w:r>
        <w:tab/>
        <w:t>sickness absence</w:t>
      </w:r>
    </w:p>
    <w:p w14:paraId="46C98AE4" w14:textId="77777777" w:rsidR="000D1830" w:rsidRDefault="00FD46F3">
      <w:pPr>
        <w:ind w:firstLine="720"/>
      </w:pPr>
      <w:r>
        <w:t>29.2.13</w:t>
      </w:r>
      <w:r>
        <w:tab/>
        <w:t>copies of all relevant employment contracts and related documents</w:t>
      </w:r>
    </w:p>
    <w:p w14:paraId="46C98AE5" w14:textId="77777777" w:rsidR="000D1830" w:rsidRDefault="00FD46F3">
      <w:pPr>
        <w:ind w:firstLine="720"/>
      </w:pPr>
      <w:r>
        <w:t>29.2.14</w:t>
      </w:r>
      <w:r>
        <w:tab/>
        <w:t>all information required under regulation 11 of TUPE or as reasonably</w:t>
      </w:r>
    </w:p>
    <w:p w14:paraId="46C98AE6" w14:textId="77777777" w:rsidR="000D1830" w:rsidRDefault="00FD46F3">
      <w:pPr>
        <w:ind w:left="1440" w:firstLine="720"/>
      </w:pPr>
      <w:r>
        <w:t>requested by the Buyer</w:t>
      </w:r>
    </w:p>
    <w:p w14:paraId="46C98AE7" w14:textId="77777777" w:rsidR="000D1830" w:rsidRDefault="000D1830">
      <w:pPr>
        <w:ind w:left="720" w:firstLine="720"/>
      </w:pPr>
    </w:p>
    <w:p w14:paraId="46C98AE8" w14:textId="77777777" w:rsidR="000D1830" w:rsidRDefault="00FD46F3">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6C98AE9" w14:textId="77777777" w:rsidR="000D1830" w:rsidRDefault="000D1830">
      <w:pPr>
        <w:ind w:left="720"/>
      </w:pPr>
    </w:p>
    <w:p w14:paraId="46C98AEA" w14:textId="77777777" w:rsidR="000D1830" w:rsidRDefault="00FD46F3">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6C98AEB" w14:textId="77777777" w:rsidR="000D1830" w:rsidRDefault="000D1830">
      <w:pPr>
        <w:ind w:left="720"/>
      </w:pPr>
    </w:p>
    <w:p w14:paraId="46C98AEC" w14:textId="77777777" w:rsidR="000D1830" w:rsidRDefault="00FD46F3">
      <w:pPr>
        <w:ind w:left="720" w:hanging="720"/>
      </w:pPr>
      <w:r>
        <w:t>29.5</w:t>
      </w:r>
      <w:r>
        <w:tab/>
        <w:t>The Supplier will co-operate with the re-tendering of this Call-Off Contract by allowing the Replacement Supplier to communicate with and meet the affected employees or their representatives.</w:t>
      </w:r>
    </w:p>
    <w:p w14:paraId="46C98AED" w14:textId="77777777" w:rsidR="000D1830" w:rsidRDefault="000D1830">
      <w:pPr>
        <w:ind w:left="720"/>
      </w:pPr>
    </w:p>
    <w:p w14:paraId="46C98AEE" w14:textId="77777777" w:rsidR="000D1830" w:rsidRDefault="00FD46F3">
      <w:pPr>
        <w:ind w:left="720" w:hanging="720"/>
      </w:pPr>
      <w:r>
        <w:t>29.6</w:t>
      </w:r>
      <w:r>
        <w:tab/>
        <w:t>The Supplier will indemnify the Buyer or any Replacement Supplier for all Loss arising from both:</w:t>
      </w:r>
    </w:p>
    <w:p w14:paraId="46C98AEF" w14:textId="77777777" w:rsidR="000D1830" w:rsidRDefault="000D1830">
      <w:pPr>
        <w:ind w:firstLine="720"/>
      </w:pPr>
    </w:p>
    <w:p w14:paraId="46C98AF0" w14:textId="77777777" w:rsidR="000D1830" w:rsidRDefault="00FD46F3">
      <w:pPr>
        <w:ind w:firstLine="720"/>
      </w:pPr>
      <w:r>
        <w:t>29.6.1</w:t>
      </w:r>
      <w:r>
        <w:tab/>
        <w:t>its failure to comply with the provisions of this clause</w:t>
      </w:r>
    </w:p>
    <w:p w14:paraId="46C98AF1" w14:textId="77777777" w:rsidR="000D1830" w:rsidRDefault="000D1830">
      <w:pPr>
        <w:ind w:firstLine="720"/>
      </w:pPr>
    </w:p>
    <w:p w14:paraId="46C98AF2" w14:textId="77777777" w:rsidR="000D1830" w:rsidRDefault="00FD46F3">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6C98AF3" w14:textId="77777777" w:rsidR="000D1830" w:rsidRDefault="000D1830">
      <w:pPr>
        <w:ind w:left="1440"/>
      </w:pPr>
    </w:p>
    <w:p w14:paraId="46C98AF4" w14:textId="77777777" w:rsidR="000D1830" w:rsidRDefault="00FD46F3">
      <w:pPr>
        <w:ind w:left="720" w:hanging="720"/>
      </w:pPr>
      <w:r>
        <w:lastRenderedPageBreak/>
        <w:t>29.7</w:t>
      </w:r>
      <w:r>
        <w:tab/>
        <w:t>The provisions of this clause apply during the Term of this Call-Off Contract and indefinitely after it Ends or expires.</w:t>
      </w:r>
    </w:p>
    <w:p w14:paraId="46C98AF5" w14:textId="77777777" w:rsidR="000D1830" w:rsidRDefault="000D1830">
      <w:pPr>
        <w:ind w:firstLine="720"/>
      </w:pPr>
    </w:p>
    <w:p w14:paraId="46C98AF6" w14:textId="77777777" w:rsidR="000D1830" w:rsidRDefault="00FD46F3">
      <w:pPr>
        <w:ind w:left="720" w:hanging="720"/>
      </w:pPr>
      <w:r>
        <w:t>29.8</w:t>
      </w:r>
      <w:r>
        <w:tab/>
        <w:t>For these TUPE clauses, the relevant third party will be able to enforce its rights under this clause but their consent will not be required to vary these clauses as the Buyer and Supplier may agree.</w:t>
      </w:r>
    </w:p>
    <w:p w14:paraId="46C98AF7" w14:textId="77777777" w:rsidR="000D1830" w:rsidRDefault="000D1830">
      <w:pPr>
        <w:ind w:left="720" w:hanging="720"/>
      </w:pPr>
    </w:p>
    <w:p w14:paraId="46C98AF8" w14:textId="77777777" w:rsidR="000D1830" w:rsidRDefault="00FD46F3">
      <w:pPr>
        <w:pStyle w:val="Heading3"/>
        <w:rPr>
          <w:color w:val="auto"/>
        </w:rPr>
      </w:pPr>
      <w:r>
        <w:rPr>
          <w:color w:val="auto"/>
        </w:rPr>
        <w:t>30.</w:t>
      </w:r>
      <w:r>
        <w:rPr>
          <w:color w:val="auto"/>
        </w:rPr>
        <w:tab/>
        <w:t>Additional G-Cloud services</w:t>
      </w:r>
    </w:p>
    <w:p w14:paraId="46C98AF9" w14:textId="77777777" w:rsidR="000D1830" w:rsidRDefault="00FD46F3">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46C98AFA" w14:textId="77777777" w:rsidR="000D1830" w:rsidRDefault="000D1830">
      <w:pPr>
        <w:ind w:left="720"/>
      </w:pPr>
    </w:p>
    <w:p w14:paraId="46C98AFB" w14:textId="77777777" w:rsidR="000D1830" w:rsidRDefault="00FD46F3">
      <w:pPr>
        <w:ind w:left="720" w:hanging="720"/>
      </w:pPr>
      <w:r>
        <w:t>30.2</w:t>
      </w:r>
      <w:r>
        <w:tab/>
        <w:t>If reasonably requested to do so by the Buyer in the Order Form, the Supplier must provide and monitor performance of the Additional Services using an Implementation Plan.</w:t>
      </w:r>
    </w:p>
    <w:p w14:paraId="46C98AFC" w14:textId="77777777" w:rsidR="000D1830" w:rsidRDefault="000D1830">
      <w:pPr>
        <w:ind w:left="720" w:hanging="720"/>
      </w:pPr>
    </w:p>
    <w:p w14:paraId="46C98AFD" w14:textId="77777777" w:rsidR="000D1830" w:rsidRDefault="00FD46F3">
      <w:pPr>
        <w:pStyle w:val="Heading3"/>
        <w:rPr>
          <w:color w:val="auto"/>
        </w:rPr>
      </w:pPr>
      <w:r>
        <w:rPr>
          <w:color w:val="auto"/>
        </w:rPr>
        <w:t>31.</w:t>
      </w:r>
      <w:r>
        <w:rPr>
          <w:color w:val="auto"/>
        </w:rPr>
        <w:tab/>
        <w:t>Collaboration</w:t>
      </w:r>
    </w:p>
    <w:p w14:paraId="46C98AFE" w14:textId="77777777" w:rsidR="000D1830" w:rsidRDefault="00FD46F3">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46C98AFF" w14:textId="77777777" w:rsidR="000D1830" w:rsidRDefault="000D1830">
      <w:pPr>
        <w:ind w:left="720"/>
      </w:pPr>
    </w:p>
    <w:p w14:paraId="46C98B00" w14:textId="77777777" w:rsidR="000D1830" w:rsidRDefault="00FD46F3">
      <w:r>
        <w:t>31.2</w:t>
      </w:r>
      <w:r>
        <w:tab/>
        <w:t>In addition to any obligations under the Collaboration Agreement, the Supplier must:</w:t>
      </w:r>
    </w:p>
    <w:p w14:paraId="46C98B01" w14:textId="77777777" w:rsidR="000D1830" w:rsidRDefault="000D1830"/>
    <w:p w14:paraId="46C98B02" w14:textId="77777777" w:rsidR="000D1830" w:rsidRDefault="00FD46F3">
      <w:pPr>
        <w:ind w:firstLine="720"/>
      </w:pPr>
      <w:r>
        <w:t>31.2.1</w:t>
      </w:r>
      <w:r>
        <w:tab/>
        <w:t>work proactively and in good faith with each of the Buyer’s contractors</w:t>
      </w:r>
    </w:p>
    <w:p w14:paraId="46C98B03" w14:textId="77777777" w:rsidR="000D1830" w:rsidRDefault="000D1830">
      <w:pPr>
        <w:ind w:firstLine="720"/>
      </w:pPr>
    </w:p>
    <w:p w14:paraId="46C98B04" w14:textId="77777777" w:rsidR="000D1830" w:rsidRDefault="00FD46F3">
      <w:pPr>
        <w:ind w:left="1440" w:hanging="720"/>
      </w:pPr>
      <w:r>
        <w:t>31.2.2</w:t>
      </w:r>
      <w:r>
        <w:tab/>
        <w:t>co-operate and share information with the Buyer’s contractors to enable the efficient operation of the Buyer’s ICT services and G-Cloud Services</w:t>
      </w:r>
    </w:p>
    <w:p w14:paraId="46C98B05" w14:textId="77777777" w:rsidR="000D1830" w:rsidRDefault="000D1830">
      <w:pPr>
        <w:ind w:left="1440" w:hanging="720"/>
      </w:pPr>
    </w:p>
    <w:p w14:paraId="46C98B06" w14:textId="77777777" w:rsidR="000D1830" w:rsidRDefault="00FD46F3">
      <w:pPr>
        <w:pStyle w:val="Heading3"/>
        <w:rPr>
          <w:color w:val="auto"/>
        </w:rPr>
      </w:pPr>
      <w:r>
        <w:rPr>
          <w:color w:val="auto"/>
        </w:rPr>
        <w:t>32.</w:t>
      </w:r>
      <w:r>
        <w:rPr>
          <w:color w:val="auto"/>
        </w:rPr>
        <w:tab/>
        <w:t>Variation process</w:t>
      </w:r>
    </w:p>
    <w:p w14:paraId="46C98B07" w14:textId="77777777" w:rsidR="000D1830" w:rsidRDefault="00FD46F3">
      <w:pPr>
        <w:ind w:left="720" w:hanging="720"/>
      </w:pPr>
      <w:r>
        <w:t>32.1</w:t>
      </w:r>
      <w:r>
        <w:tab/>
        <w:t>The Buyer can request in writing a change to this Call-Off Contract if it isn’t a material change to the Framework Agreement/or this Call-Off Contract. Once implemented, it is called a Variation.</w:t>
      </w:r>
    </w:p>
    <w:p w14:paraId="46C98B08" w14:textId="77777777" w:rsidR="000D1830" w:rsidRDefault="000D1830">
      <w:pPr>
        <w:ind w:left="720"/>
      </w:pPr>
    </w:p>
    <w:p w14:paraId="46C98B09" w14:textId="77777777" w:rsidR="000D1830" w:rsidRDefault="00FD46F3">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46C98B0A" w14:textId="77777777" w:rsidR="000D1830" w:rsidRDefault="000D1830"/>
    <w:p w14:paraId="46C98B0B" w14:textId="77777777" w:rsidR="000D1830" w:rsidRDefault="00FD46F3">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46C98B0C" w14:textId="77777777" w:rsidR="000D1830" w:rsidRDefault="000D1830">
      <w:pPr>
        <w:ind w:left="720" w:hanging="720"/>
      </w:pPr>
    </w:p>
    <w:p w14:paraId="46C98B0D" w14:textId="77777777" w:rsidR="000D1830" w:rsidRDefault="00FD46F3">
      <w:pPr>
        <w:pStyle w:val="Heading3"/>
        <w:rPr>
          <w:color w:val="auto"/>
        </w:rPr>
      </w:pPr>
      <w:r>
        <w:rPr>
          <w:color w:val="auto"/>
        </w:rPr>
        <w:t>33.</w:t>
      </w:r>
      <w:r>
        <w:rPr>
          <w:color w:val="auto"/>
        </w:rPr>
        <w:tab/>
        <w:t>Data Protection Legislation (GDPR)</w:t>
      </w:r>
    </w:p>
    <w:p w14:paraId="46C98B0E" w14:textId="77777777" w:rsidR="000D1830" w:rsidRDefault="00FD46F3">
      <w:pPr>
        <w:ind w:left="720" w:hanging="720"/>
      </w:pPr>
      <w:r>
        <w:t>33.1</w:t>
      </w:r>
      <w:r>
        <w:tab/>
        <w:t xml:space="preserve">Pursuant to clause 2.1 and for the avoidance of doubt, clauses 8.59 and 8.60 of the Framework Agreement are incorporated into this Call-Off Contract. For reference, the </w:t>
      </w:r>
      <w:r>
        <w:lastRenderedPageBreak/>
        <w:t>appropriate GDPR templates which are required to be completed in accordance with clauses 8.59 and 8.60 are reproduced in this Call-Off Contract document at schedule 7.</w:t>
      </w:r>
    </w:p>
    <w:p w14:paraId="46C98B0F" w14:textId="77777777" w:rsidR="000D1830" w:rsidRDefault="000D1830"/>
    <w:p w14:paraId="46C98B10" w14:textId="77777777" w:rsidR="000D1830" w:rsidRDefault="000D1830">
      <w:pPr>
        <w:pageBreakBefore/>
        <w:rPr>
          <w:b/>
        </w:rPr>
      </w:pPr>
    </w:p>
    <w:p w14:paraId="46C98B11" w14:textId="77777777" w:rsidR="000D1830" w:rsidRDefault="00FD46F3">
      <w:pPr>
        <w:pStyle w:val="Heading2"/>
      </w:pPr>
      <w:bookmarkStart w:id="9" w:name="_Toc33176236"/>
      <w:r>
        <w:t>Schedule 3: Collaboration agreement</w:t>
      </w:r>
      <w:bookmarkEnd w:id="9"/>
    </w:p>
    <w:p w14:paraId="46C98C48" w14:textId="75EDB8A9" w:rsidR="000D1830" w:rsidRDefault="00D45F6F" w:rsidP="00D45F6F">
      <w:r>
        <w:rPr>
          <w:rFonts w:ascii="Helvetica Neue" w:eastAsia="Helvetica Neue" w:hAnsi="Helvetica Neue" w:cs="Helvetica Neue"/>
          <w:sz w:val="24"/>
          <w:szCs w:val="24"/>
        </w:rPr>
        <w:t xml:space="preserve">The Collaboration agreement is available at </w:t>
      </w:r>
      <w:hyperlink r:id="rId30">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46C98CB4" w14:textId="21CE9B66" w:rsidR="000D1830" w:rsidRDefault="00FD46F3" w:rsidP="00D45F6F">
      <w:pPr>
        <w:pStyle w:val="Heading2"/>
      </w:pPr>
      <w:bookmarkStart w:id="10" w:name="_Toc33176237"/>
      <w:r>
        <w:t>Schedule 4: Alternative clauses</w:t>
      </w:r>
      <w:bookmarkEnd w:id="10"/>
    </w:p>
    <w:p w14:paraId="518431B3" w14:textId="670506AE" w:rsidR="00D45F6F" w:rsidRDefault="00D45F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Alternative clauses are available at </w:t>
      </w:r>
      <w:hyperlink r:id="rId31">
        <w:r>
          <w:rPr>
            <w:rStyle w:val="ListLabel470"/>
          </w:rPr>
          <w:t>https://www.gov.uk/guidance/g-cloud-templates-and-legal-documents</w:t>
        </w:r>
      </w:hyperlink>
      <w:r>
        <w:rPr>
          <w:rFonts w:ascii="Helvetica Neue" w:eastAsia="Helvetica Neue" w:hAnsi="Helvetica Neue" w:cs="Helvetica Neue"/>
          <w:sz w:val="24"/>
          <w:szCs w:val="24"/>
        </w:rPr>
        <w:t xml:space="preserve"> </w:t>
      </w:r>
      <w:bookmarkStart w:id="11" w:name="_Toc33176238"/>
    </w:p>
    <w:p w14:paraId="58BC51ED" w14:textId="48919387" w:rsidR="00D45F6F" w:rsidRDefault="00D45F6F" w:rsidP="00D45F6F">
      <w:pPr>
        <w:pStyle w:val="Heading2"/>
      </w:pPr>
      <w:r>
        <w:t>Schedule 5: Guarantee</w:t>
      </w:r>
    </w:p>
    <w:p w14:paraId="3B8AD853" w14:textId="77777777" w:rsidR="00D45F6F" w:rsidRDefault="00D45F6F" w:rsidP="00D45F6F">
      <w:r>
        <w:rPr>
          <w:rFonts w:ascii="Helvetica Neue" w:eastAsia="Helvetica Neue" w:hAnsi="Helvetica Neue" w:cs="Helvetica Neue"/>
          <w:sz w:val="24"/>
          <w:szCs w:val="24"/>
        </w:rPr>
        <w:t xml:space="preserve">The Guarantee is available at </w:t>
      </w:r>
      <w:hyperlink r:id="rId32">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46C98D88" w14:textId="77777777" w:rsidR="000D1830" w:rsidRDefault="00FD46F3">
      <w:pPr>
        <w:pStyle w:val="Heading2"/>
      </w:pPr>
      <w:bookmarkStart w:id="12" w:name="_Toc33176239"/>
      <w:bookmarkEnd w:id="11"/>
      <w:r>
        <w:t>Schedule 6: Glossary and interpretations</w:t>
      </w:r>
      <w:bookmarkEnd w:id="12"/>
    </w:p>
    <w:p w14:paraId="46C98D89" w14:textId="77777777" w:rsidR="000D1830" w:rsidRDefault="00FD46F3">
      <w:r>
        <w:t>In this Call-Off Contract the following expressions mean:</w:t>
      </w:r>
    </w:p>
    <w:p w14:paraId="46C98D8A" w14:textId="77777777" w:rsidR="000D1830" w:rsidRDefault="000D1830"/>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D1830" w14:paraId="46C98D8D"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8B" w14:textId="77777777" w:rsidR="000D1830" w:rsidRDefault="00FD46F3">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8C" w14:textId="77777777" w:rsidR="000D1830" w:rsidRDefault="00FD46F3">
            <w:pPr>
              <w:spacing w:before="240"/>
              <w:rPr>
                <w:sz w:val="20"/>
                <w:szCs w:val="20"/>
              </w:rPr>
            </w:pPr>
            <w:r>
              <w:rPr>
                <w:sz w:val="20"/>
                <w:szCs w:val="20"/>
              </w:rPr>
              <w:t>Meaning</w:t>
            </w:r>
          </w:p>
        </w:tc>
      </w:tr>
      <w:tr w:rsidR="000D1830" w14:paraId="46C98D9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8E" w14:textId="77777777" w:rsidR="000D1830" w:rsidRDefault="00FD46F3">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8F" w14:textId="77777777" w:rsidR="000D1830" w:rsidRDefault="00FD46F3">
            <w:pPr>
              <w:spacing w:before="240"/>
              <w:rPr>
                <w:sz w:val="20"/>
                <w:szCs w:val="20"/>
              </w:rPr>
            </w:pPr>
            <w:r>
              <w:rPr>
                <w:sz w:val="20"/>
                <w:szCs w:val="20"/>
              </w:rPr>
              <w:t>Any services ancillary to the G-Cloud Services that are in the scope of Framework Agreement Section 2 (Services Offered) which a Buyer may request.</w:t>
            </w:r>
          </w:p>
        </w:tc>
      </w:tr>
      <w:tr w:rsidR="000D1830" w14:paraId="46C98D9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91" w14:textId="77777777" w:rsidR="000D1830" w:rsidRDefault="00FD46F3">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92" w14:textId="77777777" w:rsidR="000D1830" w:rsidRDefault="00FD46F3">
            <w:pPr>
              <w:spacing w:before="240"/>
              <w:rPr>
                <w:sz w:val="20"/>
                <w:szCs w:val="20"/>
              </w:rPr>
            </w:pPr>
            <w:r>
              <w:rPr>
                <w:sz w:val="20"/>
                <w:szCs w:val="20"/>
              </w:rPr>
              <w:t>The agreement to be entered into to enable the Supplier to participate in the relevant Civil Service pension scheme(s).</w:t>
            </w:r>
          </w:p>
        </w:tc>
      </w:tr>
      <w:tr w:rsidR="000D1830" w14:paraId="46C98D9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94" w14:textId="77777777" w:rsidR="000D1830" w:rsidRDefault="00FD46F3">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95" w14:textId="77777777" w:rsidR="000D1830" w:rsidRDefault="00FD46F3">
            <w:pPr>
              <w:spacing w:before="240"/>
              <w:rPr>
                <w:sz w:val="20"/>
                <w:szCs w:val="20"/>
              </w:rPr>
            </w:pPr>
            <w:r>
              <w:rPr>
                <w:sz w:val="20"/>
                <w:szCs w:val="20"/>
              </w:rPr>
              <w:t>The response submitted by the Supplier to the Invitation to Tender (known as the Invitation to Apply on the Digital Marketplace).</w:t>
            </w:r>
          </w:p>
        </w:tc>
      </w:tr>
      <w:tr w:rsidR="000D1830" w14:paraId="46C98D9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97" w14:textId="77777777" w:rsidR="000D1830" w:rsidRDefault="00FD46F3">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98" w14:textId="77777777" w:rsidR="000D1830" w:rsidRDefault="00FD46F3">
            <w:pPr>
              <w:spacing w:before="240"/>
              <w:rPr>
                <w:sz w:val="20"/>
                <w:szCs w:val="20"/>
              </w:rPr>
            </w:pPr>
            <w:r>
              <w:rPr>
                <w:sz w:val="20"/>
                <w:szCs w:val="20"/>
              </w:rPr>
              <w:t>An audit carried out under the incorporated Framework Agreement clauses specified by the Buyer in the Order (if any).</w:t>
            </w:r>
          </w:p>
        </w:tc>
      </w:tr>
      <w:tr w:rsidR="000D1830" w14:paraId="46C98D9F"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9A" w14:textId="77777777" w:rsidR="000D1830" w:rsidRDefault="00FD46F3">
            <w:pPr>
              <w:spacing w:before="240"/>
              <w:rPr>
                <w:b/>
                <w:sz w:val="20"/>
                <w:szCs w:val="20"/>
              </w:rPr>
            </w:pPr>
            <w:r>
              <w:rPr>
                <w:b/>
                <w:sz w:val="20"/>
                <w:szCs w:val="20"/>
              </w:rPr>
              <w:lastRenderedPageBreak/>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9B" w14:textId="77777777" w:rsidR="000D1830" w:rsidRDefault="00FD46F3">
            <w:pPr>
              <w:spacing w:before="240"/>
              <w:rPr>
                <w:sz w:val="20"/>
                <w:szCs w:val="20"/>
              </w:rPr>
            </w:pPr>
            <w:r>
              <w:rPr>
                <w:sz w:val="20"/>
                <w:szCs w:val="20"/>
              </w:rPr>
              <w:t>For each Party, IPRs:</w:t>
            </w:r>
          </w:p>
          <w:p w14:paraId="46C98D9C" w14:textId="77777777" w:rsidR="000D1830" w:rsidRDefault="00FD46F3" w:rsidP="00FC6730">
            <w:pPr>
              <w:pStyle w:val="ListParagraph"/>
              <w:numPr>
                <w:ilvl w:val="0"/>
                <w:numId w:val="4"/>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46C98D9D" w14:textId="77777777" w:rsidR="000D1830" w:rsidRDefault="00FD46F3" w:rsidP="00FC6730">
            <w:pPr>
              <w:pStyle w:val="ListParagraph"/>
              <w:numPr>
                <w:ilvl w:val="0"/>
                <w:numId w:val="4"/>
              </w:numPr>
              <w:rPr>
                <w:sz w:val="20"/>
                <w:szCs w:val="20"/>
              </w:rPr>
            </w:pPr>
            <w:r>
              <w:rPr>
                <w:sz w:val="20"/>
                <w:szCs w:val="20"/>
              </w:rPr>
              <w:t>created by the Party independently of this Call-Off Contract, or</w:t>
            </w:r>
          </w:p>
          <w:p w14:paraId="46C98D9E" w14:textId="77777777" w:rsidR="000D1830" w:rsidRDefault="00FD46F3">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0D1830" w14:paraId="46C98DA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A0" w14:textId="77777777" w:rsidR="000D1830" w:rsidRDefault="00FD46F3">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A1" w14:textId="77777777" w:rsidR="000D1830" w:rsidRDefault="00FD46F3">
            <w:pPr>
              <w:spacing w:before="240"/>
              <w:rPr>
                <w:sz w:val="20"/>
                <w:szCs w:val="20"/>
              </w:rPr>
            </w:pPr>
            <w:r>
              <w:rPr>
                <w:sz w:val="20"/>
                <w:szCs w:val="20"/>
              </w:rPr>
              <w:t>The contracting authority ordering services as set out in the Order Form.</w:t>
            </w:r>
          </w:p>
        </w:tc>
      </w:tr>
      <w:tr w:rsidR="000D1830" w14:paraId="46C98DA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A3" w14:textId="77777777" w:rsidR="000D1830" w:rsidRDefault="00FD46F3">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A4" w14:textId="77777777" w:rsidR="000D1830" w:rsidRDefault="00FD46F3">
            <w:pPr>
              <w:spacing w:before="240"/>
              <w:rPr>
                <w:sz w:val="20"/>
                <w:szCs w:val="20"/>
              </w:rPr>
            </w:pPr>
            <w:r>
              <w:rPr>
                <w:sz w:val="20"/>
                <w:szCs w:val="20"/>
              </w:rPr>
              <w:t>All data supplied by the Buyer to the Supplier including Personal Data and Service Data that is owned and managed by the Buyer.</w:t>
            </w:r>
          </w:p>
        </w:tc>
      </w:tr>
      <w:tr w:rsidR="000D1830" w14:paraId="46C98DA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A6" w14:textId="77777777" w:rsidR="000D1830" w:rsidRDefault="00FD46F3">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A7" w14:textId="77777777" w:rsidR="000D1830" w:rsidRDefault="00FD46F3">
            <w:pPr>
              <w:spacing w:before="240"/>
              <w:rPr>
                <w:sz w:val="20"/>
                <w:szCs w:val="20"/>
              </w:rPr>
            </w:pPr>
            <w:r>
              <w:rPr>
                <w:sz w:val="20"/>
                <w:szCs w:val="20"/>
              </w:rPr>
              <w:t>The Personal Data supplied by the Buyer to the Supplier for purposes of, or in connection with, this Call-Off Contract.</w:t>
            </w:r>
          </w:p>
        </w:tc>
      </w:tr>
      <w:tr w:rsidR="000D1830" w14:paraId="46C98DA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A9" w14:textId="77777777" w:rsidR="000D1830" w:rsidRDefault="00FD46F3">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AA" w14:textId="77777777" w:rsidR="000D1830" w:rsidRDefault="00FD46F3">
            <w:pPr>
              <w:spacing w:before="240"/>
              <w:rPr>
                <w:sz w:val="20"/>
                <w:szCs w:val="20"/>
              </w:rPr>
            </w:pPr>
            <w:r>
              <w:rPr>
                <w:sz w:val="20"/>
                <w:szCs w:val="20"/>
              </w:rPr>
              <w:t>The representative appointed by the Buyer under this Call-Off Contract.</w:t>
            </w:r>
          </w:p>
        </w:tc>
      </w:tr>
      <w:tr w:rsidR="000D1830" w14:paraId="46C98DA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AC" w14:textId="77777777" w:rsidR="000D1830" w:rsidRDefault="00FD46F3">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AD" w14:textId="77777777" w:rsidR="000D1830" w:rsidRDefault="00FD46F3">
            <w:pPr>
              <w:spacing w:before="240"/>
              <w:rPr>
                <w:sz w:val="20"/>
                <w:szCs w:val="20"/>
              </w:rPr>
            </w:pPr>
            <w:r>
              <w:rPr>
                <w:sz w:val="20"/>
                <w:szCs w:val="20"/>
              </w:rPr>
              <w:t>Software owned by or licensed to the Buyer (other than under this Agreement), which is or will be used by the Supplier to provide the Services.</w:t>
            </w:r>
          </w:p>
        </w:tc>
      </w:tr>
      <w:tr w:rsidR="000D1830" w14:paraId="46C98DB1"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AF" w14:textId="77777777" w:rsidR="000D1830" w:rsidRDefault="00FD46F3">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B0" w14:textId="77777777" w:rsidR="000D1830" w:rsidRDefault="00FD46F3">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D1830" w14:paraId="46C98DB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B2" w14:textId="77777777" w:rsidR="000D1830" w:rsidRDefault="00FD46F3">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B3" w14:textId="77777777" w:rsidR="000D1830" w:rsidRDefault="00FD46F3">
            <w:pPr>
              <w:spacing w:before="240"/>
              <w:rPr>
                <w:sz w:val="20"/>
                <w:szCs w:val="20"/>
              </w:rPr>
            </w:pPr>
            <w:r>
              <w:rPr>
                <w:sz w:val="20"/>
                <w:szCs w:val="20"/>
              </w:rPr>
              <w:t>The prices (excluding any applicable VAT), payable to the Supplier by the Buyer under this Call-Off Contract.</w:t>
            </w:r>
          </w:p>
        </w:tc>
      </w:tr>
      <w:tr w:rsidR="000D1830" w14:paraId="46C98DB7"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B5" w14:textId="77777777" w:rsidR="000D1830" w:rsidRDefault="00FD46F3">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B6" w14:textId="77777777" w:rsidR="000D1830" w:rsidRDefault="00FD46F3">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D1830" w14:paraId="46C98DB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B8" w14:textId="77777777" w:rsidR="000D1830" w:rsidRDefault="00FD46F3">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B9" w14:textId="77777777" w:rsidR="000D1830" w:rsidRDefault="00FD46F3">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D1830" w14:paraId="46C98DBF"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BB" w14:textId="77777777" w:rsidR="000D1830" w:rsidRDefault="00FD46F3">
            <w:pPr>
              <w:spacing w:before="240"/>
              <w:rPr>
                <w:b/>
                <w:sz w:val="20"/>
                <w:szCs w:val="20"/>
              </w:rPr>
            </w:pPr>
            <w:r>
              <w:rPr>
                <w:b/>
                <w:sz w:val="20"/>
                <w:szCs w:val="20"/>
              </w:rPr>
              <w:lastRenderedPageBreak/>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BC" w14:textId="77777777" w:rsidR="000D1830" w:rsidRDefault="00FD46F3">
            <w:pPr>
              <w:spacing w:before="240"/>
              <w:rPr>
                <w:sz w:val="20"/>
                <w:szCs w:val="20"/>
              </w:rPr>
            </w:pPr>
            <w:r>
              <w:rPr>
                <w:sz w:val="20"/>
                <w:szCs w:val="20"/>
              </w:rPr>
              <w:t>Data, Personal Data and any information, which may include (but isn’t limited to) any:</w:t>
            </w:r>
          </w:p>
          <w:p w14:paraId="46C98DBD" w14:textId="77777777" w:rsidR="000D1830" w:rsidRDefault="00FD46F3" w:rsidP="00FC6730">
            <w:pPr>
              <w:pStyle w:val="ListParagraph"/>
              <w:numPr>
                <w:ilvl w:val="0"/>
                <w:numId w:val="5"/>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46C98DBE" w14:textId="77777777" w:rsidR="000D1830" w:rsidRDefault="00FD46F3" w:rsidP="00FC6730">
            <w:pPr>
              <w:pStyle w:val="ListParagraph"/>
              <w:numPr>
                <w:ilvl w:val="0"/>
                <w:numId w:val="5"/>
              </w:numPr>
              <w:rPr>
                <w:sz w:val="20"/>
                <w:szCs w:val="20"/>
              </w:rPr>
            </w:pPr>
            <w:r>
              <w:rPr>
                <w:sz w:val="20"/>
                <w:szCs w:val="20"/>
              </w:rPr>
              <w:t>other information clearly designated as being confidential or which ought reasonably be considered to be confidential (whether or not it is marked 'confidential').</w:t>
            </w:r>
          </w:p>
        </w:tc>
      </w:tr>
      <w:tr w:rsidR="000D1830" w14:paraId="46C98DC3"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C0" w14:textId="77777777" w:rsidR="000D1830" w:rsidRDefault="00FD46F3">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C1" w14:textId="77777777" w:rsidR="000D1830" w:rsidRDefault="00FD46F3">
            <w:pPr>
              <w:spacing w:before="240"/>
              <w:rPr>
                <w:sz w:val="20"/>
                <w:szCs w:val="20"/>
              </w:rPr>
            </w:pPr>
            <w:r>
              <w:rPr>
                <w:sz w:val="20"/>
                <w:szCs w:val="20"/>
              </w:rPr>
              <w:t>‘Control’ as defined in section 1124 and 450 of the Corporation Tax</w:t>
            </w:r>
          </w:p>
          <w:p w14:paraId="46C98DC2" w14:textId="77777777" w:rsidR="000D1830" w:rsidRDefault="00FD46F3">
            <w:pPr>
              <w:spacing w:before="240"/>
              <w:rPr>
                <w:sz w:val="20"/>
                <w:szCs w:val="20"/>
              </w:rPr>
            </w:pPr>
            <w:r>
              <w:rPr>
                <w:sz w:val="20"/>
                <w:szCs w:val="20"/>
              </w:rPr>
              <w:t>Act 2010. 'Controls' and 'Controlled' will be interpreted accordingly.</w:t>
            </w:r>
          </w:p>
        </w:tc>
      </w:tr>
      <w:tr w:rsidR="000D1830" w14:paraId="46C98DC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C4" w14:textId="77777777" w:rsidR="000D1830" w:rsidRDefault="00FD46F3">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C5" w14:textId="77777777" w:rsidR="000D1830" w:rsidRDefault="00FD46F3">
            <w:pPr>
              <w:spacing w:before="240"/>
              <w:rPr>
                <w:sz w:val="20"/>
                <w:szCs w:val="20"/>
              </w:rPr>
            </w:pPr>
            <w:r>
              <w:rPr>
                <w:sz w:val="20"/>
                <w:szCs w:val="20"/>
              </w:rPr>
              <w:t>Takes the meaning given in the GDPR.</w:t>
            </w:r>
          </w:p>
        </w:tc>
      </w:tr>
      <w:tr w:rsidR="000D1830" w14:paraId="46C98DCA"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C7" w14:textId="77777777" w:rsidR="000D1830" w:rsidRDefault="00FD46F3">
            <w:pPr>
              <w:spacing w:before="240"/>
              <w:rPr>
                <w:b/>
                <w:sz w:val="20"/>
                <w:szCs w:val="20"/>
              </w:rPr>
            </w:pPr>
            <w:r>
              <w:rPr>
                <w:b/>
                <w:sz w:val="20"/>
                <w:szCs w:val="20"/>
              </w:rPr>
              <w:t>Crown</w:t>
            </w:r>
          </w:p>
          <w:p w14:paraId="46C98DC8" w14:textId="77777777" w:rsidR="000D1830" w:rsidRDefault="00FD46F3">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C9" w14:textId="77777777" w:rsidR="000D1830" w:rsidRDefault="00FD46F3">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D1830" w14:paraId="46C98DCD"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CB" w14:textId="77777777" w:rsidR="000D1830" w:rsidRDefault="00FD46F3">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CC" w14:textId="77777777" w:rsidR="000D1830" w:rsidRDefault="00FD46F3">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D1830" w14:paraId="46C98DD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CE" w14:textId="77777777" w:rsidR="000D1830" w:rsidRDefault="00FD46F3">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CF" w14:textId="77777777" w:rsidR="000D1830" w:rsidRDefault="00FD46F3">
            <w:pPr>
              <w:spacing w:before="240"/>
              <w:rPr>
                <w:sz w:val="20"/>
                <w:szCs w:val="20"/>
              </w:rPr>
            </w:pPr>
            <w:r>
              <w:rPr>
                <w:sz w:val="20"/>
                <w:szCs w:val="20"/>
              </w:rPr>
              <w:t>An assessment by the Controller of the impact of the envisaged Processing on the protection of Personal Data.</w:t>
            </w:r>
          </w:p>
        </w:tc>
      </w:tr>
      <w:tr w:rsidR="000D1830" w14:paraId="46C98DD6"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D1" w14:textId="77777777" w:rsidR="000D1830" w:rsidRDefault="00FD46F3">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D2" w14:textId="77777777" w:rsidR="000D1830" w:rsidRDefault="00FD46F3">
            <w:pPr>
              <w:spacing w:before="240"/>
              <w:rPr>
                <w:sz w:val="20"/>
                <w:szCs w:val="20"/>
              </w:rPr>
            </w:pPr>
            <w:r>
              <w:rPr>
                <w:sz w:val="20"/>
                <w:szCs w:val="20"/>
              </w:rPr>
              <w:t>Data Protection Legislation means:</w:t>
            </w:r>
          </w:p>
          <w:p w14:paraId="46C98DD3" w14:textId="77777777" w:rsidR="000D1830" w:rsidRDefault="00FD46F3">
            <w:pPr>
              <w:rPr>
                <w:sz w:val="20"/>
                <w:szCs w:val="20"/>
              </w:rPr>
            </w:pPr>
            <w:r>
              <w:rPr>
                <w:sz w:val="20"/>
                <w:szCs w:val="20"/>
              </w:rPr>
              <w:t>(i) the GDPR, the LED and any applicable national implementing Laws as amended from time to time</w:t>
            </w:r>
          </w:p>
          <w:p w14:paraId="46C98DD4" w14:textId="77777777" w:rsidR="000D1830" w:rsidRDefault="00FD46F3">
            <w:pPr>
              <w:ind w:left="720" w:hanging="720"/>
              <w:rPr>
                <w:sz w:val="20"/>
                <w:szCs w:val="20"/>
              </w:rPr>
            </w:pPr>
            <w:r>
              <w:rPr>
                <w:sz w:val="20"/>
                <w:szCs w:val="20"/>
              </w:rPr>
              <w:t>(ii) the DPA 2018 to the extent that it relates to Processing of Personal Data and privacy</w:t>
            </w:r>
          </w:p>
          <w:p w14:paraId="46C98DD5" w14:textId="77777777" w:rsidR="000D1830" w:rsidRDefault="00FD46F3">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D1830" w14:paraId="46C98DD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D7" w14:textId="77777777" w:rsidR="000D1830" w:rsidRDefault="00FD46F3">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D8" w14:textId="77777777" w:rsidR="000D1830" w:rsidRDefault="00FD46F3">
            <w:pPr>
              <w:spacing w:before="240"/>
              <w:rPr>
                <w:sz w:val="20"/>
                <w:szCs w:val="20"/>
              </w:rPr>
            </w:pPr>
            <w:r>
              <w:rPr>
                <w:sz w:val="20"/>
                <w:szCs w:val="20"/>
              </w:rPr>
              <w:t>Takes the meaning given in the GDPR</w:t>
            </w:r>
          </w:p>
        </w:tc>
      </w:tr>
      <w:tr w:rsidR="000D1830" w14:paraId="46C98DDF"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DA" w14:textId="77777777" w:rsidR="000D1830" w:rsidRDefault="00FD46F3">
            <w:pPr>
              <w:spacing w:before="240"/>
              <w:rPr>
                <w:b/>
                <w:sz w:val="20"/>
                <w:szCs w:val="20"/>
              </w:rPr>
            </w:pPr>
            <w:r>
              <w:rPr>
                <w:b/>
                <w:sz w:val="20"/>
                <w:szCs w:val="20"/>
              </w:rPr>
              <w:lastRenderedPageBreak/>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DB" w14:textId="77777777" w:rsidR="000D1830" w:rsidRDefault="00FD46F3">
            <w:pPr>
              <w:spacing w:before="240"/>
              <w:rPr>
                <w:sz w:val="20"/>
                <w:szCs w:val="20"/>
              </w:rPr>
            </w:pPr>
            <w:r>
              <w:rPr>
                <w:sz w:val="20"/>
                <w:szCs w:val="20"/>
              </w:rPr>
              <w:t>Default is any:</w:t>
            </w:r>
          </w:p>
          <w:p w14:paraId="46C98DDC" w14:textId="77777777" w:rsidR="000D1830" w:rsidRDefault="00FD46F3" w:rsidP="00FC6730">
            <w:pPr>
              <w:pStyle w:val="ListParagraph"/>
              <w:numPr>
                <w:ilvl w:val="0"/>
                <w:numId w:val="6"/>
              </w:numPr>
              <w:rPr>
                <w:sz w:val="20"/>
                <w:szCs w:val="20"/>
              </w:rPr>
            </w:pPr>
            <w:r>
              <w:rPr>
                <w:sz w:val="20"/>
                <w:szCs w:val="20"/>
              </w:rPr>
              <w:t>breach of the obligations of the Supplier (including any fundamental breach or breach of a fundamental term)</w:t>
            </w:r>
          </w:p>
          <w:p w14:paraId="46C98DDD" w14:textId="77777777" w:rsidR="000D1830" w:rsidRDefault="00FD46F3" w:rsidP="00FC6730">
            <w:pPr>
              <w:pStyle w:val="ListParagraph"/>
              <w:numPr>
                <w:ilvl w:val="0"/>
                <w:numId w:val="6"/>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46C98DDE" w14:textId="77777777" w:rsidR="000D1830" w:rsidRDefault="00FD46F3">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D1830" w14:paraId="46C98DE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E0" w14:textId="77777777" w:rsidR="000D1830" w:rsidRDefault="00FD46F3">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E1" w14:textId="77777777" w:rsidR="000D1830" w:rsidRDefault="00FD46F3">
            <w:pPr>
              <w:spacing w:before="240"/>
              <w:rPr>
                <w:sz w:val="20"/>
                <w:szCs w:val="20"/>
              </w:rPr>
            </w:pPr>
            <w:r>
              <w:rPr>
                <w:sz w:val="20"/>
                <w:szCs w:val="20"/>
              </w:rPr>
              <w:t>The G-Cloud Services the Buyer contracts the Supplier to provide under this Call-Off Contract.</w:t>
            </w:r>
          </w:p>
        </w:tc>
      </w:tr>
      <w:tr w:rsidR="000D1830" w14:paraId="46C98DE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E3" w14:textId="77777777" w:rsidR="000D1830" w:rsidRDefault="00FD46F3">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E4" w14:textId="77777777" w:rsidR="000D1830" w:rsidRDefault="00FD46F3">
            <w:pPr>
              <w:spacing w:before="240"/>
            </w:pPr>
            <w:r>
              <w:rPr>
                <w:sz w:val="20"/>
                <w:szCs w:val="20"/>
              </w:rPr>
              <w:t>The government marketplace where Services are available for Buyers to buy. (</w:t>
            </w:r>
            <w:hyperlink r:id="rId33" w:history="1">
              <w:r>
                <w:rPr>
                  <w:sz w:val="20"/>
                  <w:szCs w:val="20"/>
                  <w:u w:val="single"/>
                </w:rPr>
                <w:t>https://www.digitalmarketplace.service.gov.uk</w:t>
              </w:r>
            </w:hyperlink>
            <w:r>
              <w:rPr>
                <w:sz w:val="20"/>
                <w:szCs w:val="20"/>
              </w:rPr>
              <w:t>/)</w:t>
            </w:r>
          </w:p>
        </w:tc>
      </w:tr>
      <w:tr w:rsidR="000D1830" w14:paraId="46C98DE8"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E6" w14:textId="77777777" w:rsidR="000D1830" w:rsidRDefault="00FD46F3">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E7" w14:textId="77777777" w:rsidR="000D1830" w:rsidRDefault="00FD46F3">
            <w:pPr>
              <w:spacing w:before="240"/>
              <w:rPr>
                <w:sz w:val="20"/>
                <w:szCs w:val="20"/>
              </w:rPr>
            </w:pPr>
            <w:r>
              <w:rPr>
                <w:sz w:val="20"/>
                <w:szCs w:val="20"/>
              </w:rPr>
              <w:t>Data Protection Act 2018.</w:t>
            </w:r>
          </w:p>
        </w:tc>
      </w:tr>
      <w:tr w:rsidR="000D1830" w14:paraId="46C98DE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E9" w14:textId="77777777" w:rsidR="000D1830" w:rsidRDefault="00FD46F3">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EA" w14:textId="77777777" w:rsidR="000D1830" w:rsidRDefault="00FD46F3">
            <w:pPr>
              <w:spacing w:before="240"/>
              <w:rPr>
                <w:sz w:val="20"/>
                <w:szCs w:val="20"/>
              </w:rPr>
            </w:pPr>
            <w:r>
              <w:rPr>
                <w:sz w:val="20"/>
                <w:szCs w:val="20"/>
              </w:rPr>
              <w:t>The Transfer of Undertakings (Protection of Employment) Regulations 2006 (SI 2006/246) (‘TUPE’) which implements the Acquired Rights Directive.</w:t>
            </w:r>
          </w:p>
        </w:tc>
      </w:tr>
      <w:tr w:rsidR="000D1830" w14:paraId="46C98DE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EC" w14:textId="77777777" w:rsidR="000D1830" w:rsidRDefault="00FD46F3">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ED" w14:textId="77777777" w:rsidR="000D1830" w:rsidRDefault="00FD46F3">
            <w:pPr>
              <w:spacing w:before="240"/>
              <w:rPr>
                <w:sz w:val="20"/>
                <w:szCs w:val="20"/>
              </w:rPr>
            </w:pPr>
            <w:r>
              <w:rPr>
                <w:sz w:val="20"/>
                <w:szCs w:val="20"/>
              </w:rPr>
              <w:t>Means to terminate; and Ended and Ending are construed accordingly.</w:t>
            </w:r>
          </w:p>
        </w:tc>
      </w:tr>
      <w:tr w:rsidR="000D1830" w14:paraId="46C98DF1"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EF" w14:textId="77777777" w:rsidR="000D1830" w:rsidRDefault="00FD46F3">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F0" w14:textId="77777777" w:rsidR="000D1830" w:rsidRDefault="00FD46F3">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D1830" w14:paraId="46C98DF4"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F2" w14:textId="77777777" w:rsidR="000D1830" w:rsidRDefault="00FD46F3">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F3" w14:textId="77777777" w:rsidR="000D1830" w:rsidRDefault="00FD46F3">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D1830" w14:paraId="46C98DF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F5" w14:textId="77777777" w:rsidR="000D1830" w:rsidRDefault="00FD46F3">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F6" w14:textId="77777777" w:rsidR="000D1830" w:rsidRDefault="00FD46F3">
            <w:pPr>
              <w:spacing w:before="240"/>
              <w:rPr>
                <w:sz w:val="20"/>
                <w:szCs w:val="20"/>
              </w:rPr>
            </w:pPr>
            <w:r>
              <w:rPr>
                <w:sz w:val="20"/>
                <w:szCs w:val="20"/>
              </w:rPr>
              <w:t>The 14 digit ESI reference number from the summary of the outcome screen of the ESI tool.</w:t>
            </w:r>
          </w:p>
        </w:tc>
      </w:tr>
      <w:tr w:rsidR="000D1830" w14:paraId="46C98DFB"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F8" w14:textId="77777777" w:rsidR="000D1830" w:rsidRDefault="00FD46F3">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F9" w14:textId="77777777" w:rsidR="000D1830" w:rsidRDefault="00FD46F3">
            <w:pPr>
              <w:spacing w:before="240"/>
              <w:rPr>
                <w:sz w:val="20"/>
                <w:szCs w:val="20"/>
              </w:rPr>
            </w:pPr>
            <w:r>
              <w:rPr>
                <w:sz w:val="20"/>
                <w:szCs w:val="20"/>
              </w:rPr>
              <w:t>The HMRC Employment Status Indicator test tool. The most up-to-date version must be used. At the time of drafting the tool may be found here:</w:t>
            </w:r>
          </w:p>
          <w:p w14:paraId="46C98DFA" w14:textId="77777777" w:rsidR="000D1830" w:rsidRDefault="00EE563F">
            <w:hyperlink r:id="rId34" w:history="1">
              <w:r w:rsidR="00FD46F3">
                <w:rPr>
                  <w:rStyle w:val="Hyperlink"/>
                  <w:color w:val="auto"/>
                </w:rPr>
                <w:t>https://www.gov.uk/guidance/check-employment-status-for-tax</w:t>
              </w:r>
            </w:hyperlink>
          </w:p>
        </w:tc>
      </w:tr>
      <w:tr w:rsidR="000D1830" w14:paraId="46C98DF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FC" w14:textId="77777777" w:rsidR="000D1830" w:rsidRDefault="00FD46F3">
            <w:pPr>
              <w:spacing w:before="240"/>
              <w:rPr>
                <w:b/>
                <w:sz w:val="20"/>
                <w:szCs w:val="20"/>
              </w:rPr>
            </w:pPr>
            <w:r>
              <w:rPr>
                <w:b/>
                <w:sz w:val="20"/>
                <w:szCs w:val="20"/>
              </w:rPr>
              <w:lastRenderedPageBreak/>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FD" w14:textId="77777777" w:rsidR="000D1830" w:rsidRDefault="00FD46F3">
            <w:pPr>
              <w:spacing w:before="240"/>
              <w:rPr>
                <w:sz w:val="20"/>
                <w:szCs w:val="20"/>
              </w:rPr>
            </w:pPr>
            <w:r>
              <w:rPr>
                <w:sz w:val="20"/>
                <w:szCs w:val="20"/>
              </w:rPr>
              <w:t>The expiry date of this Call-Off Contract in the Order Form.</w:t>
            </w:r>
          </w:p>
        </w:tc>
      </w:tr>
      <w:tr w:rsidR="000D1830" w14:paraId="46C98E0B"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DFF" w14:textId="77777777" w:rsidR="000D1830" w:rsidRDefault="00FD46F3">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00" w14:textId="77777777" w:rsidR="000D1830" w:rsidRDefault="00FD46F3">
            <w:pPr>
              <w:spacing w:before="240"/>
              <w:rPr>
                <w:sz w:val="20"/>
                <w:szCs w:val="20"/>
              </w:rPr>
            </w:pPr>
            <w:r>
              <w:rPr>
                <w:sz w:val="20"/>
                <w:szCs w:val="20"/>
              </w:rPr>
              <w:t>A force Majeure event means anything affecting either Party's performance of their obligations arising from any:</w:t>
            </w:r>
          </w:p>
          <w:p w14:paraId="46C98E01" w14:textId="77777777" w:rsidR="000D1830" w:rsidRDefault="00FD46F3" w:rsidP="00FC6730">
            <w:pPr>
              <w:pStyle w:val="ListParagraph"/>
              <w:numPr>
                <w:ilvl w:val="0"/>
                <w:numId w:val="7"/>
              </w:numPr>
              <w:rPr>
                <w:sz w:val="20"/>
                <w:szCs w:val="20"/>
              </w:rPr>
            </w:pPr>
            <w:r>
              <w:rPr>
                <w:sz w:val="20"/>
                <w:szCs w:val="20"/>
              </w:rPr>
              <w:t>acts, events or omissions beyond the reasonable control of the affected Party</w:t>
            </w:r>
          </w:p>
          <w:p w14:paraId="46C98E02" w14:textId="77777777" w:rsidR="000D1830" w:rsidRDefault="00FD46F3" w:rsidP="00FC6730">
            <w:pPr>
              <w:pStyle w:val="ListParagraph"/>
              <w:numPr>
                <w:ilvl w:val="0"/>
                <w:numId w:val="8"/>
              </w:numPr>
              <w:rPr>
                <w:sz w:val="20"/>
                <w:szCs w:val="20"/>
              </w:rPr>
            </w:pPr>
            <w:r>
              <w:rPr>
                <w:sz w:val="20"/>
                <w:szCs w:val="20"/>
              </w:rPr>
              <w:t>riots, war or armed conflict, acts of terrorism, nuclear, biological or chemical warfare</w:t>
            </w:r>
          </w:p>
          <w:p w14:paraId="46C98E03" w14:textId="77777777" w:rsidR="000D1830" w:rsidRDefault="00FD46F3" w:rsidP="00FC6730">
            <w:pPr>
              <w:pStyle w:val="ListParagraph"/>
              <w:numPr>
                <w:ilvl w:val="0"/>
                <w:numId w:val="9"/>
              </w:numPr>
            </w:pPr>
            <w:r>
              <w:t xml:space="preserve">acts of government, local government or Regulatory </w:t>
            </w:r>
            <w:r>
              <w:rPr>
                <w:sz w:val="20"/>
                <w:szCs w:val="20"/>
              </w:rPr>
              <w:t>Bodies</w:t>
            </w:r>
          </w:p>
          <w:p w14:paraId="46C98E04" w14:textId="77777777" w:rsidR="000D1830" w:rsidRDefault="00FD46F3" w:rsidP="00FC6730">
            <w:pPr>
              <w:pStyle w:val="ListParagraph"/>
              <w:numPr>
                <w:ilvl w:val="0"/>
                <w:numId w:val="10"/>
              </w:numPr>
            </w:pPr>
            <w:r>
              <w:rPr>
                <w:sz w:val="14"/>
                <w:szCs w:val="14"/>
              </w:rPr>
              <w:t xml:space="preserve"> </w:t>
            </w:r>
            <w:r>
              <w:rPr>
                <w:sz w:val="20"/>
                <w:szCs w:val="20"/>
              </w:rPr>
              <w:t>fire, flood or disaster and any failure or shortage of power or fuel</w:t>
            </w:r>
          </w:p>
          <w:p w14:paraId="46C98E05" w14:textId="77777777" w:rsidR="000D1830" w:rsidRDefault="00FD46F3" w:rsidP="00FC6730">
            <w:pPr>
              <w:pStyle w:val="ListParagraph"/>
              <w:numPr>
                <w:ilvl w:val="0"/>
                <w:numId w:val="11"/>
              </w:numPr>
              <w:rPr>
                <w:sz w:val="20"/>
                <w:szCs w:val="20"/>
              </w:rPr>
            </w:pPr>
            <w:r>
              <w:rPr>
                <w:sz w:val="20"/>
                <w:szCs w:val="20"/>
              </w:rPr>
              <w:t>industrial dispute affecting a third party for which a substitute third party isn’t reasonably available</w:t>
            </w:r>
          </w:p>
          <w:p w14:paraId="46C98E06" w14:textId="77777777" w:rsidR="000D1830" w:rsidRDefault="00FD46F3">
            <w:pPr>
              <w:spacing w:before="240"/>
              <w:rPr>
                <w:sz w:val="20"/>
                <w:szCs w:val="20"/>
              </w:rPr>
            </w:pPr>
            <w:r>
              <w:rPr>
                <w:sz w:val="20"/>
                <w:szCs w:val="20"/>
              </w:rPr>
              <w:t>The following do not constitute a Force Majeure event:</w:t>
            </w:r>
          </w:p>
          <w:p w14:paraId="46C98E07" w14:textId="77777777" w:rsidR="000D1830" w:rsidRDefault="00FD46F3" w:rsidP="00FC6730">
            <w:pPr>
              <w:pStyle w:val="ListParagraph"/>
              <w:numPr>
                <w:ilvl w:val="0"/>
                <w:numId w:val="12"/>
              </w:numPr>
              <w:rPr>
                <w:sz w:val="20"/>
                <w:szCs w:val="20"/>
              </w:rPr>
            </w:pPr>
            <w:r>
              <w:rPr>
                <w:sz w:val="20"/>
                <w:szCs w:val="20"/>
              </w:rPr>
              <w:t>any industrial dispute about the Supplier, its staff, or failure in the Supplier’s (or a Subcontractor's) supply chain</w:t>
            </w:r>
          </w:p>
          <w:p w14:paraId="46C98E08" w14:textId="77777777" w:rsidR="000D1830" w:rsidRDefault="00FD46F3" w:rsidP="00FC6730">
            <w:pPr>
              <w:pStyle w:val="ListParagraph"/>
              <w:numPr>
                <w:ilvl w:val="0"/>
                <w:numId w:val="12"/>
              </w:numPr>
              <w:rPr>
                <w:sz w:val="20"/>
                <w:szCs w:val="20"/>
              </w:rPr>
            </w:pPr>
            <w:r>
              <w:rPr>
                <w:sz w:val="20"/>
                <w:szCs w:val="20"/>
              </w:rPr>
              <w:t>any event which is attributable to the wilful act, neglect or failure to take reasonable precautions by the Party seeking to rely on Force Majeure</w:t>
            </w:r>
          </w:p>
          <w:p w14:paraId="46C98E09" w14:textId="77777777" w:rsidR="000D1830" w:rsidRDefault="00FD46F3" w:rsidP="00FC6730">
            <w:pPr>
              <w:pStyle w:val="ListParagraph"/>
              <w:numPr>
                <w:ilvl w:val="0"/>
                <w:numId w:val="12"/>
              </w:numPr>
              <w:rPr>
                <w:sz w:val="20"/>
                <w:szCs w:val="20"/>
              </w:rPr>
            </w:pPr>
            <w:r>
              <w:rPr>
                <w:sz w:val="20"/>
                <w:szCs w:val="20"/>
              </w:rPr>
              <w:t>the event was foreseeable by the Party seeking to rely on Force Majeure at the time this Call-Off Contract was entered into</w:t>
            </w:r>
          </w:p>
          <w:p w14:paraId="46C98E0A" w14:textId="77777777" w:rsidR="000D1830" w:rsidRDefault="00FD46F3" w:rsidP="00FC6730">
            <w:pPr>
              <w:pStyle w:val="ListParagraph"/>
              <w:numPr>
                <w:ilvl w:val="0"/>
                <w:numId w:val="12"/>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D1830" w14:paraId="46C98E0E"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0C" w14:textId="77777777" w:rsidR="000D1830" w:rsidRDefault="00FD46F3">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0D" w14:textId="77777777" w:rsidR="000D1830" w:rsidRDefault="00FD46F3">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D1830" w14:paraId="46C98E1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0F" w14:textId="77777777" w:rsidR="000D1830" w:rsidRDefault="00FD46F3">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10" w14:textId="77777777" w:rsidR="000D1830" w:rsidRDefault="00FD46F3">
            <w:pPr>
              <w:spacing w:before="240"/>
              <w:rPr>
                <w:sz w:val="20"/>
                <w:szCs w:val="20"/>
              </w:rPr>
            </w:pPr>
            <w:r>
              <w:rPr>
                <w:sz w:val="20"/>
                <w:szCs w:val="20"/>
              </w:rPr>
              <w:t>The clauses of framework agreement RM1557.12 together with the Framework Schedules.</w:t>
            </w:r>
          </w:p>
        </w:tc>
      </w:tr>
      <w:tr w:rsidR="000D1830" w14:paraId="46C98E14"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12" w14:textId="77777777" w:rsidR="000D1830" w:rsidRDefault="00FD46F3">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13" w14:textId="77777777" w:rsidR="000D1830" w:rsidRDefault="00FD46F3">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D1830" w14:paraId="46C98E17"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15" w14:textId="77777777" w:rsidR="000D1830" w:rsidRDefault="00FD46F3">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16" w14:textId="77777777" w:rsidR="000D1830" w:rsidRDefault="00FD46F3">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D1830" w14:paraId="46C98E1A"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18" w14:textId="77777777" w:rsidR="000D1830" w:rsidRDefault="00FD46F3">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19" w14:textId="77777777" w:rsidR="000D1830" w:rsidRDefault="00FD46F3">
            <w:pPr>
              <w:spacing w:before="240"/>
              <w:rPr>
                <w:sz w:val="20"/>
                <w:szCs w:val="20"/>
              </w:rPr>
            </w:pPr>
            <w:r>
              <w:rPr>
                <w:sz w:val="20"/>
                <w:szCs w:val="20"/>
              </w:rPr>
              <w:t xml:space="preserve">The cloud services described in Framework Agreement Section 2 (Services Offered) as defined by the Service Definition, the Supplier Terms and any related Application documentation, which the </w:t>
            </w:r>
            <w:r>
              <w:rPr>
                <w:sz w:val="20"/>
                <w:szCs w:val="20"/>
              </w:rPr>
              <w:lastRenderedPageBreak/>
              <w:t>Supplier must make available to CCS and Buyers and those services which are deliverable by the Supplier under the Collaboration Agreement.</w:t>
            </w:r>
          </w:p>
        </w:tc>
      </w:tr>
      <w:tr w:rsidR="000D1830" w14:paraId="46C98E1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1B" w14:textId="77777777" w:rsidR="000D1830" w:rsidRDefault="00FD46F3">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1C" w14:textId="77777777" w:rsidR="000D1830" w:rsidRDefault="00FD46F3">
            <w:pPr>
              <w:spacing w:before="240"/>
              <w:rPr>
                <w:sz w:val="20"/>
                <w:szCs w:val="20"/>
              </w:rPr>
            </w:pPr>
            <w:r>
              <w:rPr>
                <w:sz w:val="20"/>
                <w:szCs w:val="20"/>
              </w:rPr>
              <w:t>General Data Protection Regulation (Regulation (EU) 2016/679)</w:t>
            </w:r>
          </w:p>
        </w:tc>
      </w:tr>
      <w:tr w:rsidR="000D1830" w14:paraId="46C98E20"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1E" w14:textId="77777777" w:rsidR="000D1830" w:rsidRDefault="00FD46F3">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1F" w14:textId="77777777" w:rsidR="000D1830" w:rsidRDefault="00FD46F3">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D1830" w14:paraId="46C98E23"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21" w14:textId="77777777" w:rsidR="000D1830" w:rsidRDefault="00FD46F3">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22" w14:textId="77777777" w:rsidR="000D1830" w:rsidRDefault="00FD46F3">
            <w:pPr>
              <w:spacing w:before="240"/>
              <w:rPr>
                <w:sz w:val="20"/>
                <w:szCs w:val="20"/>
              </w:rPr>
            </w:pPr>
            <w:r>
              <w:rPr>
                <w:sz w:val="20"/>
                <w:szCs w:val="20"/>
              </w:rPr>
              <w:t>The government’s preferred method of purchasing and payment for low value goods or services.</w:t>
            </w:r>
          </w:p>
        </w:tc>
      </w:tr>
      <w:tr w:rsidR="000D1830" w14:paraId="46C98E2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24" w14:textId="77777777" w:rsidR="000D1830" w:rsidRDefault="00FD46F3">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25" w14:textId="77777777" w:rsidR="000D1830" w:rsidRDefault="00FD46F3">
            <w:pPr>
              <w:spacing w:before="240"/>
              <w:rPr>
                <w:sz w:val="20"/>
                <w:szCs w:val="20"/>
              </w:rPr>
            </w:pPr>
            <w:r>
              <w:rPr>
                <w:sz w:val="20"/>
                <w:szCs w:val="20"/>
              </w:rPr>
              <w:t>The guarantee described in Schedule 5.</w:t>
            </w:r>
          </w:p>
        </w:tc>
      </w:tr>
      <w:tr w:rsidR="000D1830" w14:paraId="46C98E29"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27" w14:textId="77777777" w:rsidR="000D1830" w:rsidRDefault="00FD46F3">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28" w14:textId="77777777" w:rsidR="000D1830" w:rsidRDefault="00FD46F3">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D1830" w14:paraId="46C98E2C"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2A" w14:textId="77777777" w:rsidR="000D1830" w:rsidRDefault="00FD46F3">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2B" w14:textId="77777777" w:rsidR="000D1830" w:rsidRDefault="00FD46F3">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D1830" w14:paraId="46C98E2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2D" w14:textId="77777777" w:rsidR="000D1830" w:rsidRDefault="00FD46F3">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2E" w14:textId="77777777" w:rsidR="000D1830" w:rsidRDefault="00FD46F3">
            <w:pPr>
              <w:spacing w:before="240"/>
              <w:rPr>
                <w:sz w:val="20"/>
                <w:szCs w:val="20"/>
              </w:rPr>
            </w:pPr>
            <w:r>
              <w:rPr>
                <w:sz w:val="20"/>
                <w:szCs w:val="20"/>
              </w:rPr>
              <w:t>ESI tool completed by contractors on their own behalf at the request of CCS or the Buyer (as applicable) under clause 4.6.</w:t>
            </w:r>
          </w:p>
        </w:tc>
      </w:tr>
      <w:tr w:rsidR="000D1830" w14:paraId="46C98E3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30" w14:textId="77777777" w:rsidR="000D1830" w:rsidRDefault="00FD46F3">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31" w14:textId="77777777" w:rsidR="000D1830" w:rsidRDefault="00FD46F3">
            <w:pPr>
              <w:spacing w:before="240"/>
              <w:rPr>
                <w:sz w:val="20"/>
                <w:szCs w:val="20"/>
              </w:rPr>
            </w:pPr>
            <w:r>
              <w:rPr>
                <w:sz w:val="20"/>
                <w:szCs w:val="20"/>
              </w:rPr>
              <w:t>Has the meaning given under section 84 of the Freedom of Information Act 2000.</w:t>
            </w:r>
          </w:p>
        </w:tc>
      </w:tr>
      <w:tr w:rsidR="000D1830" w14:paraId="46C98E3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33" w14:textId="77777777" w:rsidR="000D1830" w:rsidRDefault="00FD46F3">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34" w14:textId="77777777" w:rsidR="000D1830" w:rsidRDefault="00FD46F3">
            <w:pPr>
              <w:spacing w:before="240"/>
              <w:rPr>
                <w:sz w:val="20"/>
                <w:szCs w:val="20"/>
              </w:rPr>
            </w:pPr>
            <w:r>
              <w:rPr>
                <w:sz w:val="20"/>
                <w:szCs w:val="20"/>
              </w:rPr>
              <w:t>The information security management system and process developed by the Supplier in accordance with clause 16.1.</w:t>
            </w:r>
          </w:p>
        </w:tc>
      </w:tr>
      <w:tr w:rsidR="000D1830" w14:paraId="46C98E3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36" w14:textId="77777777" w:rsidR="000D1830" w:rsidRDefault="00FD46F3">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37" w14:textId="77777777" w:rsidR="000D1830" w:rsidRDefault="00FD46F3">
            <w:pPr>
              <w:spacing w:before="240"/>
              <w:rPr>
                <w:sz w:val="20"/>
                <w:szCs w:val="20"/>
              </w:rPr>
            </w:pPr>
            <w:r>
              <w:rPr>
                <w:sz w:val="20"/>
                <w:szCs w:val="20"/>
              </w:rPr>
              <w:t>Contractual engagements which would be determined to be within the scope of the IR35 Intermediaries legislation if assessed using the ESI tool.</w:t>
            </w:r>
          </w:p>
        </w:tc>
      </w:tr>
      <w:tr w:rsidR="000D1830" w14:paraId="46C98E40"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39" w14:textId="77777777" w:rsidR="000D1830" w:rsidRDefault="00FD46F3">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3A" w14:textId="77777777" w:rsidR="000D1830" w:rsidRDefault="00FD46F3">
            <w:pPr>
              <w:spacing w:before="240"/>
              <w:rPr>
                <w:sz w:val="20"/>
                <w:szCs w:val="20"/>
              </w:rPr>
            </w:pPr>
            <w:r>
              <w:rPr>
                <w:sz w:val="20"/>
                <w:szCs w:val="20"/>
              </w:rPr>
              <w:t>Can be:</w:t>
            </w:r>
          </w:p>
          <w:p w14:paraId="46C98E3B" w14:textId="77777777" w:rsidR="000D1830" w:rsidRDefault="00FD46F3" w:rsidP="00FC6730">
            <w:pPr>
              <w:pStyle w:val="ListParagraph"/>
              <w:numPr>
                <w:ilvl w:val="0"/>
                <w:numId w:val="13"/>
              </w:numPr>
            </w:pPr>
            <w:r>
              <w:rPr>
                <w:sz w:val="14"/>
                <w:szCs w:val="14"/>
              </w:rPr>
              <w:t xml:space="preserve"> </w:t>
            </w:r>
            <w:r>
              <w:rPr>
                <w:sz w:val="20"/>
                <w:szCs w:val="20"/>
              </w:rPr>
              <w:t>a voluntary arrangement</w:t>
            </w:r>
          </w:p>
          <w:p w14:paraId="46C98E3C" w14:textId="77777777" w:rsidR="000D1830" w:rsidRDefault="00FD46F3" w:rsidP="00FC6730">
            <w:pPr>
              <w:pStyle w:val="ListParagraph"/>
              <w:numPr>
                <w:ilvl w:val="0"/>
                <w:numId w:val="13"/>
              </w:numPr>
              <w:rPr>
                <w:sz w:val="20"/>
                <w:szCs w:val="20"/>
              </w:rPr>
            </w:pPr>
            <w:r>
              <w:rPr>
                <w:sz w:val="20"/>
                <w:szCs w:val="20"/>
              </w:rPr>
              <w:t>a winding-up petition</w:t>
            </w:r>
          </w:p>
          <w:p w14:paraId="46C98E3D" w14:textId="77777777" w:rsidR="000D1830" w:rsidRDefault="00FD46F3" w:rsidP="00FC6730">
            <w:pPr>
              <w:pStyle w:val="ListParagraph"/>
              <w:numPr>
                <w:ilvl w:val="0"/>
                <w:numId w:val="13"/>
              </w:numPr>
              <w:rPr>
                <w:sz w:val="20"/>
                <w:szCs w:val="20"/>
              </w:rPr>
            </w:pPr>
            <w:r>
              <w:rPr>
                <w:sz w:val="20"/>
                <w:szCs w:val="20"/>
              </w:rPr>
              <w:t>the appointment of a receiver or administrator</w:t>
            </w:r>
          </w:p>
          <w:p w14:paraId="46C98E3E" w14:textId="77777777" w:rsidR="000D1830" w:rsidRDefault="00FD46F3" w:rsidP="00FC6730">
            <w:pPr>
              <w:pStyle w:val="ListParagraph"/>
              <w:numPr>
                <w:ilvl w:val="0"/>
                <w:numId w:val="13"/>
              </w:numPr>
              <w:rPr>
                <w:sz w:val="20"/>
                <w:szCs w:val="20"/>
              </w:rPr>
            </w:pPr>
            <w:r>
              <w:rPr>
                <w:sz w:val="20"/>
                <w:szCs w:val="20"/>
              </w:rPr>
              <w:t>an unresolved statutory demand</w:t>
            </w:r>
          </w:p>
          <w:p w14:paraId="46C98E3F" w14:textId="77777777" w:rsidR="000D1830" w:rsidRDefault="00FD46F3" w:rsidP="00FC6730">
            <w:pPr>
              <w:pStyle w:val="ListParagraph"/>
              <w:numPr>
                <w:ilvl w:val="0"/>
                <w:numId w:val="13"/>
              </w:numPr>
            </w:pPr>
            <w:r>
              <w:t>a S</w:t>
            </w:r>
            <w:r>
              <w:rPr>
                <w:sz w:val="20"/>
                <w:szCs w:val="20"/>
              </w:rPr>
              <w:t>chedule A1 moratorium</w:t>
            </w:r>
          </w:p>
        </w:tc>
      </w:tr>
      <w:tr w:rsidR="000D1830" w14:paraId="46C98E46"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41" w14:textId="77777777" w:rsidR="000D1830" w:rsidRDefault="00FD46F3">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42" w14:textId="77777777" w:rsidR="000D1830" w:rsidRDefault="00FD46F3">
            <w:pPr>
              <w:spacing w:before="240"/>
              <w:rPr>
                <w:sz w:val="20"/>
                <w:szCs w:val="20"/>
              </w:rPr>
            </w:pPr>
            <w:r>
              <w:rPr>
                <w:sz w:val="20"/>
                <w:szCs w:val="20"/>
              </w:rPr>
              <w:t>Intellectual Property Rights are:</w:t>
            </w:r>
          </w:p>
          <w:p w14:paraId="46C98E43" w14:textId="77777777" w:rsidR="000D1830" w:rsidRDefault="00FD46F3" w:rsidP="00FC6730">
            <w:pPr>
              <w:pStyle w:val="ListParagraph"/>
              <w:numPr>
                <w:ilvl w:val="0"/>
                <w:numId w:val="14"/>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6C98E44" w14:textId="77777777" w:rsidR="000D1830" w:rsidRDefault="00FD46F3" w:rsidP="00FC6730">
            <w:pPr>
              <w:pStyle w:val="ListParagraph"/>
              <w:numPr>
                <w:ilvl w:val="0"/>
                <w:numId w:val="14"/>
              </w:numPr>
              <w:rPr>
                <w:sz w:val="20"/>
                <w:szCs w:val="20"/>
              </w:rPr>
            </w:pPr>
            <w:r>
              <w:rPr>
                <w:sz w:val="20"/>
                <w:szCs w:val="20"/>
              </w:rPr>
              <w:t>applications for registration, and the right to apply for registration, for any of the rights listed at (a) that are capable of being registered in any country or jurisdiction</w:t>
            </w:r>
          </w:p>
          <w:p w14:paraId="46C98E45" w14:textId="77777777" w:rsidR="000D1830" w:rsidRDefault="00FD46F3" w:rsidP="00FC6730">
            <w:pPr>
              <w:pStyle w:val="ListParagraph"/>
              <w:numPr>
                <w:ilvl w:val="0"/>
                <w:numId w:val="14"/>
              </w:numPr>
              <w:rPr>
                <w:sz w:val="20"/>
                <w:szCs w:val="20"/>
              </w:rPr>
            </w:pPr>
            <w:r>
              <w:rPr>
                <w:sz w:val="20"/>
                <w:szCs w:val="20"/>
              </w:rPr>
              <w:t>all other rights having equivalent or similar effect in any country or jurisdiction</w:t>
            </w:r>
          </w:p>
        </w:tc>
      </w:tr>
      <w:tr w:rsidR="000D1830" w14:paraId="46C98E4D"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47" w14:textId="77777777" w:rsidR="000D1830" w:rsidRDefault="00FD46F3">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48" w14:textId="77777777" w:rsidR="000D1830" w:rsidRDefault="00FD46F3">
            <w:pPr>
              <w:spacing w:before="240"/>
              <w:rPr>
                <w:sz w:val="20"/>
                <w:szCs w:val="20"/>
              </w:rPr>
            </w:pPr>
            <w:r>
              <w:rPr>
                <w:sz w:val="20"/>
                <w:szCs w:val="20"/>
              </w:rPr>
              <w:t>For the purposes of the IR35 rules an intermediary can be:</w:t>
            </w:r>
          </w:p>
          <w:p w14:paraId="46C98E49" w14:textId="77777777" w:rsidR="000D1830" w:rsidRDefault="00FD46F3" w:rsidP="00FC6730">
            <w:pPr>
              <w:pStyle w:val="ListParagraph"/>
              <w:numPr>
                <w:ilvl w:val="0"/>
                <w:numId w:val="15"/>
              </w:numPr>
              <w:rPr>
                <w:sz w:val="20"/>
                <w:szCs w:val="20"/>
              </w:rPr>
            </w:pPr>
            <w:r>
              <w:rPr>
                <w:sz w:val="20"/>
                <w:szCs w:val="20"/>
              </w:rPr>
              <w:t>the supplier's own limited company</w:t>
            </w:r>
          </w:p>
          <w:p w14:paraId="46C98E4A" w14:textId="77777777" w:rsidR="000D1830" w:rsidRDefault="00FD46F3" w:rsidP="00FC6730">
            <w:pPr>
              <w:pStyle w:val="ListParagraph"/>
              <w:numPr>
                <w:ilvl w:val="0"/>
                <w:numId w:val="15"/>
              </w:numPr>
              <w:rPr>
                <w:sz w:val="20"/>
                <w:szCs w:val="20"/>
              </w:rPr>
            </w:pPr>
            <w:r>
              <w:rPr>
                <w:sz w:val="20"/>
                <w:szCs w:val="20"/>
              </w:rPr>
              <w:t>a service or a personal service company</w:t>
            </w:r>
          </w:p>
          <w:p w14:paraId="46C98E4B" w14:textId="77777777" w:rsidR="000D1830" w:rsidRDefault="00FD46F3" w:rsidP="00FC6730">
            <w:pPr>
              <w:pStyle w:val="ListParagraph"/>
              <w:numPr>
                <w:ilvl w:val="0"/>
                <w:numId w:val="15"/>
              </w:numPr>
              <w:rPr>
                <w:sz w:val="20"/>
                <w:szCs w:val="20"/>
              </w:rPr>
            </w:pPr>
            <w:r>
              <w:rPr>
                <w:sz w:val="20"/>
                <w:szCs w:val="20"/>
              </w:rPr>
              <w:t>a partnership</w:t>
            </w:r>
          </w:p>
          <w:p w14:paraId="46C98E4C" w14:textId="77777777" w:rsidR="000D1830" w:rsidRDefault="00FD46F3">
            <w:pPr>
              <w:spacing w:before="240"/>
              <w:rPr>
                <w:sz w:val="20"/>
                <w:szCs w:val="20"/>
              </w:rPr>
            </w:pPr>
            <w:r>
              <w:rPr>
                <w:sz w:val="20"/>
                <w:szCs w:val="20"/>
              </w:rPr>
              <w:t>It does not apply if you work for a client through a Managed Service Company (MSC) or agency (for example, an employment agency).</w:t>
            </w:r>
          </w:p>
        </w:tc>
      </w:tr>
      <w:tr w:rsidR="000D1830" w14:paraId="46C98E5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4E" w14:textId="77777777" w:rsidR="000D1830" w:rsidRDefault="00FD46F3">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4F" w14:textId="77777777" w:rsidR="000D1830" w:rsidRDefault="00FD46F3">
            <w:pPr>
              <w:spacing w:before="240"/>
              <w:rPr>
                <w:sz w:val="20"/>
                <w:szCs w:val="20"/>
              </w:rPr>
            </w:pPr>
            <w:r>
              <w:rPr>
                <w:sz w:val="20"/>
                <w:szCs w:val="20"/>
              </w:rPr>
              <w:t>As set out in clause 11.5.</w:t>
            </w:r>
          </w:p>
        </w:tc>
      </w:tr>
      <w:tr w:rsidR="000D1830" w14:paraId="46C98E53"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51" w14:textId="77777777" w:rsidR="000D1830" w:rsidRDefault="00FD46F3">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52" w14:textId="77777777" w:rsidR="000D1830" w:rsidRDefault="00FD46F3">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D1830" w14:paraId="46C98E5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54" w14:textId="77777777" w:rsidR="000D1830" w:rsidRDefault="00FD46F3">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55" w14:textId="77777777" w:rsidR="000D1830" w:rsidRDefault="00FD46F3">
            <w:pPr>
              <w:spacing w:before="240"/>
              <w:rPr>
                <w:sz w:val="20"/>
                <w:szCs w:val="20"/>
              </w:rPr>
            </w:pPr>
            <w:r>
              <w:rPr>
                <w:sz w:val="20"/>
                <w:szCs w:val="20"/>
              </w:rPr>
              <w:t>Assessment of employment status using the ESI tool to determine if engagement is Inside or Outside IR35.</w:t>
            </w:r>
          </w:p>
        </w:tc>
      </w:tr>
      <w:tr w:rsidR="000D1830" w14:paraId="46C98E59"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57" w14:textId="77777777" w:rsidR="000D1830" w:rsidRDefault="00FD46F3">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58" w14:textId="77777777" w:rsidR="000D1830" w:rsidRDefault="00FD46F3">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D1830" w14:paraId="46C98E5C"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5A" w14:textId="77777777" w:rsidR="000D1830" w:rsidRDefault="00FD46F3">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5B" w14:textId="77777777" w:rsidR="000D1830" w:rsidRDefault="00FD46F3">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D1830" w14:paraId="46C98E5F"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5D" w14:textId="77777777" w:rsidR="000D1830" w:rsidRDefault="00FD46F3">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5E" w14:textId="77777777" w:rsidR="000D1830" w:rsidRDefault="00FD46F3">
            <w:pPr>
              <w:spacing w:before="240"/>
              <w:rPr>
                <w:sz w:val="20"/>
                <w:szCs w:val="20"/>
              </w:rPr>
            </w:pPr>
            <w:r>
              <w:rPr>
                <w:sz w:val="20"/>
                <w:szCs w:val="20"/>
              </w:rPr>
              <w:t>Law Enforcement Directive (EU) 2016/680.</w:t>
            </w:r>
          </w:p>
        </w:tc>
      </w:tr>
      <w:tr w:rsidR="000D1830" w14:paraId="46C98E62"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60" w14:textId="77777777" w:rsidR="000D1830" w:rsidRDefault="00FD46F3">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61" w14:textId="77777777" w:rsidR="000D1830" w:rsidRDefault="00FD46F3">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D1830" w14:paraId="46C98E6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63" w14:textId="77777777" w:rsidR="000D1830" w:rsidRDefault="00FD46F3">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64" w14:textId="77777777" w:rsidR="000D1830" w:rsidRDefault="00FD46F3">
            <w:pPr>
              <w:spacing w:before="240"/>
              <w:rPr>
                <w:sz w:val="20"/>
                <w:szCs w:val="20"/>
              </w:rPr>
            </w:pPr>
            <w:r>
              <w:rPr>
                <w:sz w:val="20"/>
                <w:szCs w:val="20"/>
              </w:rPr>
              <w:t>Any of the 3 Lots specified in the ITT and Lots will be construed accordingly.</w:t>
            </w:r>
          </w:p>
        </w:tc>
      </w:tr>
      <w:tr w:rsidR="000D1830" w14:paraId="46C98E68"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66" w14:textId="77777777" w:rsidR="000D1830" w:rsidRDefault="00FD46F3">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67" w14:textId="77777777" w:rsidR="000D1830" w:rsidRDefault="00FD46F3">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D1830" w14:paraId="46C98E6B"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69" w14:textId="77777777" w:rsidR="000D1830" w:rsidRDefault="00FD46F3">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6A" w14:textId="77777777" w:rsidR="000D1830" w:rsidRDefault="00FD46F3">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D1830" w14:paraId="46C98E6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6C" w14:textId="77777777" w:rsidR="000D1830" w:rsidRDefault="00FD46F3">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6D" w14:textId="77777777" w:rsidR="000D1830" w:rsidRDefault="00FD46F3">
            <w:pPr>
              <w:spacing w:before="240"/>
              <w:rPr>
                <w:sz w:val="20"/>
                <w:szCs w:val="20"/>
              </w:rPr>
            </w:pPr>
            <w:r>
              <w:rPr>
                <w:sz w:val="20"/>
                <w:szCs w:val="20"/>
              </w:rPr>
              <w:t>The management information specified in Framework Agreement section 6 (What you report to CCS).</w:t>
            </w:r>
          </w:p>
        </w:tc>
      </w:tr>
      <w:tr w:rsidR="000D1830" w14:paraId="46C98E7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6F" w14:textId="77777777" w:rsidR="000D1830" w:rsidRDefault="00FD46F3">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70" w14:textId="77777777" w:rsidR="000D1830" w:rsidRDefault="00FD46F3">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D1830" w14:paraId="46C98E7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72" w14:textId="77777777" w:rsidR="000D1830" w:rsidRDefault="00FD46F3">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73" w14:textId="77777777" w:rsidR="000D1830" w:rsidRDefault="00FD46F3">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D1830" w14:paraId="46C98E7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75" w14:textId="77777777" w:rsidR="000D1830" w:rsidRDefault="00FD46F3">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76" w14:textId="77777777" w:rsidR="000D1830" w:rsidRDefault="00FD46F3">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D1830" w14:paraId="46C98E7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78" w14:textId="77777777" w:rsidR="000D1830" w:rsidRDefault="00FD46F3">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79" w14:textId="77777777" w:rsidR="000D1830" w:rsidRDefault="00FD46F3">
            <w:pPr>
              <w:spacing w:before="240"/>
              <w:rPr>
                <w:sz w:val="20"/>
                <w:szCs w:val="20"/>
              </w:rPr>
            </w:pPr>
            <w:r>
              <w:rPr>
                <w:sz w:val="20"/>
                <w:szCs w:val="20"/>
              </w:rPr>
              <w:t>An order for G-Cloud Services placed by a contracting body with the Supplier in accordance with the ordering processes.</w:t>
            </w:r>
          </w:p>
        </w:tc>
      </w:tr>
      <w:tr w:rsidR="000D1830" w14:paraId="46C98E7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7B" w14:textId="77777777" w:rsidR="000D1830" w:rsidRDefault="00FD46F3">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7C" w14:textId="77777777" w:rsidR="000D1830" w:rsidRDefault="00FD46F3">
            <w:pPr>
              <w:spacing w:before="240"/>
              <w:rPr>
                <w:sz w:val="20"/>
                <w:szCs w:val="20"/>
              </w:rPr>
            </w:pPr>
            <w:r>
              <w:rPr>
                <w:sz w:val="20"/>
                <w:szCs w:val="20"/>
              </w:rPr>
              <w:t>The order form set out in Part A of the Call-Off Contract to be used by a Buyer to order G-Cloud Services.</w:t>
            </w:r>
          </w:p>
        </w:tc>
      </w:tr>
      <w:tr w:rsidR="000D1830" w14:paraId="46C98E8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7E" w14:textId="77777777" w:rsidR="000D1830" w:rsidRDefault="00FD46F3">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7F" w14:textId="77777777" w:rsidR="000D1830" w:rsidRDefault="00FD46F3">
            <w:pPr>
              <w:spacing w:before="240"/>
              <w:rPr>
                <w:sz w:val="20"/>
                <w:szCs w:val="20"/>
              </w:rPr>
            </w:pPr>
            <w:r>
              <w:rPr>
                <w:sz w:val="20"/>
                <w:szCs w:val="20"/>
              </w:rPr>
              <w:t>G-Cloud Services which are the subject of an order by the Buyer.</w:t>
            </w:r>
          </w:p>
        </w:tc>
      </w:tr>
      <w:tr w:rsidR="000D1830" w14:paraId="46C98E83"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81" w14:textId="77777777" w:rsidR="000D1830" w:rsidRDefault="00FD46F3">
            <w:pPr>
              <w:spacing w:before="240"/>
              <w:rPr>
                <w:b/>
                <w:sz w:val="20"/>
                <w:szCs w:val="20"/>
              </w:rPr>
            </w:pPr>
            <w:r>
              <w:rPr>
                <w:b/>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82" w14:textId="77777777" w:rsidR="000D1830" w:rsidRDefault="00FD46F3">
            <w:pPr>
              <w:spacing w:before="240"/>
              <w:rPr>
                <w:sz w:val="20"/>
                <w:szCs w:val="20"/>
              </w:rPr>
            </w:pPr>
            <w:r>
              <w:rPr>
                <w:sz w:val="20"/>
                <w:szCs w:val="20"/>
              </w:rPr>
              <w:t>Contractual engagements which would be determined to not be within the scope of the IR35 intermediaries legislation if assessed using the ESI tool.</w:t>
            </w:r>
          </w:p>
        </w:tc>
      </w:tr>
      <w:tr w:rsidR="000D1830" w14:paraId="46C98E8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84" w14:textId="77777777" w:rsidR="000D1830" w:rsidRDefault="00FD46F3">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85" w14:textId="77777777" w:rsidR="000D1830" w:rsidRDefault="00FD46F3">
            <w:pPr>
              <w:spacing w:before="240"/>
              <w:rPr>
                <w:sz w:val="20"/>
                <w:szCs w:val="20"/>
              </w:rPr>
            </w:pPr>
            <w:r>
              <w:rPr>
                <w:sz w:val="20"/>
                <w:szCs w:val="20"/>
              </w:rPr>
              <w:t>The Buyer or the Supplier and ‘Parties’ will be interpreted accordingly.</w:t>
            </w:r>
          </w:p>
        </w:tc>
      </w:tr>
      <w:tr w:rsidR="000D1830" w14:paraId="46C98E8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87" w14:textId="77777777" w:rsidR="000D1830" w:rsidRDefault="00FD46F3">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88" w14:textId="77777777" w:rsidR="000D1830" w:rsidRDefault="00FD46F3">
            <w:pPr>
              <w:spacing w:before="240"/>
              <w:rPr>
                <w:sz w:val="20"/>
                <w:szCs w:val="20"/>
              </w:rPr>
            </w:pPr>
            <w:r>
              <w:rPr>
                <w:sz w:val="20"/>
                <w:szCs w:val="20"/>
              </w:rPr>
              <w:t>Takes the meaning given in the GDPR.</w:t>
            </w:r>
          </w:p>
        </w:tc>
      </w:tr>
      <w:tr w:rsidR="000D1830" w14:paraId="46C98E8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8A" w14:textId="77777777" w:rsidR="000D1830" w:rsidRDefault="00FD46F3">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8B" w14:textId="77777777" w:rsidR="000D1830" w:rsidRDefault="00FD46F3">
            <w:pPr>
              <w:spacing w:before="240"/>
              <w:rPr>
                <w:sz w:val="20"/>
                <w:szCs w:val="20"/>
              </w:rPr>
            </w:pPr>
            <w:r>
              <w:rPr>
                <w:sz w:val="20"/>
                <w:szCs w:val="20"/>
              </w:rPr>
              <w:t>Takes the meaning given in the GDPR.</w:t>
            </w:r>
          </w:p>
        </w:tc>
      </w:tr>
      <w:tr w:rsidR="000D1830" w14:paraId="46C98E8F"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8D" w14:textId="77777777" w:rsidR="000D1830" w:rsidRDefault="00FD46F3">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8E" w14:textId="77777777" w:rsidR="000D1830" w:rsidRDefault="00FD46F3">
            <w:pPr>
              <w:spacing w:before="240"/>
              <w:rPr>
                <w:sz w:val="20"/>
                <w:szCs w:val="20"/>
              </w:rPr>
            </w:pPr>
            <w:r>
              <w:rPr>
                <w:sz w:val="20"/>
                <w:szCs w:val="20"/>
              </w:rPr>
              <w:t>Takes the meaning given in the GDPR.</w:t>
            </w:r>
          </w:p>
        </w:tc>
      </w:tr>
      <w:tr w:rsidR="000D1830" w14:paraId="46C98E9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90" w14:textId="77777777" w:rsidR="000D1830" w:rsidRDefault="00FD46F3">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91" w14:textId="77777777" w:rsidR="000D1830" w:rsidRDefault="00FD46F3">
            <w:pPr>
              <w:spacing w:before="240"/>
              <w:rPr>
                <w:sz w:val="20"/>
                <w:szCs w:val="20"/>
              </w:rPr>
            </w:pPr>
            <w:r>
              <w:rPr>
                <w:sz w:val="20"/>
                <w:szCs w:val="20"/>
              </w:rPr>
              <w:t>Takes the meaning given in the GDPR.</w:t>
            </w:r>
          </w:p>
        </w:tc>
      </w:tr>
      <w:tr w:rsidR="000D1830" w14:paraId="46C98E9C"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93" w14:textId="77777777" w:rsidR="000D1830" w:rsidRDefault="00FD46F3">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94" w14:textId="77777777" w:rsidR="000D1830" w:rsidRDefault="00FD46F3">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46C98E95" w14:textId="77777777" w:rsidR="000D1830" w:rsidRDefault="00FD46F3" w:rsidP="00FC6730">
            <w:pPr>
              <w:pStyle w:val="ListParagraph"/>
              <w:numPr>
                <w:ilvl w:val="0"/>
                <w:numId w:val="16"/>
              </w:numPr>
              <w:rPr>
                <w:sz w:val="20"/>
                <w:szCs w:val="20"/>
              </w:rPr>
            </w:pPr>
            <w:r>
              <w:rPr>
                <w:sz w:val="20"/>
                <w:szCs w:val="20"/>
              </w:rPr>
              <w:t>induce that person to perform improperly a relevant function or activity</w:t>
            </w:r>
          </w:p>
          <w:p w14:paraId="46C98E96" w14:textId="77777777" w:rsidR="000D1830" w:rsidRDefault="00FD46F3" w:rsidP="00FC6730">
            <w:pPr>
              <w:pStyle w:val="ListParagraph"/>
              <w:numPr>
                <w:ilvl w:val="0"/>
                <w:numId w:val="16"/>
              </w:numPr>
              <w:rPr>
                <w:sz w:val="20"/>
                <w:szCs w:val="20"/>
              </w:rPr>
            </w:pPr>
            <w:r>
              <w:rPr>
                <w:sz w:val="20"/>
                <w:szCs w:val="20"/>
              </w:rPr>
              <w:t>reward that person for improper performance of a relevant function or activity</w:t>
            </w:r>
          </w:p>
          <w:p w14:paraId="46C98E97" w14:textId="77777777" w:rsidR="000D1830" w:rsidRDefault="00FD46F3" w:rsidP="00FC6730">
            <w:pPr>
              <w:pStyle w:val="ListParagraph"/>
              <w:numPr>
                <w:ilvl w:val="0"/>
                <w:numId w:val="16"/>
              </w:numPr>
              <w:rPr>
                <w:sz w:val="20"/>
                <w:szCs w:val="20"/>
              </w:rPr>
            </w:pPr>
            <w:r>
              <w:rPr>
                <w:sz w:val="20"/>
                <w:szCs w:val="20"/>
              </w:rPr>
              <w:t>commit any offence:</w:t>
            </w:r>
          </w:p>
          <w:p w14:paraId="46C98E98" w14:textId="77777777" w:rsidR="000D1830" w:rsidRDefault="00FD46F3" w:rsidP="00FC6730">
            <w:pPr>
              <w:pStyle w:val="ListParagraph"/>
              <w:numPr>
                <w:ilvl w:val="1"/>
                <w:numId w:val="16"/>
              </w:numPr>
              <w:rPr>
                <w:sz w:val="20"/>
                <w:szCs w:val="20"/>
              </w:rPr>
            </w:pPr>
            <w:r>
              <w:rPr>
                <w:sz w:val="20"/>
                <w:szCs w:val="20"/>
              </w:rPr>
              <w:t>under the Bribery Act 2010</w:t>
            </w:r>
          </w:p>
          <w:p w14:paraId="46C98E99" w14:textId="77777777" w:rsidR="000D1830" w:rsidRDefault="00FD46F3" w:rsidP="00FC6730">
            <w:pPr>
              <w:pStyle w:val="ListParagraph"/>
              <w:numPr>
                <w:ilvl w:val="1"/>
                <w:numId w:val="16"/>
              </w:numPr>
              <w:rPr>
                <w:sz w:val="20"/>
                <w:szCs w:val="20"/>
              </w:rPr>
            </w:pPr>
            <w:r>
              <w:rPr>
                <w:sz w:val="20"/>
                <w:szCs w:val="20"/>
              </w:rPr>
              <w:t>under legislation creating offences concerning Fraud</w:t>
            </w:r>
          </w:p>
          <w:p w14:paraId="46C98E9A" w14:textId="77777777" w:rsidR="000D1830" w:rsidRDefault="00FD46F3" w:rsidP="00FC6730">
            <w:pPr>
              <w:pStyle w:val="ListParagraph"/>
              <w:numPr>
                <w:ilvl w:val="1"/>
                <w:numId w:val="16"/>
              </w:numPr>
            </w:pPr>
            <w:r>
              <w:t>at common Law concerning Fraud</w:t>
            </w:r>
          </w:p>
          <w:p w14:paraId="46C98E9B" w14:textId="77777777" w:rsidR="000D1830" w:rsidRDefault="00FD46F3" w:rsidP="00FC6730">
            <w:pPr>
              <w:pStyle w:val="ListParagraph"/>
              <w:numPr>
                <w:ilvl w:val="1"/>
                <w:numId w:val="16"/>
              </w:numPr>
              <w:rPr>
                <w:sz w:val="20"/>
                <w:szCs w:val="20"/>
              </w:rPr>
            </w:pPr>
            <w:r>
              <w:rPr>
                <w:sz w:val="20"/>
                <w:szCs w:val="20"/>
              </w:rPr>
              <w:t>committing or attempting or conspiring to commit Fraud</w:t>
            </w:r>
          </w:p>
        </w:tc>
      </w:tr>
      <w:tr w:rsidR="000D1830" w14:paraId="46C98E9F"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9D" w14:textId="77777777" w:rsidR="000D1830" w:rsidRDefault="00FD46F3">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9E" w14:textId="77777777" w:rsidR="000D1830" w:rsidRDefault="00FD46F3">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D1830" w14:paraId="46C98EA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A0" w14:textId="77777777" w:rsidR="000D1830" w:rsidRDefault="00FD46F3">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A1" w14:textId="77777777" w:rsidR="000D1830" w:rsidRDefault="00FD46F3">
            <w:pPr>
              <w:spacing w:before="240"/>
              <w:rPr>
                <w:sz w:val="20"/>
                <w:szCs w:val="20"/>
              </w:rPr>
            </w:pPr>
            <w:r>
              <w:rPr>
                <w:sz w:val="20"/>
                <w:szCs w:val="20"/>
              </w:rPr>
              <w:t>Assets and property including technical infrastructure, IPRs and equipment.</w:t>
            </w:r>
          </w:p>
        </w:tc>
      </w:tr>
      <w:tr w:rsidR="000D1830" w14:paraId="46C98EA5"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A3" w14:textId="77777777" w:rsidR="000D1830" w:rsidRDefault="00FD46F3">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A4" w14:textId="77777777" w:rsidR="000D1830" w:rsidRDefault="00FD46F3">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D1830" w14:paraId="46C98EA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A6" w14:textId="77777777" w:rsidR="000D1830" w:rsidRDefault="00FD46F3">
            <w:pPr>
              <w:spacing w:before="240"/>
              <w:rPr>
                <w:b/>
                <w:sz w:val="20"/>
                <w:szCs w:val="20"/>
              </w:rPr>
            </w:pPr>
            <w:r>
              <w:rPr>
                <w:b/>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A7" w14:textId="77777777" w:rsidR="000D1830" w:rsidRDefault="00FD46F3">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D1830" w14:paraId="46C98EA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A9" w14:textId="77777777" w:rsidR="000D1830" w:rsidRDefault="00FD46F3">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AA" w14:textId="77777777" w:rsidR="000D1830" w:rsidRDefault="00FD46F3">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D1830" w14:paraId="46C98EA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AC" w14:textId="77777777" w:rsidR="000D1830" w:rsidRDefault="00FD46F3">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AD" w14:textId="77777777" w:rsidR="000D1830" w:rsidRDefault="00FD46F3">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D1830" w14:paraId="46C98EB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AF" w14:textId="77777777" w:rsidR="000D1830" w:rsidRDefault="00FD46F3">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B0" w14:textId="77777777" w:rsidR="000D1830" w:rsidRDefault="00FD46F3">
            <w:pPr>
              <w:spacing w:before="240"/>
              <w:rPr>
                <w:sz w:val="20"/>
                <w:szCs w:val="20"/>
              </w:rPr>
            </w:pPr>
            <w:r>
              <w:rPr>
                <w:sz w:val="20"/>
                <w:szCs w:val="20"/>
              </w:rPr>
              <w:t>A transfer of employment to which the employment regulations applies.</w:t>
            </w:r>
          </w:p>
        </w:tc>
      </w:tr>
      <w:tr w:rsidR="000D1830" w14:paraId="46C98EB4"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B2" w14:textId="77777777" w:rsidR="000D1830" w:rsidRDefault="00FD46F3">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B3" w14:textId="77777777" w:rsidR="000D1830" w:rsidRDefault="00FD46F3">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D1830" w14:paraId="46C98EB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B5" w14:textId="77777777" w:rsidR="000D1830" w:rsidRDefault="00FD46F3">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B6" w14:textId="77777777" w:rsidR="000D1830" w:rsidRDefault="00FD46F3">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D1830" w14:paraId="46C98EB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B8" w14:textId="77777777" w:rsidR="000D1830" w:rsidRDefault="00FD46F3">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B9" w14:textId="77777777" w:rsidR="000D1830" w:rsidRDefault="00FD46F3">
            <w:pPr>
              <w:spacing w:before="240"/>
              <w:rPr>
                <w:sz w:val="20"/>
                <w:szCs w:val="20"/>
              </w:rPr>
            </w:pPr>
            <w:r>
              <w:rPr>
                <w:sz w:val="20"/>
                <w:szCs w:val="20"/>
              </w:rPr>
              <w:t>The Supplier's security management plan developed by the Supplier in accordance with clause 16.1.</w:t>
            </w:r>
          </w:p>
        </w:tc>
      </w:tr>
      <w:tr w:rsidR="000D1830" w14:paraId="46C98EB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BB" w14:textId="77777777" w:rsidR="000D1830" w:rsidRDefault="00FD46F3">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BC" w14:textId="77777777" w:rsidR="000D1830" w:rsidRDefault="00FD46F3">
            <w:pPr>
              <w:spacing w:before="240"/>
              <w:rPr>
                <w:sz w:val="20"/>
                <w:szCs w:val="20"/>
              </w:rPr>
            </w:pPr>
            <w:r>
              <w:rPr>
                <w:sz w:val="20"/>
                <w:szCs w:val="20"/>
              </w:rPr>
              <w:t>The services ordered by the Buyer as set out in the Order Form.</w:t>
            </w:r>
          </w:p>
        </w:tc>
      </w:tr>
      <w:tr w:rsidR="000D1830" w14:paraId="46C98EC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BE" w14:textId="77777777" w:rsidR="000D1830" w:rsidRDefault="00FD46F3">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BF" w14:textId="77777777" w:rsidR="000D1830" w:rsidRDefault="00FD46F3">
            <w:pPr>
              <w:spacing w:before="240"/>
              <w:rPr>
                <w:sz w:val="20"/>
                <w:szCs w:val="20"/>
              </w:rPr>
            </w:pPr>
            <w:r>
              <w:rPr>
                <w:sz w:val="20"/>
                <w:szCs w:val="20"/>
              </w:rPr>
              <w:t>Data that is owned or managed by the Buyer and used for the G-Cloud Services, including backup data.</w:t>
            </w:r>
          </w:p>
        </w:tc>
      </w:tr>
      <w:tr w:rsidR="000D1830" w14:paraId="46C98EC3"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C1" w14:textId="77777777" w:rsidR="000D1830" w:rsidRDefault="00FD46F3">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C2" w14:textId="77777777" w:rsidR="000D1830" w:rsidRDefault="00FD46F3">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D1830" w14:paraId="46C98EC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C4" w14:textId="77777777" w:rsidR="000D1830" w:rsidRDefault="00FD46F3">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C5" w14:textId="77777777" w:rsidR="000D1830" w:rsidRDefault="00FD46F3">
            <w:pPr>
              <w:spacing w:before="240"/>
              <w:rPr>
                <w:sz w:val="20"/>
                <w:szCs w:val="20"/>
              </w:rPr>
            </w:pPr>
            <w:r>
              <w:rPr>
                <w:sz w:val="20"/>
                <w:szCs w:val="20"/>
              </w:rPr>
              <w:t>The description of the Supplier service offering as published on the Digital Marketplace.</w:t>
            </w:r>
          </w:p>
        </w:tc>
      </w:tr>
      <w:tr w:rsidR="000D1830" w14:paraId="46C98EC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C7" w14:textId="77777777" w:rsidR="000D1830" w:rsidRDefault="00FD46F3">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C8" w14:textId="77777777" w:rsidR="000D1830" w:rsidRDefault="00FD46F3">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0D1830" w14:paraId="46C98EC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CA" w14:textId="77777777" w:rsidR="000D1830" w:rsidRDefault="00FD46F3">
            <w:pPr>
              <w:spacing w:before="240"/>
              <w:rPr>
                <w:b/>
                <w:sz w:val="20"/>
                <w:szCs w:val="20"/>
              </w:rPr>
            </w:pPr>
            <w:r>
              <w:rPr>
                <w:b/>
                <w:sz w:val="20"/>
                <w:szCs w:val="20"/>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CB" w14:textId="77777777" w:rsidR="000D1830" w:rsidRDefault="00FD46F3">
            <w:pPr>
              <w:spacing w:before="240"/>
            </w:pPr>
            <w:r>
              <w:rPr>
                <w:sz w:val="20"/>
                <w:szCs w:val="20"/>
              </w:rPr>
              <w:t>The approval process used by a central government Buyer if it needs to spend money on certain digital or technology services, see</w:t>
            </w:r>
            <w:hyperlink r:id="rId35" w:history="1">
              <w:r>
                <w:t xml:space="preserve"> </w:t>
              </w:r>
            </w:hyperlink>
            <w:hyperlink r:id="rId36" w:history="1">
              <w:r>
                <w:rPr>
                  <w:sz w:val="20"/>
                  <w:szCs w:val="20"/>
                  <w:u w:val="single"/>
                </w:rPr>
                <w:t>https://www.gov.uk/service-manual/agile-delivery/spend-controls-check-if-you-need-approval-to-spend-money-on-a-service</w:t>
              </w:r>
            </w:hyperlink>
          </w:p>
        </w:tc>
      </w:tr>
      <w:tr w:rsidR="000D1830" w14:paraId="46C98ECF"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CD" w14:textId="77777777" w:rsidR="000D1830" w:rsidRDefault="00FD46F3">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CE" w14:textId="77777777" w:rsidR="000D1830" w:rsidRDefault="00FD46F3">
            <w:pPr>
              <w:spacing w:before="240"/>
              <w:rPr>
                <w:sz w:val="20"/>
                <w:szCs w:val="20"/>
              </w:rPr>
            </w:pPr>
            <w:r>
              <w:rPr>
                <w:sz w:val="20"/>
                <w:szCs w:val="20"/>
              </w:rPr>
              <w:t>The Start date of this Call-Off Contract as set out in the Order Form.</w:t>
            </w:r>
          </w:p>
        </w:tc>
      </w:tr>
      <w:tr w:rsidR="000D1830" w14:paraId="46C98ED2"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D0" w14:textId="77777777" w:rsidR="000D1830" w:rsidRDefault="00FD46F3">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D1" w14:textId="77777777" w:rsidR="000D1830" w:rsidRDefault="00FD46F3">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D1830" w14:paraId="46C98ED5"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D3" w14:textId="77777777" w:rsidR="000D1830" w:rsidRDefault="00FD46F3">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D4" w14:textId="77777777" w:rsidR="000D1830" w:rsidRDefault="00FD46F3">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D1830" w14:paraId="46C98ED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D6" w14:textId="77777777" w:rsidR="000D1830" w:rsidRDefault="00FD46F3">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D7" w14:textId="77777777" w:rsidR="000D1830" w:rsidRDefault="00FD46F3">
            <w:pPr>
              <w:spacing w:before="240"/>
              <w:rPr>
                <w:sz w:val="20"/>
                <w:szCs w:val="20"/>
              </w:rPr>
            </w:pPr>
            <w:r>
              <w:rPr>
                <w:sz w:val="20"/>
                <w:szCs w:val="20"/>
              </w:rPr>
              <w:t>Any third party appointed to process Personal Data on behalf of the Supplier under this Call-Off Contract.</w:t>
            </w:r>
          </w:p>
        </w:tc>
      </w:tr>
      <w:tr w:rsidR="000D1830" w14:paraId="46C98ED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D9" w14:textId="77777777" w:rsidR="000D1830" w:rsidRDefault="00FD46F3">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DA" w14:textId="77777777" w:rsidR="000D1830" w:rsidRDefault="00FD46F3">
            <w:pPr>
              <w:spacing w:before="240"/>
              <w:rPr>
                <w:sz w:val="20"/>
                <w:szCs w:val="20"/>
              </w:rPr>
            </w:pPr>
            <w:r>
              <w:rPr>
                <w:sz w:val="20"/>
                <w:szCs w:val="20"/>
              </w:rPr>
              <w:t>The person, firm or company identified in the Order Form.</w:t>
            </w:r>
          </w:p>
        </w:tc>
      </w:tr>
      <w:tr w:rsidR="000D1830" w14:paraId="46C98ED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DC" w14:textId="77777777" w:rsidR="000D1830" w:rsidRDefault="00FD46F3">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DD" w14:textId="77777777" w:rsidR="000D1830" w:rsidRDefault="00FD46F3">
            <w:pPr>
              <w:spacing w:before="240"/>
              <w:rPr>
                <w:sz w:val="20"/>
                <w:szCs w:val="20"/>
              </w:rPr>
            </w:pPr>
            <w:r>
              <w:rPr>
                <w:sz w:val="20"/>
                <w:szCs w:val="20"/>
              </w:rPr>
              <w:t>The representative appointed by the Supplier from time to time in relation to the Call-Off Contract.</w:t>
            </w:r>
          </w:p>
        </w:tc>
      </w:tr>
      <w:tr w:rsidR="000D1830" w14:paraId="46C98EE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DF" w14:textId="77777777" w:rsidR="000D1830" w:rsidRDefault="00FD46F3">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E0" w14:textId="77777777" w:rsidR="000D1830" w:rsidRDefault="00FD46F3">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D1830" w14:paraId="46C98EE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E2" w14:textId="77777777" w:rsidR="000D1830" w:rsidRDefault="00FD46F3">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E3" w14:textId="77777777" w:rsidR="000D1830" w:rsidRDefault="00FD46F3">
            <w:pPr>
              <w:spacing w:before="240"/>
              <w:rPr>
                <w:sz w:val="20"/>
                <w:szCs w:val="20"/>
              </w:rPr>
            </w:pPr>
            <w:r>
              <w:rPr>
                <w:sz w:val="20"/>
                <w:szCs w:val="20"/>
              </w:rPr>
              <w:t>The relevant G-Cloud Service terms and conditions as set out in the Terms and Conditions document supplied as part of the Supplier’s Application.</w:t>
            </w:r>
          </w:p>
        </w:tc>
      </w:tr>
      <w:tr w:rsidR="000D1830" w14:paraId="46C98EE7"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E5" w14:textId="77777777" w:rsidR="000D1830" w:rsidRDefault="00FD46F3">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E6" w14:textId="77777777" w:rsidR="000D1830" w:rsidRDefault="00FD46F3">
            <w:pPr>
              <w:spacing w:before="240"/>
              <w:rPr>
                <w:sz w:val="20"/>
                <w:szCs w:val="20"/>
              </w:rPr>
            </w:pPr>
            <w:r>
              <w:rPr>
                <w:sz w:val="20"/>
                <w:szCs w:val="20"/>
              </w:rPr>
              <w:t>The term of this Call-Off Contract as set out in the Order Form.</w:t>
            </w:r>
          </w:p>
        </w:tc>
      </w:tr>
      <w:tr w:rsidR="000D1830" w14:paraId="46C98EE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E8" w14:textId="77777777" w:rsidR="000D1830" w:rsidRDefault="00FD46F3">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E9" w14:textId="77777777" w:rsidR="000D1830" w:rsidRDefault="00FD46F3">
            <w:pPr>
              <w:spacing w:before="240"/>
              <w:rPr>
                <w:sz w:val="20"/>
                <w:szCs w:val="20"/>
              </w:rPr>
            </w:pPr>
            <w:r>
              <w:rPr>
                <w:sz w:val="20"/>
                <w:szCs w:val="20"/>
              </w:rPr>
              <w:t>This has the meaning given to it in clause 32 (Variation process).</w:t>
            </w:r>
          </w:p>
        </w:tc>
      </w:tr>
      <w:tr w:rsidR="000D1830" w14:paraId="46C98EE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EB" w14:textId="77777777" w:rsidR="000D1830" w:rsidRDefault="00FD46F3">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EC" w14:textId="77777777" w:rsidR="000D1830" w:rsidRDefault="00FD46F3">
            <w:pPr>
              <w:spacing w:before="240"/>
              <w:rPr>
                <w:sz w:val="20"/>
                <w:szCs w:val="20"/>
              </w:rPr>
            </w:pPr>
            <w:r>
              <w:rPr>
                <w:sz w:val="20"/>
                <w:szCs w:val="20"/>
              </w:rPr>
              <w:t>Any day other than a Saturday, Sunday or public holiday in England and Wales.</w:t>
            </w:r>
          </w:p>
        </w:tc>
      </w:tr>
      <w:tr w:rsidR="000D1830" w14:paraId="46C98EF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EE" w14:textId="77777777" w:rsidR="000D1830" w:rsidRDefault="00FD46F3">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8EEF" w14:textId="77777777" w:rsidR="000D1830" w:rsidRDefault="00FD46F3">
            <w:pPr>
              <w:spacing w:before="240"/>
              <w:rPr>
                <w:sz w:val="20"/>
                <w:szCs w:val="20"/>
              </w:rPr>
            </w:pPr>
            <w:r>
              <w:rPr>
                <w:sz w:val="20"/>
                <w:szCs w:val="20"/>
              </w:rPr>
              <w:t>A contract year.</w:t>
            </w:r>
          </w:p>
        </w:tc>
      </w:tr>
    </w:tbl>
    <w:p w14:paraId="46C98EF1" w14:textId="77777777" w:rsidR="000D1830" w:rsidRDefault="00FD46F3">
      <w:pPr>
        <w:spacing w:before="240" w:after="240"/>
      </w:pPr>
      <w:r>
        <w:t xml:space="preserve"> </w:t>
      </w:r>
    </w:p>
    <w:p w14:paraId="46C98EF2" w14:textId="77777777" w:rsidR="000D1830" w:rsidRDefault="000D1830">
      <w:pPr>
        <w:pageBreakBefore/>
      </w:pPr>
    </w:p>
    <w:p w14:paraId="46C98EF3" w14:textId="77777777" w:rsidR="000D1830" w:rsidRDefault="00FD46F3">
      <w:pPr>
        <w:pStyle w:val="Heading2"/>
      </w:pPr>
      <w:bookmarkStart w:id="13" w:name="_Toc33176240"/>
      <w:r>
        <w:t>Schedule 7: GDPR Information</w:t>
      </w:r>
      <w:bookmarkEnd w:id="13"/>
    </w:p>
    <w:p w14:paraId="0F084540" w14:textId="18E3EB1E" w:rsidR="00B914B7" w:rsidRPr="00B914B7" w:rsidRDefault="00B914B7" w:rsidP="00FC6730">
      <w:pPr>
        <w:pStyle w:val="ListParagraph"/>
        <w:numPr>
          <w:ilvl w:val="0"/>
          <w:numId w:val="19"/>
        </w:numPr>
        <w:spacing w:before="40" w:after="120"/>
        <w:ind w:hanging="357"/>
        <w:rPr>
          <w:bCs/>
        </w:rPr>
      </w:pPr>
      <w:r w:rsidRPr="00B914B7">
        <w:rPr>
          <w:bCs/>
        </w:rPr>
        <w:t>Where The Supplier processes personal data (as these terms are defined in the Data Protection Laws) on behalf of the Buyer (such personal data being referred to as ”Protected Data”), the Supplier will:</w:t>
      </w:r>
    </w:p>
    <w:p w14:paraId="4B556D55" w14:textId="7E087EE4" w:rsidR="00B914B7" w:rsidRPr="00B914B7" w:rsidRDefault="00B914B7" w:rsidP="00FC6730">
      <w:pPr>
        <w:pStyle w:val="ListParagraph"/>
        <w:numPr>
          <w:ilvl w:val="0"/>
          <w:numId w:val="18"/>
        </w:numPr>
        <w:spacing w:before="40" w:after="120"/>
        <w:ind w:hanging="357"/>
        <w:rPr>
          <w:bCs/>
        </w:rPr>
      </w:pPr>
      <w:r w:rsidRPr="00B914B7">
        <w:rPr>
          <w:bCs/>
        </w:rPr>
        <w:t xml:space="preserve">Act strictly in accordance with the Buyer’s lawful and reasonable instructions in respect of such Protected Data unless applicable law requires otherwise, in which case the Supplier shall inform the Buyer of that legal requirement before processing (unless that law prohibits such information on important grounds of public interest). The Supplier shall inform the Buyer if it becomes aware of an instruction by the Buyer that, in the Supplier’s opinion, infringes the Data Protection Laws. </w:t>
      </w:r>
    </w:p>
    <w:p w14:paraId="275041DA" w14:textId="63ADDF57" w:rsidR="00B914B7" w:rsidRPr="00B914B7" w:rsidRDefault="00B914B7" w:rsidP="00FC6730">
      <w:pPr>
        <w:pStyle w:val="ListParagraph"/>
        <w:numPr>
          <w:ilvl w:val="0"/>
          <w:numId w:val="18"/>
        </w:numPr>
        <w:spacing w:before="40" w:after="120"/>
        <w:ind w:hanging="357"/>
        <w:rPr>
          <w:bCs/>
        </w:rPr>
      </w:pPr>
      <w:r w:rsidRPr="00B914B7">
        <w:rPr>
          <w:bCs/>
        </w:rPr>
        <w:t>Ensure that its personnel, that are authorised to process the personal data in connection with the provision of the Services, have committed themselves to confidentiality or are under an appropriate statutory obligation of confidentiality.</w:t>
      </w:r>
    </w:p>
    <w:p w14:paraId="4CFB1838" w14:textId="344EA2D6" w:rsidR="00B914B7" w:rsidRPr="00B914B7" w:rsidRDefault="00B914B7" w:rsidP="00FC6730">
      <w:pPr>
        <w:pStyle w:val="ListParagraph"/>
        <w:numPr>
          <w:ilvl w:val="0"/>
          <w:numId w:val="18"/>
        </w:numPr>
        <w:spacing w:before="40" w:after="120"/>
        <w:ind w:hanging="357"/>
        <w:rPr>
          <w:bCs/>
        </w:rPr>
      </w:pPr>
      <w:r w:rsidRPr="00B914B7">
        <w:rPr>
          <w:bCs/>
        </w:rPr>
        <w:t>Implement appropriate technical and organisational security measures to protect the Protected Data in accordance with Data Protection Laws.</w:t>
      </w:r>
    </w:p>
    <w:p w14:paraId="57DCF5E2" w14:textId="3B3D95D6" w:rsidR="00B914B7" w:rsidRPr="00B914B7" w:rsidRDefault="00B914B7" w:rsidP="00FC6730">
      <w:pPr>
        <w:pStyle w:val="ListParagraph"/>
        <w:numPr>
          <w:ilvl w:val="0"/>
          <w:numId w:val="18"/>
        </w:numPr>
        <w:spacing w:before="40" w:after="120"/>
        <w:ind w:hanging="357"/>
        <w:rPr>
          <w:bCs/>
        </w:rPr>
      </w:pPr>
      <w:r w:rsidRPr="00B914B7">
        <w:rPr>
          <w:bCs/>
        </w:rPr>
        <w:t>Enable the Buyer to access, rectify, erase, restrict and transmit the personal data processed by the Supplier.</w:t>
      </w:r>
    </w:p>
    <w:p w14:paraId="52D1BB43" w14:textId="47302003" w:rsidR="00B914B7" w:rsidRPr="00B914B7" w:rsidRDefault="00B914B7" w:rsidP="00FC6730">
      <w:pPr>
        <w:pStyle w:val="ListParagraph"/>
        <w:numPr>
          <w:ilvl w:val="0"/>
          <w:numId w:val="18"/>
        </w:numPr>
        <w:spacing w:before="40" w:after="120"/>
        <w:ind w:hanging="357"/>
        <w:rPr>
          <w:bCs/>
        </w:rPr>
      </w:pPr>
      <w:r w:rsidRPr="00B914B7">
        <w:rPr>
          <w:bCs/>
        </w:rPr>
        <w:t>If a data subject requests information from the Supplier concerning the processing of personal data by the Buyer, promptly forward the request to the Buyer.</w:t>
      </w:r>
    </w:p>
    <w:p w14:paraId="5309E336" w14:textId="627BC828" w:rsidR="00B914B7" w:rsidRPr="00B914B7" w:rsidRDefault="00B914B7" w:rsidP="00FC6730">
      <w:pPr>
        <w:pStyle w:val="ListParagraph"/>
        <w:numPr>
          <w:ilvl w:val="0"/>
          <w:numId w:val="18"/>
        </w:numPr>
        <w:spacing w:before="40" w:after="120"/>
        <w:ind w:hanging="357"/>
        <w:rPr>
          <w:bCs/>
        </w:rPr>
      </w:pPr>
      <w:r w:rsidRPr="00B914B7">
        <w:rPr>
          <w:bCs/>
        </w:rPr>
        <w:t>Provide reasonable assistance to enable the Buyer to comply with the Buyer’s obligations under Data Protection Law, including using appropriate technical and organisational measures to assist the Buyer in responding to data subject access requests.</w:t>
      </w:r>
    </w:p>
    <w:p w14:paraId="3D5E81B5" w14:textId="24112283" w:rsidR="00B914B7" w:rsidRPr="00B914B7" w:rsidRDefault="00B914B7" w:rsidP="00FC6730">
      <w:pPr>
        <w:pStyle w:val="ListParagraph"/>
        <w:numPr>
          <w:ilvl w:val="0"/>
          <w:numId w:val="18"/>
        </w:numPr>
        <w:spacing w:before="40" w:after="120"/>
        <w:ind w:hanging="357"/>
        <w:rPr>
          <w:bCs/>
        </w:rPr>
      </w:pPr>
      <w:r w:rsidRPr="00B914B7">
        <w:rPr>
          <w:bCs/>
        </w:rPr>
        <w:t>Make available to the Buyer all information necessary to demonstrate compliance with the obligations set out in this clause Appendix 1, and allow for and contribute to audits, including inspections, conducted by or on behalf of the Buyer or ensure that the Supplier and/or any sub-processor will conduct audits using external auditors at least once per year.</w:t>
      </w:r>
    </w:p>
    <w:p w14:paraId="6DA2D697" w14:textId="51E84C84" w:rsidR="00B914B7" w:rsidRPr="00B914B7" w:rsidRDefault="00B914B7" w:rsidP="00FC6730">
      <w:pPr>
        <w:pStyle w:val="ListParagraph"/>
        <w:numPr>
          <w:ilvl w:val="0"/>
          <w:numId w:val="19"/>
        </w:numPr>
        <w:spacing w:before="40" w:after="120"/>
        <w:ind w:hanging="357"/>
        <w:rPr>
          <w:bCs/>
        </w:rPr>
      </w:pPr>
      <w:r w:rsidRPr="00B914B7">
        <w:rPr>
          <w:bCs/>
        </w:rPr>
        <w:t>The Buyer may request in writing the deletion or return of all Protected Data on termination of the Services or up to three months following termination of the Services.  Where the Buyer has not deleted the personal data prior to the termination of the Services, the Supplier may delete all personal data at any time after three months following the date of termination of the Services unless the otherwise required or permitted by applicable law.</w:t>
      </w:r>
    </w:p>
    <w:p w14:paraId="1B0F56E5" w14:textId="5CEFF57A" w:rsidR="00B914B7" w:rsidRPr="00B914B7" w:rsidRDefault="00B914B7" w:rsidP="00FC6730">
      <w:pPr>
        <w:pStyle w:val="ListParagraph"/>
        <w:numPr>
          <w:ilvl w:val="0"/>
          <w:numId w:val="19"/>
        </w:numPr>
        <w:spacing w:before="40" w:after="120"/>
        <w:ind w:hanging="357"/>
        <w:rPr>
          <w:bCs/>
        </w:rPr>
      </w:pPr>
      <w:r w:rsidRPr="00B914B7">
        <w:rPr>
          <w:bCs/>
        </w:rPr>
        <w:t xml:space="preserve">The Buyer hereby gives the Supplier a general consent to engage sub-processors for processing of Protected Data on behalf of the Buyer. The Supplier shall inform the Buyer before transferring any Protected Data to a new sub-processor. Following receipt of such information the Buyer shall notify the Supplier if it objects to the new sub-processor. If the Buyer does not object to the sub-processor within seven days of receiving the information, the Buyer shall be deemed to have accepted the sub-processor. If the Buyer has raised a reasonable objection to the new sub-processor, and the parties have failed to agree on a solution within reasonable time, the Buyer shall have the right to terminate the Services, to the extent that they rely on the relevant sub-processor, on seven days written notice without prejudice to any other remedies available under law or contract. During the notice period, the Supplier shall not transfer any Protected Data to the applicable sub-processor.  The </w:t>
      </w:r>
      <w:r w:rsidRPr="00B914B7">
        <w:rPr>
          <w:bCs/>
        </w:rPr>
        <w:lastRenderedPageBreak/>
        <w:t>Supplier shall enter into appropriate written agreements with all of its sub-processors on terms substantially similar to this Appendix 1, including without limitation the Buyer’s right to conduct audits at the sub-processor, or ensure that the sub-processor will conduct audits using external auditors at least once per year.  The Supplier shall remain fully liable to the Buyer for the performance or non-performance of the sub-processor’s obligations.</w:t>
      </w:r>
    </w:p>
    <w:p w14:paraId="3685425E" w14:textId="77777777" w:rsidR="00B914B7" w:rsidRPr="00B914B7" w:rsidRDefault="00B914B7" w:rsidP="00B914B7">
      <w:pPr>
        <w:rPr>
          <w:b/>
          <w:bCs/>
        </w:rPr>
      </w:pPr>
    </w:p>
    <w:p w14:paraId="314FEC50" w14:textId="77777777" w:rsidR="00B914B7" w:rsidRPr="00B914B7" w:rsidRDefault="00B914B7" w:rsidP="00B914B7">
      <w:pPr>
        <w:rPr>
          <w:b/>
          <w:bCs/>
        </w:rPr>
      </w:pPr>
      <w:r w:rsidRPr="00B914B7">
        <w:rPr>
          <w:b/>
          <w:bCs/>
        </w:rPr>
        <w:t>PERSONAL DATA PROCESSING INSTRUCTIONS</w:t>
      </w:r>
    </w:p>
    <w:p w14:paraId="62297C92" w14:textId="77777777" w:rsidR="00B914B7" w:rsidRPr="00B914B7" w:rsidRDefault="00B914B7" w:rsidP="00B914B7">
      <w:r w:rsidRPr="00B914B7">
        <w:rPr>
          <w:b/>
          <w:bCs/>
        </w:rPr>
        <w:t xml:space="preserve">Subject matter of the processing: </w:t>
      </w:r>
      <w:r w:rsidRPr="00B914B7">
        <w:rPr>
          <w:b/>
          <w:bCs/>
        </w:rPr>
        <w:br/>
      </w:r>
      <w:r w:rsidRPr="00B914B7">
        <w:t>The Nature and Purpose of the Processing does not require access to Personal Data by the Supplier.</w:t>
      </w:r>
    </w:p>
    <w:p w14:paraId="3EF3D925" w14:textId="77777777" w:rsidR="00B914B7" w:rsidRDefault="00B914B7" w:rsidP="00B914B7">
      <w:pPr>
        <w:rPr>
          <w:b/>
          <w:bCs/>
        </w:rPr>
      </w:pPr>
    </w:p>
    <w:p w14:paraId="6C9CE020" w14:textId="3D3F42D6" w:rsidR="00B914B7" w:rsidRPr="00B914B7" w:rsidRDefault="00B914B7" w:rsidP="00B914B7">
      <w:r w:rsidRPr="00B914B7">
        <w:rPr>
          <w:b/>
          <w:bCs/>
        </w:rPr>
        <w:t xml:space="preserve">Duration of the processing: </w:t>
      </w:r>
      <w:r w:rsidRPr="00B914B7">
        <w:rPr>
          <w:b/>
          <w:bCs/>
        </w:rPr>
        <w:br/>
      </w:r>
      <w:r w:rsidRPr="00B914B7">
        <w:t>The Duration of the Processing is defined in the Order Form.</w:t>
      </w:r>
      <w:r w:rsidRPr="00B914B7">
        <w:tab/>
      </w:r>
    </w:p>
    <w:p w14:paraId="05552604" w14:textId="77777777" w:rsidR="00B914B7" w:rsidRDefault="00B914B7" w:rsidP="00B914B7">
      <w:pPr>
        <w:rPr>
          <w:b/>
          <w:bCs/>
        </w:rPr>
      </w:pPr>
    </w:p>
    <w:p w14:paraId="594F2BD3" w14:textId="2BDE2C45" w:rsidR="00B914B7" w:rsidRPr="00B914B7" w:rsidRDefault="00B914B7" w:rsidP="00B914B7">
      <w:r w:rsidRPr="00B914B7">
        <w:rPr>
          <w:b/>
          <w:bCs/>
        </w:rPr>
        <w:t xml:space="preserve">Nature and purposes of the Processing: </w:t>
      </w:r>
      <w:r w:rsidRPr="00B914B7">
        <w:rPr>
          <w:b/>
          <w:bCs/>
        </w:rPr>
        <w:br/>
      </w:r>
      <w:r w:rsidRPr="00B914B7">
        <w:t>The Nature and Purpose of the Processing does not required access to Personal Data by the Supplier.</w:t>
      </w:r>
    </w:p>
    <w:p w14:paraId="4FA60917" w14:textId="77777777" w:rsidR="00B914B7" w:rsidRDefault="00B914B7" w:rsidP="00B914B7">
      <w:pPr>
        <w:rPr>
          <w:b/>
          <w:bCs/>
        </w:rPr>
      </w:pPr>
    </w:p>
    <w:p w14:paraId="4D5135C3" w14:textId="2EA01DDA" w:rsidR="00B914B7" w:rsidRPr="00B914B7" w:rsidRDefault="00B914B7" w:rsidP="00B914B7">
      <w:r w:rsidRPr="00B914B7">
        <w:rPr>
          <w:b/>
          <w:bCs/>
        </w:rPr>
        <w:t xml:space="preserve">Type of Personal Data: </w:t>
      </w:r>
      <w:r w:rsidRPr="00B914B7">
        <w:rPr>
          <w:b/>
          <w:bCs/>
        </w:rPr>
        <w:br/>
      </w:r>
      <w:r w:rsidRPr="00B914B7">
        <w:t>No Types of Personal Data Processed are defined in the Personal Data Processing Instructions, as the Controller permits no Processing.</w:t>
      </w:r>
    </w:p>
    <w:p w14:paraId="2F21EA28" w14:textId="77777777" w:rsidR="00B914B7" w:rsidRDefault="00B914B7" w:rsidP="00B914B7">
      <w:pPr>
        <w:rPr>
          <w:b/>
          <w:bCs/>
        </w:rPr>
      </w:pPr>
    </w:p>
    <w:p w14:paraId="3F885A33" w14:textId="4320DC65" w:rsidR="00B914B7" w:rsidRPr="00B914B7" w:rsidRDefault="00B914B7" w:rsidP="00B914B7">
      <w:r w:rsidRPr="00B914B7">
        <w:rPr>
          <w:b/>
          <w:bCs/>
        </w:rPr>
        <w:t xml:space="preserve">Categories of Data Subject: </w:t>
      </w:r>
      <w:r w:rsidRPr="00B914B7">
        <w:rPr>
          <w:b/>
          <w:bCs/>
        </w:rPr>
        <w:br/>
      </w:r>
      <w:r w:rsidRPr="00B914B7">
        <w:t>No Categories of Data Subjects are defined in the Personal Data Processing Instructions, as the Controller permits no Processing.</w:t>
      </w:r>
    </w:p>
    <w:p w14:paraId="35264F83" w14:textId="77777777" w:rsidR="00B914B7" w:rsidRDefault="00B914B7" w:rsidP="00B914B7">
      <w:pPr>
        <w:rPr>
          <w:b/>
          <w:bCs/>
        </w:rPr>
      </w:pPr>
    </w:p>
    <w:p w14:paraId="6CF920A1" w14:textId="5EB3DCB1" w:rsidR="00B914B7" w:rsidRPr="00B914B7" w:rsidRDefault="00B914B7" w:rsidP="00B914B7">
      <w:r w:rsidRPr="00B914B7">
        <w:rPr>
          <w:b/>
          <w:bCs/>
        </w:rPr>
        <w:t xml:space="preserve">Plan for return or destruction of the data once the Processing is complete UNLESS requirement under union or member state law to preserve that type of data: </w:t>
      </w:r>
      <w:r w:rsidRPr="00B914B7">
        <w:rPr>
          <w:b/>
          <w:bCs/>
        </w:rPr>
        <w:br/>
      </w:r>
      <w:r w:rsidRPr="00B914B7">
        <w:rPr>
          <w:bCs/>
        </w:rPr>
        <w:t>N/A</w:t>
      </w:r>
    </w:p>
    <w:p w14:paraId="3C598638" w14:textId="77777777" w:rsidR="00B914B7" w:rsidRDefault="00B914B7" w:rsidP="00B914B7">
      <w:pPr>
        <w:rPr>
          <w:b/>
        </w:rPr>
      </w:pPr>
    </w:p>
    <w:p w14:paraId="2C65B2FB" w14:textId="19C52CEF" w:rsidR="00B914B7" w:rsidRPr="00B914B7" w:rsidRDefault="00B914B7" w:rsidP="00B914B7">
      <w:pPr>
        <w:rPr>
          <w:b/>
        </w:rPr>
      </w:pPr>
      <w:r w:rsidRPr="00B914B7">
        <w:rPr>
          <w:b/>
        </w:rPr>
        <w:t>APPROVED SUB-PROCESSORS</w:t>
      </w:r>
    </w:p>
    <w:p w14:paraId="54900FA3" w14:textId="5BC77EB6" w:rsidR="00B914B7" w:rsidRDefault="00B914B7" w:rsidP="00B914B7">
      <w:r w:rsidRPr="00B914B7">
        <w:t>No Sub-Processors require approval, as the Supplier is not permitted to undertake Processing of Personal Data.</w:t>
      </w:r>
    </w:p>
    <w:p w14:paraId="0F54EDE7" w14:textId="48376BF8" w:rsidR="00B914B7" w:rsidRDefault="00B914B7" w:rsidP="00B914B7"/>
    <w:p w14:paraId="1135D3A7" w14:textId="590556E1" w:rsidR="00B914B7" w:rsidRDefault="00B914B7" w:rsidP="00B914B7"/>
    <w:p w14:paraId="3CE2CBD5" w14:textId="63B278E7" w:rsidR="00B914B7" w:rsidRDefault="00B914B7" w:rsidP="00B914B7"/>
    <w:p w14:paraId="1ADB3F5B" w14:textId="74D6DD1F" w:rsidR="00B914B7" w:rsidRPr="00B914B7" w:rsidRDefault="00B914B7" w:rsidP="00B914B7">
      <w:pPr>
        <w:jc w:val="center"/>
        <w:rPr>
          <w:b/>
        </w:rPr>
      </w:pPr>
      <w:r>
        <w:rPr>
          <w:b/>
        </w:rPr>
        <w:t>END OF DOCUMENT</w:t>
      </w:r>
    </w:p>
    <w:p w14:paraId="50D51D8B" w14:textId="77777777" w:rsidR="00B914B7" w:rsidRPr="00B914B7" w:rsidRDefault="00B914B7" w:rsidP="00B914B7"/>
    <w:p w14:paraId="46C98FC5" w14:textId="6E7150C6" w:rsidR="000D1830" w:rsidRDefault="000D1830" w:rsidP="00D45F6F"/>
    <w:sectPr w:rsidR="000D1830">
      <w:footerReference w:type="default" r:id="rId37"/>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DB368" w14:textId="77777777" w:rsidR="0041425C" w:rsidRDefault="0041425C">
      <w:pPr>
        <w:spacing w:line="240" w:lineRule="auto"/>
      </w:pPr>
      <w:r>
        <w:separator/>
      </w:r>
    </w:p>
  </w:endnote>
  <w:endnote w:type="continuationSeparator" w:id="0">
    <w:p w14:paraId="3D493F26" w14:textId="77777777" w:rsidR="0041425C" w:rsidRDefault="00414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Corbel"/>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987B4" w14:textId="77777777" w:rsidR="00C25C85" w:rsidRDefault="00C25C85">
    <w:pPr>
      <w:pStyle w:val="Footer"/>
      <w:ind w:right="360"/>
    </w:pPr>
    <w:r>
      <w:rPr>
        <w:noProof/>
      </w:rPr>
      <mc:AlternateContent>
        <mc:Choice Requires="wps">
          <w:drawing>
            <wp:anchor distT="0" distB="0" distL="114300" distR="114300" simplePos="0" relativeHeight="251659264" behindDoc="0" locked="0" layoutInCell="1" allowOverlap="1" wp14:anchorId="46C987AC" wp14:editId="46C987AD">
              <wp:simplePos x="0" y="0"/>
              <wp:positionH relativeFrom="margin">
                <wp:align>right</wp:align>
              </wp:positionH>
              <wp:positionV relativeFrom="paragraph">
                <wp:posOffset>720</wp:posOffset>
              </wp:positionV>
              <wp:extent cx="14760" cy="14760"/>
              <wp:effectExtent l="0" t="0" r="10640" b="10640"/>
              <wp:wrapTopAndBottom/>
              <wp:docPr id="1" name="Frame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14:paraId="46C987AE" w14:textId="007084B1" w:rsidR="00C25C85" w:rsidRDefault="00C25C85">
                          <w:pPr>
                            <w:pStyle w:val="Footer"/>
                          </w:pPr>
                          <w:r>
                            <w:rPr>
                              <w:rStyle w:val="PageNumber"/>
                            </w:rPr>
                            <w:fldChar w:fldCharType="begin"/>
                          </w:r>
                          <w:r>
                            <w:rPr>
                              <w:rStyle w:val="PageNumber"/>
                            </w:rPr>
                            <w:instrText xml:space="preserve"> PAGE </w:instrText>
                          </w:r>
                          <w:r>
                            <w:rPr>
                              <w:rStyle w:val="PageNumber"/>
                            </w:rPr>
                            <w:fldChar w:fldCharType="separate"/>
                          </w:r>
                          <w:r w:rsidR="00EE563F">
                            <w:rPr>
                              <w:rStyle w:val="PageNumber"/>
                              <w:noProof/>
                            </w:rPr>
                            <w:t>9</w:t>
                          </w:r>
                          <w:r>
                            <w:rPr>
                              <w:rStyle w:val="PageNumber"/>
                            </w:rPr>
                            <w:fldChar w:fldCharType="end"/>
                          </w:r>
                        </w:p>
                      </w:txbxContent>
                    </wps:txbx>
                    <wps:bodyPr wrap="none" lIns="0" tIns="0" rIns="0" bIns="0" compatLnSpc="0">
                      <a:spAutoFit/>
                    </wps:bodyPr>
                  </wps:wsp>
                </a:graphicData>
              </a:graphic>
            </wp:anchor>
          </w:drawing>
        </mc:Choice>
        <mc:Fallback>
          <w:pict>
            <v:shapetype w14:anchorId="46C987AC" id="_x0000_t202" coordsize="21600,21600" o:spt="202" path="m,l,21600r21600,l21600,xe">
              <v:stroke joinstyle="miter"/>
              <v:path gradientshapeok="t" o:connecttype="rect"/>
            </v:shapetype>
            <v:shape id="Frame1" o:spid="_x0000_s1026" type="#_x0000_t202" style="position:absolute;margin-left:-50.05pt;margin-top:.05pt;width:1.1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" filled="f" stroked="f">
              <v:textbox style="mso-fit-shape-to-text:t" inset="0,0,0,0">
                <w:txbxContent>
                  <w:p w14:paraId="46C987AE" w14:textId="007084B1" w:rsidR="00C25C85" w:rsidRDefault="00C25C85">
                    <w:pPr>
                      <w:pStyle w:val="Footer"/>
                    </w:pPr>
                    <w:r>
                      <w:rPr>
                        <w:rStyle w:val="PageNumber"/>
                      </w:rPr>
                      <w:fldChar w:fldCharType="begin"/>
                    </w:r>
                    <w:r>
                      <w:rPr>
                        <w:rStyle w:val="PageNumber"/>
                      </w:rPr>
                      <w:instrText xml:space="preserve"> PAGE </w:instrText>
                    </w:r>
                    <w:r>
                      <w:rPr>
                        <w:rStyle w:val="PageNumber"/>
                      </w:rPr>
                      <w:fldChar w:fldCharType="separate"/>
                    </w:r>
                    <w:r w:rsidR="00EE563F">
                      <w:rPr>
                        <w:rStyle w:val="PageNumber"/>
                        <w:noProof/>
                      </w:rPr>
                      <w:t>9</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F056C" w14:textId="77777777" w:rsidR="0041425C" w:rsidRDefault="0041425C">
      <w:pPr>
        <w:spacing w:line="240" w:lineRule="auto"/>
      </w:pPr>
      <w:r>
        <w:rPr>
          <w:color w:val="000000"/>
        </w:rPr>
        <w:separator/>
      </w:r>
    </w:p>
  </w:footnote>
  <w:footnote w:type="continuationSeparator" w:id="0">
    <w:p w14:paraId="357300BB" w14:textId="77777777" w:rsidR="0041425C" w:rsidRDefault="004142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B60CC"/>
    <w:multiLevelType w:val="multilevel"/>
    <w:tmpl w:val="88664BB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A3A1192"/>
    <w:multiLevelType w:val="hybridMultilevel"/>
    <w:tmpl w:val="A26C8DFC"/>
    <w:styleLink w:val="ImportedStyle3"/>
    <w:lvl w:ilvl="0" w:tplc="775C7B8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1D08956">
      <w:start w:val="1"/>
      <w:numFmt w:val="decimal"/>
      <w:lvlText w:val="(%2)"/>
      <w:lvlJc w:val="left"/>
      <w:pPr>
        <w:ind w:left="1440" w:hanging="318"/>
      </w:pPr>
      <w:rPr>
        <w:rFonts w:hAnsi="Arial Unicode MS"/>
        <w:caps w:val="0"/>
        <w:smallCaps w:val="0"/>
        <w:strike w:val="0"/>
        <w:dstrike w:val="0"/>
        <w:color w:val="000000"/>
        <w:spacing w:val="0"/>
        <w:w w:val="100"/>
        <w:kern w:val="0"/>
        <w:position w:val="0"/>
        <w:highlight w:val="none"/>
        <w:vertAlign w:val="baseline"/>
      </w:rPr>
    </w:lvl>
    <w:lvl w:ilvl="2" w:tplc="239C7772">
      <w:start w:val="1"/>
      <w:numFmt w:val="lowerRoman"/>
      <w:lvlText w:val="%3."/>
      <w:lvlJc w:val="left"/>
      <w:pPr>
        <w:ind w:left="2160" w:hanging="277"/>
      </w:pPr>
      <w:rPr>
        <w:rFonts w:hAnsi="Arial Unicode MS"/>
        <w:caps w:val="0"/>
        <w:smallCaps w:val="0"/>
        <w:strike w:val="0"/>
        <w:dstrike w:val="0"/>
        <w:color w:val="000000"/>
        <w:spacing w:val="0"/>
        <w:w w:val="100"/>
        <w:kern w:val="0"/>
        <w:position w:val="0"/>
        <w:highlight w:val="none"/>
        <w:vertAlign w:val="baseline"/>
      </w:rPr>
    </w:lvl>
    <w:lvl w:ilvl="3" w:tplc="D34C916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B6742D9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04B8791A">
      <w:start w:val="1"/>
      <w:numFmt w:val="lowerRoman"/>
      <w:lvlText w:val="%6."/>
      <w:lvlJc w:val="left"/>
      <w:pPr>
        <w:ind w:left="4320" w:hanging="277"/>
      </w:pPr>
      <w:rPr>
        <w:rFonts w:hAnsi="Arial Unicode MS"/>
        <w:caps w:val="0"/>
        <w:smallCaps w:val="0"/>
        <w:strike w:val="0"/>
        <w:dstrike w:val="0"/>
        <w:color w:val="000000"/>
        <w:spacing w:val="0"/>
        <w:w w:val="100"/>
        <w:kern w:val="0"/>
        <w:position w:val="0"/>
        <w:highlight w:val="none"/>
        <w:vertAlign w:val="baseline"/>
      </w:rPr>
    </w:lvl>
    <w:lvl w:ilvl="6" w:tplc="662AFA9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244CF5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8D00CBCE">
      <w:start w:val="1"/>
      <w:numFmt w:val="lowerRoman"/>
      <w:lvlText w:val="%9."/>
      <w:lvlJc w:val="left"/>
      <w:pPr>
        <w:ind w:left="6480" w:hanging="277"/>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12EF15E8"/>
    <w:multiLevelType w:val="multilevel"/>
    <w:tmpl w:val="28ACC2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3C103B0"/>
    <w:multiLevelType w:val="multilevel"/>
    <w:tmpl w:val="3496B1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8D71E47"/>
    <w:multiLevelType w:val="multilevel"/>
    <w:tmpl w:val="8AA6743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1E74483"/>
    <w:multiLevelType w:val="multilevel"/>
    <w:tmpl w:val="2FB0CC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36173FE"/>
    <w:multiLevelType w:val="multilevel"/>
    <w:tmpl w:val="69125F4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7933041"/>
    <w:multiLevelType w:val="hybridMultilevel"/>
    <w:tmpl w:val="B6508FB6"/>
    <w:styleLink w:val="ImportedStyle30"/>
    <w:lvl w:ilvl="0" w:tplc="CCBA8D06">
      <w:start w:val="1"/>
      <w:numFmt w:val="bullet"/>
      <w:lvlText w:val="•"/>
      <w:lvlJc w:val="left"/>
      <w:pPr>
        <w:ind w:left="327" w:hanging="327"/>
      </w:pPr>
      <w:rPr>
        <w:rFonts w:hAnsi="Arial Unicode MS"/>
        <w:caps w:val="0"/>
        <w:smallCaps w:val="0"/>
        <w:strike w:val="0"/>
        <w:dstrike w:val="0"/>
        <w:color w:val="000000"/>
        <w:spacing w:val="0"/>
        <w:w w:val="100"/>
        <w:kern w:val="0"/>
        <w:position w:val="0"/>
        <w:highlight w:val="none"/>
        <w:vertAlign w:val="baseline"/>
      </w:rPr>
    </w:lvl>
    <w:lvl w:ilvl="1" w:tplc="8E6C4924">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37CCE17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71E84BAA">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AA1CF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5EC652A0">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59DA8F28">
      <w:start w:val="1"/>
      <w:numFmt w:val="bullet"/>
      <w:lvlText w:val="•"/>
      <w:lvlJc w:val="left"/>
      <w:pPr>
        <w:ind w:left="68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04C8C0">
      <w:start w:val="1"/>
      <w:numFmt w:val="bullet"/>
      <w:lvlText w:val="•"/>
      <w:lvlJc w:val="left"/>
      <w:pPr>
        <w:ind w:left="79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0A36F5E8">
      <w:start w:val="1"/>
      <w:numFmt w:val="bullet"/>
      <w:lvlText w:val="•"/>
      <w:lvlJc w:val="left"/>
      <w:pPr>
        <w:ind w:left="90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37A45EBB"/>
    <w:multiLevelType w:val="hybridMultilevel"/>
    <w:tmpl w:val="F9E68C7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9070C6C"/>
    <w:multiLevelType w:val="multilevel"/>
    <w:tmpl w:val="7AD472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B404A3B"/>
    <w:multiLevelType w:val="multilevel"/>
    <w:tmpl w:val="EEF6F7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40F8238C"/>
    <w:multiLevelType w:val="multilevel"/>
    <w:tmpl w:val="D5E8D5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48C73BF5"/>
    <w:multiLevelType w:val="multilevel"/>
    <w:tmpl w:val="B29CB8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B15397C"/>
    <w:multiLevelType w:val="multilevel"/>
    <w:tmpl w:val="072206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FED77D8"/>
    <w:multiLevelType w:val="multilevel"/>
    <w:tmpl w:val="B86C9B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52DF7C2F"/>
    <w:multiLevelType w:val="multilevel"/>
    <w:tmpl w:val="CA7C6C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B215B05"/>
    <w:multiLevelType w:val="multilevel"/>
    <w:tmpl w:val="318AD9E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5CED3DF3"/>
    <w:multiLevelType w:val="multilevel"/>
    <w:tmpl w:val="8A7671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6D54773B"/>
    <w:multiLevelType w:val="hybridMultilevel"/>
    <w:tmpl w:val="B9A0B2A8"/>
    <w:lvl w:ilvl="0" w:tplc="4BC659BA">
      <w:start w:val="1"/>
      <w:numFmt w:val="decimal"/>
      <w:pStyle w:val="TextNumber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C04F6F"/>
    <w:multiLevelType w:val="hybridMultilevel"/>
    <w:tmpl w:val="242A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BE2665"/>
    <w:multiLevelType w:val="hybridMultilevel"/>
    <w:tmpl w:val="73040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3C0666"/>
    <w:multiLevelType w:val="multilevel"/>
    <w:tmpl w:val="652E0BC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5"/>
  </w:num>
  <w:num w:numId="2">
    <w:abstractNumId w:val="6"/>
  </w:num>
  <w:num w:numId="3">
    <w:abstractNumId w:val="16"/>
  </w:num>
  <w:num w:numId="4">
    <w:abstractNumId w:val="13"/>
  </w:num>
  <w:num w:numId="5">
    <w:abstractNumId w:val="9"/>
  </w:num>
  <w:num w:numId="6">
    <w:abstractNumId w:val="12"/>
  </w:num>
  <w:num w:numId="7">
    <w:abstractNumId w:val="2"/>
  </w:num>
  <w:num w:numId="8">
    <w:abstractNumId w:val="14"/>
  </w:num>
  <w:num w:numId="9">
    <w:abstractNumId w:val="10"/>
  </w:num>
  <w:num w:numId="10">
    <w:abstractNumId w:val="0"/>
  </w:num>
  <w:num w:numId="11">
    <w:abstractNumId w:val="11"/>
  </w:num>
  <w:num w:numId="12">
    <w:abstractNumId w:val="17"/>
  </w:num>
  <w:num w:numId="13">
    <w:abstractNumId w:val="21"/>
  </w:num>
  <w:num w:numId="14">
    <w:abstractNumId w:val="4"/>
  </w:num>
  <w:num w:numId="15">
    <w:abstractNumId w:val="3"/>
  </w:num>
  <w:num w:numId="16">
    <w:abstractNumId w:val="5"/>
  </w:num>
  <w:num w:numId="17">
    <w:abstractNumId w:val="19"/>
  </w:num>
  <w:num w:numId="18">
    <w:abstractNumId w:val="8"/>
  </w:num>
  <w:num w:numId="19">
    <w:abstractNumId w:val="20"/>
  </w:num>
  <w:num w:numId="20">
    <w:abstractNumId w:val="18"/>
  </w:num>
  <w:num w:numId="21">
    <w:abstractNumId w:val="1"/>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30"/>
    <w:rsid w:val="00024CE9"/>
    <w:rsid w:val="0008417F"/>
    <w:rsid w:val="000B3ED1"/>
    <w:rsid w:val="000D1830"/>
    <w:rsid w:val="00102146"/>
    <w:rsid w:val="001209F9"/>
    <w:rsid w:val="001F1C16"/>
    <w:rsid w:val="00263185"/>
    <w:rsid w:val="00274D17"/>
    <w:rsid w:val="002915C4"/>
    <w:rsid w:val="002A624F"/>
    <w:rsid w:val="002B2BDB"/>
    <w:rsid w:val="003515A2"/>
    <w:rsid w:val="003834F1"/>
    <w:rsid w:val="00384985"/>
    <w:rsid w:val="0041425C"/>
    <w:rsid w:val="005607C3"/>
    <w:rsid w:val="0070593F"/>
    <w:rsid w:val="00720261"/>
    <w:rsid w:val="007215D7"/>
    <w:rsid w:val="00756B2B"/>
    <w:rsid w:val="00763B3E"/>
    <w:rsid w:val="00860130"/>
    <w:rsid w:val="009E4F9B"/>
    <w:rsid w:val="00B637B9"/>
    <w:rsid w:val="00B87B12"/>
    <w:rsid w:val="00B914B7"/>
    <w:rsid w:val="00C25C85"/>
    <w:rsid w:val="00CE73CE"/>
    <w:rsid w:val="00D45F6F"/>
    <w:rsid w:val="00E63D5D"/>
    <w:rsid w:val="00ED14E0"/>
    <w:rsid w:val="00EE563F"/>
    <w:rsid w:val="00FC6730"/>
    <w:rsid w:val="00FD4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C987AA"/>
  <w15:docId w15:val="{5AD4969B-AA6B-D140-A790-133F69AD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6"/>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aliases w:val="Main Title"/>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000000"/>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CommentText">
    <w:name w:val="annotation text"/>
    <w:basedOn w:val="Normal"/>
    <w:uiPriority w:val="99"/>
    <w:pPr>
      <w:spacing w:line="240" w:lineRule="auto"/>
    </w:pPr>
    <w:rPr>
      <w:sz w:val="20"/>
      <w:szCs w:val="20"/>
    </w:rPr>
  </w:style>
  <w:style w:type="paragraph" w:styleId="BalloonText">
    <w:name w:val="Balloon Text"/>
    <w:basedOn w:val="Normal"/>
    <w:uiPriority w:val="99"/>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uiPriority w:val="99"/>
    <w:pPr>
      <w:tabs>
        <w:tab w:val="center" w:pos="4680"/>
        <w:tab w:val="right" w:pos="9360"/>
      </w:tabs>
      <w:spacing w:line="240" w:lineRule="auto"/>
    </w:pPr>
  </w:style>
  <w:style w:type="paragraph" w:styleId="ListParagraph">
    <w:name w:val="List Paragraph"/>
    <w:aliases w:val="Text bullets 1,Bullet 1,List Paragraph1,List Paragraph Char Char,b1,Colorful List - Accent 11,list1,Number_1,Normal Sentence,ListPar1,new,SGLText List Paragraph,List Paragraph2,List Paragraph11,List Paragraph21,lp1"/>
    <w:basedOn w:val="Normal"/>
    <w:link w:val="ListParagraphChar"/>
    <w:uiPriority w:val="34"/>
    <w:qFormat/>
    <w:pPr>
      <w:ind w:left="720"/>
    </w:pPr>
  </w:style>
  <w:style w:type="paragraph" w:styleId="CommentSubject">
    <w:name w:val="annotation subject"/>
    <w:basedOn w:val="CommentText"/>
    <w:next w:val="CommentText"/>
    <w:uiPriority w:val="99"/>
    <w:rPr>
      <w:b/>
      <w:bCs/>
    </w:rPr>
  </w:style>
  <w:style w:type="paragraph" w:styleId="Revision">
    <w:name w:val="Revision"/>
    <w:uiPriority w:val="99"/>
    <w:pPr>
      <w:suppressAutoHyphens/>
      <w:spacing w:line="240" w:lineRule="auto"/>
    </w:pPr>
  </w:style>
  <w:style w:type="paragraph" w:styleId="Header">
    <w:name w:val="header"/>
    <w:basedOn w:val="Normal"/>
    <w:uiPriority w:val="99"/>
    <w:pPr>
      <w:tabs>
        <w:tab w:val="center" w:pos="4680"/>
        <w:tab w:val="right" w:pos="9360"/>
      </w:tabs>
      <w:spacing w:line="240" w:lineRule="auto"/>
    </w:pPr>
  </w:style>
  <w:style w:type="paragraph" w:styleId="TOCHeading">
    <w:name w:val="TOC Heading"/>
    <w:basedOn w:val="Heading1"/>
    <w:next w:val="Normal"/>
    <w:link w:val="TOCHeadingChar"/>
    <w:uiPriority w:val="39"/>
    <w:qFormat/>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uiPriority w:val="39"/>
    <w:pPr>
      <w:ind w:left="440"/>
    </w:pPr>
    <w:rPr>
      <w:rFonts w:ascii="Cambria" w:eastAsia="Cambria" w:hAnsi="Cambria" w:cs="Cambria"/>
      <w:sz w:val="20"/>
      <w:szCs w:val="20"/>
    </w:rPr>
  </w:style>
  <w:style w:type="paragraph" w:styleId="TOC4">
    <w:name w:val="toc 4"/>
    <w:basedOn w:val="Normal"/>
    <w:next w:val="Normal"/>
    <w:autoRedefine/>
    <w:uiPriority w:val="39"/>
    <w:pPr>
      <w:ind w:left="660"/>
    </w:pPr>
    <w:rPr>
      <w:rFonts w:ascii="Cambria" w:eastAsia="Cambria" w:hAnsi="Cambria" w:cs="Cambria"/>
      <w:sz w:val="20"/>
      <w:szCs w:val="20"/>
    </w:rPr>
  </w:style>
  <w:style w:type="paragraph" w:styleId="TOC5">
    <w:name w:val="toc 5"/>
    <w:basedOn w:val="Normal"/>
    <w:next w:val="Normal"/>
    <w:autoRedefine/>
    <w:uiPriority w:val="39"/>
    <w:pPr>
      <w:ind w:left="880"/>
    </w:pPr>
    <w:rPr>
      <w:rFonts w:ascii="Cambria" w:eastAsia="Cambria" w:hAnsi="Cambria" w:cs="Cambria"/>
      <w:sz w:val="20"/>
      <w:szCs w:val="20"/>
    </w:rPr>
  </w:style>
  <w:style w:type="paragraph" w:styleId="TOC6">
    <w:name w:val="toc 6"/>
    <w:basedOn w:val="Normal"/>
    <w:next w:val="Normal"/>
    <w:autoRedefine/>
    <w:uiPriority w:val="39"/>
    <w:pPr>
      <w:ind w:left="1100"/>
    </w:pPr>
    <w:rPr>
      <w:rFonts w:ascii="Cambria" w:eastAsia="Cambria" w:hAnsi="Cambria" w:cs="Cambria"/>
      <w:sz w:val="20"/>
      <w:szCs w:val="20"/>
    </w:rPr>
  </w:style>
  <w:style w:type="paragraph" w:styleId="TOC7">
    <w:name w:val="toc 7"/>
    <w:basedOn w:val="Normal"/>
    <w:next w:val="Normal"/>
    <w:autoRedefine/>
    <w:uiPriority w:val="39"/>
    <w:pPr>
      <w:ind w:left="1320"/>
    </w:pPr>
    <w:rPr>
      <w:rFonts w:ascii="Cambria" w:eastAsia="Cambria" w:hAnsi="Cambria" w:cs="Cambria"/>
      <w:sz w:val="20"/>
      <w:szCs w:val="20"/>
    </w:rPr>
  </w:style>
  <w:style w:type="paragraph" w:styleId="TOC8">
    <w:name w:val="toc 8"/>
    <w:basedOn w:val="Normal"/>
    <w:next w:val="Normal"/>
    <w:autoRedefine/>
    <w:uiPriority w:val="39"/>
    <w:pPr>
      <w:ind w:left="1540"/>
    </w:pPr>
    <w:rPr>
      <w:rFonts w:ascii="Cambria" w:eastAsia="Cambria" w:hAnsi="Cambria" w:cs="Cambria"/>
      <w:sz w:val="20"/>
      <w:szCs w:val="20"/>
    </w:rPr>
  </w:style>
  <w:style w:type="paragraph" w:styleId="TOC9">
    <w:name w:val="toc 9"/>
    <w:basedOn w:val="Normal"/>
    <w:next w:val="Normal"/>
    <w:autoRedefine/>
    <w:uiPriority w:val="39"/>
    <w:pPr>
      <w:ind w:left="1760"/>
    </w:pPr>
    <w:rPr>
      <w:rFonts w:ascii="Cambria" w:eastAsia="Cambria" w:hAnsi="Cambria" w:cs="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uiPriority w:val="99"/>
    <w:rPr>
      <w:sz w:val="20"/>
      <w:szCs w:val="20"/>
    </w:rPr>
  </w:style>
  <w:style w:type="character" w:styleId="CommentReference">
    <w:name w:val="annotation reference"/>
    <w:basedOn w:val="DefaultParagraphFont"/>
    <w:uiPriority w:val="99"/>
    <w:rPr>
      <w:sz w:val="16"/>
      <w:szCs w:val="16"/>
    </w:rPr>
  </w:style>
  <w:style w:type="character" w:customStyle="1" w:styleId="BalloonTextChar">
    <w:name w:val="Balloon Text Char"/>
    <w:basedOn w:val="DefaultParagraphFont"/>
    <w:uiPriority w:val="99"/>
    <w:rPr>
      <w:rFonts w:ascii="Segoe UI" w:eastAsia="Segoe UI" w:hAnsi="Segoe UI" w:cs="Segoe UI"/>
      <w:sz w:val="18"/>
      <w:szCs w:val="18"/>
    </w:rPr>
  </w:style>
  <w:style w:type="character" w:customStyle="1" w:styleId="FooterChar">
    <w:name w:val="Footer Char"/>
    <w:basedOn w:val="DefaultParagraphFont"/>
    <w:uiPriority w:val="99"/>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uiPriority w:val="99"/>
    <w:rPr>
      <w:b/>
      <w:bCs/>
      <w:sz w:val="20"/>
      <w:szCs w:val="20"/>
    </w:rPr>
  </w:style>
  <w:style w:type="character" w:customStyle="1" w:styleId="HeaderChar">
    <w:name w:val="Header Char"/>
    <w:basedOn w:val="DefaultParagraphFont"/>
    <w:uiPriority w:val="99"/>
  </w:style>
  <w:style w:type="character" w:customStyle="1" w:styleId="Internetlink">
    <w:name w:val="Internet link"/>
    <w:rPr>
      <w:color w:val="000080"/>
      <w:u w:val="single"/>
    </w:rPr>
  </w:style>
  <w:style w:type="character" w:customStyle="1" w:styleId="UnresolvedMention">
    <w:name w:val="Unresolved Mention"/>
    <w:basedOn w:val="DefaultParagraphFont"/>
    <w:uiPriority w:val="99"/>
    <w:unhideWhenUsed/>
    <w:rsid w:val="00860130"/>
    <w:rPr>
      <w:color w:val="605E5C"/>
      <w:shd w:val="clear" w:color="auto" w:fill="E1DFDD"/>
    </w:rPr>
  </w:style>
  <w:style w:type="table" w:styleId="TableGrid">
    <w:name w:val="Table Grid"/>
    <w:basedOn w:val="TableNormal"/>
    <w:uiPriority w:val="59"/>
    <w:rsid w:val="00D45F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470">
    <w:name w:val="ListLabel 470"/>
    <w:qFormat/>
    <w:rsid w:val="00D45F6F"/>
    <w:rPr>
      <w:rFonts w:ascii="Helvetica Neue" w:eastAsia="Helvetica Neue" w:hAnsi="Helvetica Neue" w:cs="Helvetica Neue"/>
      <w:color w:val="1155CC"/>
      <w:sz w:val="24"/>
      <w:szCs w:val="24"/>
      <w:u w:val="single"/>
    </w:rPr>
  </w:style>
  <w:style w:type="paragraph" w:styleId="FootnoteText">
    <w:name w:val="footnote text"/>
    <w:basedOn w:val="Normal"/>
    <w:link w:val="FootnoteTextChar"/>
    <w:uiPriority w:val="99"/>
    <w:unhideWhenUsed/>
    <w:rsid w:val="00E63D5D"/>
    <w:pPr>
      <w:suppressAutoHyphens w:val="0"/>
      <w:autoSpaceDN/>
      <w:spacing w:before="120" w:after="120" w:line="240" w:lineRule="auto"/>
      <w:textAlignment w:val="auto"/>
    </w:pPr>
    <w:rPr>
      <w:rFonts w:ascii="Calibri" w:eastAsia="MS Mincho" w:hAnsi="Calibri"/>
      <w:szCs w:val="24"/>
      <w:lang w:val="en-US" w:eastAsia="en-US"/>
    </w:rPr>
  </w:style>
  <w:style w:type="character" w:customStyle="1" w:styleId="FootnoteTextChar">
    <w:name w:val="Footnote Text Char"/>
    <w:basedOn w:val="DefaultParagraphFont"/>
    <w:link w:val="FootnoteText"/>
    <w:uiPriority w:val="99"/>
    <w:rsid w:val="00E63D5D"/>
    <w:rPr>
      <w:rFonts w:ascii="Calibri" w:eastAsia="MS Mincho" w:hAnsi="Calibri"/>
      <w:szCs w:val="24"/>
      <w:lang w:val="en-US" w:eastAsia="en-US"/>
    </w:rPr>
  </w:style>
  <w:style w:type="character" w:styleId="FootnoteReference">
    <w:name w:val="footnote reference"/>
    <w:uiPriority w:val="99"/>
    <w:unhideWhenUsed/>
    <w:rsid w:val="00E63D5D"/>
    <w:rPr>
      <w:vertAlign w:val="superscript"/>
    </w:rPr>
  </w:style>
  <w:style w:type="character" w:customStyle="1" w:styleId="Heading1Char">
    <w:name w:val="Heading 1 Char"/>
    <w:aliases w:val="Main Title Char"/>
    <w:link w:val="Heading1"/>
    <w:uiPriority w:val="9"/>
    <w:rsid w:val="00E63D5D"/>
    <w:rPr>
      <w:sz w:val="40"/>
      <w:szCs w:val="40"/>
    </w:rPr>
  </w:style>
  <w:style w:type="paragraph" w:customStyle="1" w:styleId="RecipientInfo-Header">
    <w:name w:val="Recipient Info - Header"/>
    <w:basedOn w:val="Normal"/>
    <w:link w:val="RecipientInfo-HeaderChar"/>
    <w:autoRedefine/>
    <w:qFormat/>
    <w:rsid w:val="00E63D5D"/>
    <w:pPr>
      <w:tabs>
        <w:tab w:val="left" w:pos="1440"/>
      </w:tabs>
      <w:suppressAutoHyphens w:val="0"/>
      <w:autoSpaceDN/>
      <w:spacing w:before="120" w:after="120" w:line="360" w:lineRule="auto"/>
      <w:ind w:right="49"/>
      <w:textAlignment w:val="auto"/>
    </w:pPr>
    <w:rPr>
      <w:rFonts w:ascii="Helvetica" w:eastAsia="MS Mincho" w:hAnsi="Helvetica" w:cs="Times New Roman"/>
      <w:bCs/>
      <w:i/>
      <w:sz w:val="20"/>
      <w:szCs w:val="20"/>
      <w:lang w:eastAsia="x-none"/>
    </w:rPr>
  </w:style>
  <w:style w:type="character" w:customStyle="1" w:styleId="RecipientInfo-HeaderChar">
    <w:name w:val="Recipient Info - Header Char"/>
    <w:link w:val="RecipientInfo-Header"/>
    <w:rsid w:val="00E63D5D"/>
    <w:rPr>
      <w:rFonts w:ascii="Helvetica" w:eastAsia="MS Mincho" w:hAnsi="Helvetica" w:cs="Times New Roman"/>
      <w:bCs/>
      <w:i/>
      <w:sz w:val="20"/>
      <w:szCs w:val="20"/>
      <w:lang w:eastAsia="x-none"/>
    </w:rPr>
  </w:style>
  <w:style w:type="character" w:customStyle="1" w:styleId="SubtitleChar">
    <w:name w:val="Subtitle Char"/>
    <w:link w:val="Subtitle"/>
    <w:uiPriority w:val="11"/>
    <w:rsid w:val="00E63D5D"/>
    <w:rPr>
      <w:color w:val="666666"/>
      <w:sz w:val="30"/>
      <w:szCs w:val="30"/>
    </w:rPr>
  </w:style>
  <w:style w:type="paragraph" w:styleId="NoSpacing">
    <w:name w:val="No Spacing"/>
    <w:link w:val="NoSpacingChar"/>
    <w:uiPriority w:val="1"/>
    <w:qFormat/>
    <w:rsid w:val="00E63D5D"/>
    <w:pPr>
      <w:autoSpaceDN/>
      <w:spacing w:line="240" w:lineRule="auto"/>
      <w:textAlignment w:val="auto"/>
    </w:pPr>
    <w:rPr>
      <w:rFonts w:ascii="Calibri" w:eastAsia="MS Mincho" w:hAnsi="Calibri"/>
      <w:sz w:val="24"/>
      <w:szCs w:val="24"/>
      <w:lang w:val="en-US" w:eastAsia="en-US"/>
    </w:rPr>
  </w:style>
  <w:style w:type="character" w:customStyle="1" w:styleId="TitleChar">
    <w:name w:val="Title Char"/>
    <w:link w:val="Title"/>
    <w:uiPriority w:val="10"/>
    <w:rsid w:val="00E63D5D"/>
    <w:rPr>
      <w:sz w:val="52"/>
      <w:szCs w:val="52"/>
    </w:rPr>
  </w:style>
  <w:style w:type="character" w:styleId="SubtleEmphasis">
    <w:name w:val="Subtle Emphasis"/>
    <w:uiPriority w:val="19"/>
    <w:qFormat/>
    <w:rsid w:val="00E63D5D"/>
    <w:rPr>
      <w:i/>
      <w:iCs/>
      <w:color w:val="686868"/>
    </w:rPr>
  </w:style>
  <w:style w:type="paragraph" w:styleId="Quote">
    <w:name w:val="Quote"/>
    <w:basedOn w:val="Normal"/>
    <w:next w:val="Normal"/>
    <w:link w:val="QuoteChar"/>
    <w:uiPriority w:val="29"/>
    <w:qFormat/>
    <w:rsid w:val="00E63D5D"/>
    <w:pPr>
      <w:suppressAutoHyphens w:val="0"/>
      <w:autoSpaceDN/>
      <w:spacing w:before="200" w:after="160" w:line="240" w:lineRule="auto"/>
      <w:ind w:left="1440" w:right="1296"/>
      <w:jc w:val="center"/>
      <w:textAlignment w:val="auto"/>
    </w:pPr>
    <w:rPr>
      <w:rFonts w:ascii="Calibri" w:eastAsia="Helvetica" w:hAnsi="Calibri" w:cs="Times New Roman"/>
      <w:i/>
      <w:iCs/>
      <w:color w:val="363636"/>
      <w:sz w:val="32"/>
      <w:lang w:val="en-US" w:eastAsia="en-US"/>
    </w:rPr>
  </w:style>
  <w:style w:type="character" w:customStyle="1" w:styleId="QuoteChar">
    <w:name w:val="Quote Char"/>
    <w:basedOn w:val="DefaultParagraphFont"/>
    <w:link w:val="Quote"/>
    <w:uiPriority w:val="29"/>
    <w:rsid w:val="00E63D5D"/>
    <w:rPr>
      <w:rFonts w:ascii="Calibri" w:eastAsia="Helvetica" w:hAnsi="Calibri" w:cs="Times New Roman"/>
      <w:i/>
      <w:iCs/>
      <w:color w:val="363636"/>
      <w:sz w:val="32"/>
      <w:lang w:val="en-US" w:eastAsia="en-US"/>
    </w:rPr>
  </w:style>
  <w:style w:type="character" w:customStyle="1" w:styleId="Heading2Char">
    <w:name w:val="Heading 2 Char"/>
    <w:link w:val="Heading2"/>
    <w:uiPriority w:val="9"/>
    <w:rsid w:val="00E63D5D"/>
    <w:rPr>
      <w:sz w:val="32"/>
      <w:szCs w:val="32"/>
    </w:rPr>
  </w:style>
  <w:style w:type="character" w:customStyle="1" w:styleId="Heading4Char">
    <w:name w:val="Heading 4 Char"/>
    <w:link w:val="Heading4"/>
    <w:uiPriority w:val="9"/>
    <w:rsid w:val="00E63D5D"/>
    <w:rPr>
      <w:color w:val="000000"/>
      <w:sz w:val="24"/>
      <w:szCs w:val="24"/>
    </w:rPr>
  </w:style>
  <w:style w:type="character" w:customStyle="1" w:styleId="Heading3Char">
    <w:name w:val="Heading 3 Char"/>
    <w:link w:val="Heading3"/>
    <w:uiPriority w:val="9"/>
    <w:rsid w:val="00E63D5D"/>
    <w:rPr>
      <w:color w:val="000000"/>
      <w:sz w:val="28"/>
      <w:szCs w:val="28"/>
    </w:rPr>
  </w:style>
  <w:style w:type="paragraph" w:customStyle="1" w:styleId="Heading1-Grey">
    <w:name w:val="Heading 1 - Grey"/>
    <w:basedOn w:val="Heading1"/>
    <w:link w:val="Heading1-GreyChar"/>
    <w:qFormat/>
    <w:rsid w:val="00E63D5D"/>
    <w:pPr>
      <w:keepNext w:val="0"/>
      <w:keepLines w:val="0"/>
      <w:suppressAutoHyphens w:val="0"/>
      <w:autoSpaceDN/>
      <w:spacing w:before="0" w:after="0" w:line="240" w:lineRule="auto"/>
      <w:textAlignment w:val="auto"/>
    </w:pPr>
    <w:rPr>
      <w:rFonts w:ascii="Calibri" w:eastAsia="Times New Roman" w:hAnsi="Calibri"/>
      <w:b/>
      <w:color w:val="646464"/>
      <w:spacing w:val="-2"/>
      <w:sz w:val="48"/>
      <w:szCs w:val="56"/>
      <w:lang w:eastAsia="en-US"/>
    </w:rPr>
  </w:style>
  <w:style w:type="character" w:customStyle="1" w:styleId="Heading1-GreyChar">
    <w:name w:val="Heading 1 - Grey Char"/>
    <w:link w:val="Heading1-Grey"/>
    <w:rsid w:val="00E63D5D"/>
    <w:rPr>
      <w:rFonts w:ascii="Calibri" w:eastAsia="Times New Roman" w:hAnsi="Calibri"/>
      <w:b/>
      <w:color w:val="646464"/>
      <w:spacing w:val="-2"/>
      <w:sz w:val="48"/>
      <w:szCs w:val="56"/>
      <w:lang w:eastAsia="en-US"/>
    </w:rPr>
  </w:style>
  <w:style w:type="character" w:customStyle="1" w:styleId="NoSpacingChar">
    <w:name w:val="No Spacing Char"/>
    <w:link w:val="NoSpacing"/>
    <w:uiPriority w:val="1"/>
    <w:rsid w:val="00E63D5D"/>
    <w:rPr>
      <w:rFonts w:ascii="Calibri" w:eastAsia="MS Mincho" w:hAnsi="Calibri"/>
      <w:sz w:val="24"/>
      <w:szCs w:val="24"/>
      <w:lang w:val="en-US" w:eastAsia="en-US"/>
    </w:rPr>
  </w:style>
  <w:style w:type="paragraph" w:customStyle="1" w:styleId="TOCHeadingStyle">
    <w:name w:val="TOC_Heading_Style"/>
    <w:basedOn w:val="Normal"/>
    <w:link w:val="TOCHeadingStyleChar"/>
    <w:qFormat/>
    <w:rsid w:val="00E63D5D"/>
    <w:pPr>
      <w:suppressAutoHyphens w:val="0"/>
      <w:autoSpaceDN/>
      <w:spacing w:before="120" w:after="120" w:line="240" w:lineRule="auto"/>
      <w:textAlignment w:val="auto"/>
    </w:pPr>
    <w:rPr>
      <w:rFonts w:ascii="Calibri" w:eastAsia="MS Mincho" w:hAnsi="Calibri"/>
      <w:szCs w:val="24"/>
      <w:lang w:val="en-US" w:eastAsia="en-US"/>
    </w:rPr>
  </w:style>
  <w:style w:type="character" w:customStyle="1" w:styleId="TOCHeadingChar">
    <w:name w:val="TOC Heading Char"/>
    <w:link w:val="TOCHeading"/>
    <w:uiPriority w:val="39"/>
    <w:rsid w:val="00E63D5D"/>
    <w:rPr>
      <w:rFonts w:ascii="Calibri" w:eastAsia="Times New Roman" w:hAnsi="Calibri" w:cs="Times New Roman"/>
      <w:b/>
      <w:bCs/>
      <w:color w:val="365F91"/>
      <w:sz w:val="28"/>
      <w:szCs w:val="28"/>
      <w:lang w:val="en-US" w:eastAsia="en-US"/>
    </w:rPr>
  </w:style>
  <w:style w:type="character" w:customStyle="1" w:styleId="TOCHeadingStyleChar">
    <w:name w:val="TOC_Heading_Style Char"/>
    <w:link w:val="TOCHeadingStyle"/>
    <w:rsid w:val="00E63D5D"/>
    <w:rPr>
      <w:rFonts w:ascii="Calibri" w:eastAsia="MS Mincho" w:hAnsi="Calibri"/>
      <w:szCs w:val="24"/>
      <w:lang w:val="en-US" w:eastAsia="en-US"/>
    </w:rPr>
  </w:style>
  <w:style w:type="character" w:styleId="PlaceholderText">
    <w:name w:val="Placeholder Text"/>
    <w:uiPriority w:val="99"/>
    <w:semiHidden/>
    <w:rsid w:val="00E63D5D"/>
    <w:rPr>
      <w:color w:val="808080"/>
    </w:rPr>
  </w:style>
  <w:style w:type="paragraph" w:customStyle="1" w:styleId="CaseStudyQuoteStyle">
    <w:name w:val="Case Study Quote Style"/>
    <w:basedOn w:val="Normal"/>
    <w:link w:val="CaseStudyQuoteStyleChar"/>
    <w:qFormat/>
    <w:rsid w:val="00E63D5D"/>
    <w:pPr>
      <w:suppressAutoHyphens w:val="0"/>
      <w:autoSpaceDN/>
      <w:spacing w:before="120" w:after="120" w:line="240" w:lineRule="auto"/>
      <w:ind w:left="3600"/>
      <w:textAlignment w:val="auto"/>
    </w:pPr>
    <w:rPr>
      <w:rFonts w:ascii="Calibri" w:eastAsia="MS Mincho" w:hAnsi="Calibri"/>
      <w:i/>
      <w:color w:val="686868"/>
      <w:sz w:val="32"/>
      <w:szCs w:val="32"/>
      <w:lang w:val="en-US" w:eastAsia="en-US"/>
    </w:rPr>
  </w:style>
  <w:style w:type="character" w:customStyle="1" w:styleId="CaseStudyQuoteStyleChar">
    <w:name w:val="Case Study Quote Style Char"/>
    <w:link w:val="CaseStudyQuoteStyle"/>
    <w:rsid w:val="00E63D5D"/>
    <w:rPr>
      <w:rFonts w:ascii="Calibri" w:eastAsia="MS Mincho" w:hAnsi="Calibri"/>
      <w:i/>
      <w:color w:val="686868"/>
      <w:sz w:val="32"/>
      <w:szCs w:val="32"/>
      <w:lang w:val="en-US" w:eastAsia="en-US"/>
    </w:rPr>
  </w:style>
  <w:style w:type="table" w:customStyle="1" w:styleId="TableGrid1">
    <w:name w:val="Table Grid1"/>
    <w:basedOn w:val="TableNormal"/>
    <w:next w:val="TableGrid"/>
    <w:uiPriority w:val="59"/>
    <w:rsid w:val="00E63D5D"/>
    <w:pPr>
      <w:autoSpaceDN/>
      <w:spacing w:line="240" w:lineRule="auto"/>
      <w:textAlignment w:val="auto"/>
    </w:pPr>
    <w:rPr>
      <w:rFonts w:ascii="Calibri" w:eastAsia="MS Mincho"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uiPriority w:val="99"/>
    <w:rsid w:val="00E63D5D"/>
    <w:pPr>
      <w:autoSpaceDN/>
      <w:spacing w:line="240" w:lineRule="auto"/>
      <w:textAlignment w:val="auto"/>
    </w:pPr>
    <w:rPr>
      <w:rFonts w:ascii="Cambria" w:eastAsia="Calibri" w:hAnsi="Cambria" w:cs="Cambria"/>
      <w:color w:val="000000"/>
      <w:sz w:val="24"/>
      <w:szCs w:val="24"/>
      <w:lang w:val="en-US" w:eastAsia="ja-JP"/>
    </w:rPr>
  </w:style>
  <w:style w:type="paragraph" w:customStyle="1" w:styleId="MarginText">
    <w:name w:val="Margin Text"/>
    <w:basedOn w:val="BodyText"/>
    <w:link w:val="MarginTextChar"/>
    <w:uiPriority w:val="99"/>
    <w:rsid w:val="00E63D5D"/>
    <w:pPr>
      <w:overflowPunct w:val="0"/>
      <w:autoSpaceDE w:val="0"/>
      <w:autoSpaceDN w:val="0"/>
      <w:adjustRightInd w:val="0"/>
      <w:jc w:val="both"/>
      <w:textAlignment w:val="baseline"/>
    </w:pPr>
    <w:rPr>
      <w:rFonts w:ascii="Arial" w:eastAsia="Times New Roman" w:hAnsi="Arial" w:cs="Times New Roman"/>
      <w:sz w:val="20"/>
      <w:szCs w:val="20"/>
      <w:lang w:val="en-GB" w:eastAsia="x-none"/>
    </w:rPr>
  </w:style>
  <w:style w:type="character" w:customStyle="1" w:styleId="MarginTextChar">
    <w:name w:val="Margin Text Char"/>
    <w:link w:val="MarginText"/>
    <w:uiPriority w:val="99"/>
    <w:locked/>
    <w:rsid w:val="00E63D5D"/>
    <w:rPr>
      <w:rFonts w:eastAsia="Times New Roman" w:cs="Times New Roman"/>
      <w:sz w:val="20"/>
      <w:szCs w:val="20"/>
      <w:lang w:eastAsia="x-none"/>
    </w:rPr>
  </w:style>
  <w:style w:type="paragraph" w:customStyle="1" w:styleId="Normal1">
    <w:name w:val="Normal1"/>
    <w:rsid w:val="00E63D5D"/>
    <w:pPr>
      <w:autoSpaceDN/>
      <w:spacing w:line="240" w:lineRule="auto"/>
      <w:textAlignment w:val="auto"/>
    </w:pPr>
    <w:rPr>
      <w:rFonts w:ascii="Cambria" w:eastAsia="Cambria" w:hAnsi="Cambria" w:cs="Cambria"/>
      <w:color w:val="000000"/>
      <w:sz w:val="24"/>
      <w:szCs w:val="24"/>
      <w:lang w:val="en-US" w:eastAsia="ja-JP"/>
    </w:rPr>
  </w:style>
  <w:style w:type="paragraph" w:styleId="BodyText">
    <w:name w:val="Body Text"/>
    <w:basedOn w:val="Normal"/>
    <w:link w:val="BodyTextChar"/>
    <w:uiPriority w:val="99"/>
    <w:semiHidden/>
    <w:unhideWhenUsed/>
    <w:rsid w:val="00E63D5D"/>
    <w:pPr>
      <w:suppressAutoHyphens w:val="0"/>
      <w:autoSpaceDN/>
      <w:spacing w:before="120" w:after="120" w:line="240" w:lineRule="auto"/>
      <w:textAlignment w:val="auto"/>
    </w:pPr>
    <w:rPr>
      <w:rFonts w:ascii="Calibri" w:eastAsia="MS Mincho" w:hAnsi="Calibri"/>
      <w:szCs w:val="24"/>
      <w:lang w:val="en-US" w:eastAsia="en-US"/>
    </w:rPr>
  </w:style>
  <w:style w:type="character" w:customStyle="1" w:styleId="BodyTextChar">
    <w:name w:val="Body Text Char"/>
    <w:basedOn w:val="DefaultParagraphFont"/>
    <w:link w:val="BodyText"/>
    <w:uiPriority w:val="99"/>
    <w:semiHidden/>
    <w:rsid w:val="00E63D5D"/>
    <w:rPr>
      <w:rFonts w:ascii="Calibri" w:eastAsia="MS Mincho" w:hAnsi="Calibri"/>
      <w:szCs w:val="24"/>
      <w:lang w:val="en-US" w:eastAsia="en-US"/>
    </w:rPr>
  </w:style>
  <w:style w:type="character" w:customStyle="1" w:styleId="ListParagraphChar">
    <w:name w:val="List Paragraph Char"/>
    <w:aliases w:val="Text bullets 1 Char,Bullet 1 Char,List Paragraph1 Char,List Paragraph Char Char Char,b1 Char,Colorful List - Accent 11 Char,list1 Char,Number_1 Char,Normal Sentence Char,ListPar1 Char,new Char,SGLText List Paragraph Char,lp1 Char"/>
    <w:link w:val="ListParagraph"/>
    <w:uiPriority w:val="34"/>
    <w:qFormat/>
    <w:rsid w:val="00E63D5D"/>
  </w:style>
  <w:style w:type="table" w:styleId="LightList-Accent1">
    <w:name w:val="Light List Accent 1"/>
    <w:aliases w:val="Valtech Table Template,Light List - Accent 11"/>
    <w:basedOn w:val="TableGrid"/>
    <w:uiPriority w:val="66"/>
    <w:rsid w:val="00E63D5D"/>
    <w:pPr>
      <w:autoSpaceDN/>
      <w:textAlignment w:val="auto"/>
    </w:pPr>
    <w:rPr>
      <w:rFonts w:ascii="Calibri" w:eastAsia="MS Mincho" w:hAnsi="Calibri" w:cs="Times New Roman"/>
      <w:sz w:val="16"/>
      <w:szCs w:val="20"/>
    </w:rPr>
    <w:tblPr>
      <w:tblStyleRowBandSize w:val="1"/>
      <w:tblStyleColBandSize w:val="1"/>
      <w:tblBorders>
        <w:top w:val="single" w:sz="4" w:space="0" w:color="868686"/>
        <w:left w:val="single" w:sz="4" w:space="0" w:color="868686"/>
        <w:bottom w:val="single" w:sz="4" w:space="0" w:color="868686"/>
        <w:right w:val="single" w:sz="4" w:space="0" w:color="868686"/>
        <w:insideH w:val="single" w:sz="4" w:space="0" w:color="868686"/>
        <w:insideV w:val="single" w:sz="4" w:space="0" w:color="868686"/>
      </w:tblBorders>
    </w:tblPr>
    <w:tcPr>
      <w:shd w:val="clear" w:color="auto" w:fill="FFFFFF"/>
    </w:tcPr>
    <w:tblStylePr w:type="firstRow">
      <w:pPr>
        <w:spacing w:before="0" w:after="0" w:line="240" w:lineRule="auto"/>
        <w:jc w:val="center"/>
      </w:pPr>
      <w:rPr>
        <w:rFonts w:ascii="Arial Unicode MS" w:hAnsi="Arial Unicode MS"/>
        <w:b/>
        <w:bCs/>
        <w:color w:val="FFFFFF"/>
        <w:sz w:val="20"/>
      </w:rPr>
      <w:tblPr/>
      <w:tcPr>
        <w:tcBorders>
          <w:top w:val="single" w:sz="4" w:space="0" w:color="868686"/>
          <w:left w:val="single" w:sz="4" w:space="0" w:color="868686"/>
          <w:bottom w:val="single" w:sz="4" w:space="0" w:color="868686"/>
          <w:right w:val="single" w:sz="4" w:space="0" w:color="868686"/>
          <w:insideH w:val="single" w:sz="4" w:space="0" w:color="868686"/>
          <w:insideV w:val="single" w:sz="4" w:space="0" w:color="FFFFFF"/>
        </w:tcBorders>
        <w:shd w:val="clear" w:color="auto" w:fill="868686"/>
      </w:tcPr>
    </w:tblStylePr>
    <w:tblStylePr w:type="lastRow">
      <w:pPr>
        <w:spacing w:before="0" w:after="0" w:line="240" w:lineRule="auto"/>
      </w:pPr>
      <w:rPr>
        <w:rFonts w:ascii="Calibri" w:hAnsi="Calibri"/>
        <w:b/>
        <w:bCs/>
        <w:color w:val="00BDFA"/>
      </w:rPr>
      <w:tblPr/>
      <w:tcPr>
        <w:tcBorders>
          <w:top w:val="single" w:sz="8" w:space="0" w:color="868686"/>
          <w:left w:val="single" w:sz="4" w:space="0" w:color="868686"/>
          <w:bottom w:val="double" w:sz="4" w:space="0" w:color="868686"/>
          <w:right w:val="single" w:sz="4" w:space="0" w:color="868686"/>
          <w:insideH w:val="nil"/>
          <w:insideV w:val="single" w:sz="4" w:space="0" w:color="868686"/>
          <w:tl2br w:val="nil"/>
          <w:tr2bl w:val="nil"/>
        </w:tcBorders>
        <w:shd w:val="clear" w:color="auto" w:fill="FFFFFF"/>
      </w:tcPr>
    </w:tblStylePr>
    <w:tblStylePr w:type="firstCol">
      <w:pPr>
        <w:jc w:val="center"/>
      </w:pPr>
      <w:rPr>
        <w:rFonts w:ascii="Palatino Linotype" w:hAnsi="Palatino Linotype"/>
        <w:b w:val="0"/>
        <w:bCs/>
        <w:color w:val="AEAEAE"/>
        <w:sz w:val="20"/>
      </w:rPr>
      <w:tblPr/>
      <w:tcPr>
        <w:shd w:val="clear" w:color="auto" w:fill="D6D6D6"/>
      </w:tcPr>
    </w:tblStylePr>
    <w:tblStylePr w:type="lastCol">
      <w:rPr>
        <w:rFonts w:ascii="Palatino Linotype" w:hAnsi="Palatino Linotype"/>
        <w:b w:val="0"/>
        <w:bCs/>
        <w:color w:val="AEAEAE"/>
        <w:sz w:val="20"/>
      </w:rPr>
      <w:tblPr/>
      <w:tcPr>
        <w:shd w:val="clear" w:color="auto" w:fill="D6D6D6"/>
      </w:tcPr>
    </w:tblStylePr>
    <w:tblStylePr w:type="band1Vert">
      <w:tblPr/>
      <w:tcPr>
        <w:tcBorders>
          <w:top w:val="single" w:sz="8" w:space="0" w:color="868686"/>
          <w:left w:val="single" w:sz="8" w:space="0" w:color="868686"/>
          <w:bottom w:val="single" w:sz="8" w:space="0" w:color="868686"/>
          <w:right w:val="single" w:sz="8" w:space="0" w:color="868686"/>
        </w:tcBorders>
      </w:tcPr>
    </w:tblStylePr>
    <w:tblStylePr w:type="band1Horz">
      <w:pPr>
        <w:jc w:val="left"/>
      </w:pPr>
      <w:rPr>
        <w:rFonts w:ascii="Calibri" w:hAnsi="Calibri"/>
        <w:color w:val="00BDFA"/>
        <w:sz w:val="18"/>
      </w:rPr>
      <w:tblPr/>
      <w:tcPr>
        <w:tcBorders>
          <w:top w:val="single" w:sz="4" w:space="0" w:color="868686"/>
          <w:left w:val="single" w:sz="4" w:space="0" w:color="868686"/>
          <w:bottom w:val="single" w:sz="4" w:space="0" w:color="868686"/>
          <w:right w:val="single" w:sz="4" w:space="0" w:color="868686"/>
        </w:tcBorders>
      </w:tcPr>
    </w:tblStylePr>
    <w:tblStylePr w:type="band2Horz">
      <w:rPr>
        <w:rFonts w:ascii="Calibri" w:hAnsi="Calibri"/>
        <w:color w:val="00BDFA"/>
        <w:sz w:val="18"/>
      </w:rPr>
      <w:tblPr/>
      <w:tcPr>
        <w:shd w:val="clear" w:color="auto" w:fill="FFFFFF"/>
      </w:tcPr>
    </w:tblStylePr>
  </w:style>
  <w:style w:type="character" w:styleId="BookTitle">
    <w:name w:val="Book Title"/>
    <w:uiPriority w:val="33"/>
    <w:qFormat/>
    <w:rsid w:val="00E63D5D"/>
    <w:rPr>
      <w:b/>
      <w:bCs/>
      <w:smallCaps/>
      <w:spacing w:val="5"/>
    </w:rPr>
  </w:style>
  <w:style w:type="paragraph" w:customStyle="1" w:styleId="TextBullets2">
    <w:name w:val="Text Bullets 2"/>
    <w:basedOn w:val="ListParagraph"/>
    <w:uiPriority w:val="99"/>
    <w:qFormat/>
    <w:rsid w:val="00E63D5D"/>
    <w:pPr>
      <w:widowControl w:val="0"/>
      <w:suppressAutoHyphens w:val="0"/>
      <w:autoSpaceDE w:val="0"/>
      <w:adjustRightInd w:val="0"/>
      <w:spacing w:before="40" w:after="140" w:line="324" w:lineRule="auto"/>
      <w:ind w:left="1440" w:hanging="360"/>
      <w:textAlignment w:val="auto"/>
    </w:pPr>
    <w:rPr>
      <w:rFonts w:ascii="Georgia" w:eastAsia="Calibri" w:hAnsi="Georgia" w:cs="Times New Roman"/>
      <w:color w:val="00BDFA"/>
      <w:sz w:val="19"/>
      <w:lang w:eastAsia="en-US" w:bidi="en-US"/>
    </w:rPr>
  </w:style>
  <w:style w:type="paragraph" w:customStyle="1" w:styleId="TextBullets1">
    <w:name w:val="Text Bullets 1"/>
    <w:basedOn w:val="ListParagraph"/>
    <w:link w:val="TextBullets1Char"/>
    <w:qFormat/>
    <w:rsid w:val="00E63D5D"/>
    <w:pPr>
      <w:widowControl w:val="0"/>
      <w:suppressAutoHyphens w:val="0"/>
      <w:autoSpaceDE w:val="0"/>
      <w:adjustRightInd w:val="0"/>
      <w:spacing w:before="40" w:after="140" w:line="324" w:lineRule="auto"/>
      <w:ind w:hanging="360"/>
      <w:textAlignment w:val="auto"/>
    </w:pPr>
    <w:rPr>
      <w:rFonts w:ascii="Georgia" w:eastAsia="Calibri" w:hAnsi="Georgia" w:cs="Times New Roman"/>
      <w:color w:val="00BDFA"/>
      <w:sz w:val="19"/>
      <w:lang w:eastAsia="en-US" w:bidi="en-US"/>
    </w:rPr>
  </w:style>
  <w:style w:type="character" w:customStyle="1" w:styleId="TextBullets1Char">
    <w:name w:val="Text Bullets 1 Char"/>
    <w:link w:val="TextBullets1"/>
    <w:rsid w:val="00E63D5D"/>
    <w:rPr>
      <w:rFonts w:ascii="Georgia" w:eastAsia="Calibri" w:hAnsi="Georgia" w:cs="Times New Roman"/>
      <w:color w:val="00BDFA"/>
      <w:sz w:val="19"/>
      <w:lang w:eastAsia="en-US" w:bidi="en-US"/>
    </w:rPr>
  </w:style>
  <w:style w:type="paragraph" w:customStyle="1" w:styleId="TextNumbering">
    <w:name w:val="Text Numbering"/>
    <w:basedOn w:val="ListParagraph"/>
    <w:link w:val="TextNumberingChar"/>
    <w:qFormat/>
    <w:rsid w:val="00E63D5D"/>
    <w:pPr>
      <w:widowControl w:val="0"/>
      <w:numPr>
        <w:numId w:val="20"/>
      </w:numPr>
      <w:suppressAutoHyphens w:val="0"/>
      <w:autoSpaceDE w:val="0"/>
      <w:adjustRightInd w:val="0"/>
      <w:spacing w:before="40" w:after="140" w:line="324" w:lineRule="auto"/>
      <w:textAlignment w:val="auto"/>
    </w:pPr>
    <w:rPr>
      <w:rFonts w:ascii="Georgia" w:eastAsia="Calibri" w:hAnsi="Georgia" w:cs="Times New Roman"/>
      <w:color w:val="00BDFA"/>
      <w:sz w:val="19"/>
      <w:lang w:eastAsia="en-US" w:bidi="en-US"/>
    </w:rPr>
  </w:style>
  <w:style w:type="character" w:customStyle="1" w:styleId="TextNumberingChar">
    <w:name w:val="Text Numbering Char"/>
    <w:link w:val="TextNumbering"/>
    <w:rsid w:val="00E63D5D"/>
    <w:rPr>
      <w:rFonts w:ascii="Georgia" w:eastAsia="Calibri" w:hAnsi="Georgia" w:cs="Times New Roman"/>
      <w:color w:val="00BDFA"/>
      <w:sz w:val="19"/>
      <w:lang w:eastAsia="en-US" w:bidi="en-US"/>
    </w:rPr>
  </w:style>
  <w:style w:type="character" w:styleId="FollowedHyperlink">
    <w:name w:val="FollowedHyperlink"/>
    <w:uiPriority w:val="99"/>
    <w:semiHidden/>
    <w:unhideWhenUsed/>
    <w:rsid w:val="00E63D5D"/>
    <w:rPr>
      <w:color w:val="005E7D"/>
      <w:u w:val="single"/>
    </w:rPr>
  </w:style>
  <w:style w:type="paragraph" w:customStyle="1" w:styleId="NormalText">
    <w:name w:val="Normal Text"/>
    <w:basedOn w:val="Normal"/>
    <w:qFormat/>
    <w:rsid w:val="00E63D5D"/>
    <w:pPr>
      <w:suppressAutoHyphens w:val="0"/>
      <w:autoSpaceDN/>
      <w:spacing w:before="120" w:after="240" w:line="300" w:lineRule="auto"/>
      <w:textAlignment w:val="auto"/>
    </w:pPr>
    <w:rPr>
      <w:rFonts w:ascii="Calibri" w:eastAsia="MS Mincho" w:hAnsi="Calibri"/>
      <w:bCs/>
      <w:color w:val="363636"/>
      <w:lang w:eastAsia="en-US"/>
    </w:rPr>
  </w:style>
  <w:style w:type="character" w:styleId="Strong">
    <w:name w:val="Strong"/>
    <w:uiPriority w:val="22"/>
    <w:qFormat/>
    <w:rsid w:val="00E63D5D"/>
    <w:rPr>
      <w:b/>
    </w:rPr>
  </w:style>
  <w:style w:type="table" w:customStyle="1" w:styleId="GridTable4-Accent41">
    <w:name w:val="Grid Table 4 - Accent 41"/>
    <w:basedOn w:val="TableNormal"/>
    <w:uiPriority w:val="49"/>
    <w:rsid w:val="00E63D5D"/>
    <w:pPr>
      <w:autoSpaceDN/>
      <w:spacing w:line="240" w:lineRule="auto"/>
      <w:textAlignment w:val="auto"/>
    </w:pPr>
    <w:rPr>
      <w:rFonts w:ascii="Calibri" w:eastAsia="MS Mincho" w:hAnsi="Calibri"/>
      <w:sz w:val="20"/>
      <w:szCs w:val="20"/>
    </w:rPr>
    <w:tblPr>
      <w:tblStyleRowBandSize w:val="1"/>
      <w:tblStyleColBandSize w:val="1"/>
      <w:tblBorders>
        <w:top w:val="single" w:sz="4" w:space="0" w:color="C0EFFF"/>
        <w:left w:val="single" w:sz="4" w:space="0" w:color="C0EFFF"/>
        <w:bottom w:val="single" w:sz="4" w:space="0" w:color="C0EFFF"/>
        <w:right w:val="single" w:sz="4" w:space="0" w:color="C0EFFF"/>
        <w:insideH w:val="single" w:sz="4" w:space="0" w:color="C0EFFF"/>
        <w:insideV w:val="single" w:sz="4" w:space="0" w:color="C0EFFF"/>
      </w:tblBorders>
    </w:tblPr>
    <w:tblStylePr w:type="firstRow">
      <w:rPr>
        <w:b/>
        <w:bCs/>
        <w:color w:val="FFFFFF"/>
      </w:rPr>
      <w:tblPr/>
      <w:tcPr>
        <w:tcBorders>
          <w:top w:val="single" w:sz="4" w:space="0" w:color="97E5FF"/>
          <w:left w:val="single" w:sz="4" w:space="0" w:color="97E5FF"/>
          <w:bottom w:val="single" w:sz="4" w:space="0" w:color="97E5FF"/>
          <w:right w:val="single" w:sz="4" w:space="0" w:color="97E5FF"/>
          <w:insideH w:val="nil"/>
          <w:insideV w:val="nil"/>
        </w:tcBorders>
        <w:shd w:val="clear" w:color="auto" w:fill="97E5FF"/>
      </w:tcPr>
    </w:tblStylePr>
    <w:tblStylePr w:type="lastRow">
      <w:rPr>
        <w:b/>
        <w:bCs/>
      </w:rPr>
      <w:tblPr/>
      <w:tcPr>
        <w:tcBorders>
          <w:top w:val="double" w:sz="4" w:space="0" w:color="97E5FF"/>
        </w:tcBorders>
      </w:tcPr>
    </w:tblStylePr>
    <w:tblStylePr w:type="firstCol">
      <w:rPr>
        <w:b/>
        <w:bCs/>
      </w:rPr>
    </w:tblStylePr>
    <w:tblStylePr w:type="lastCol">
      <w:rPr>
        <w:b/>
        <w:bCs/>
      </w:rPr>
    </w:tblStylePr>
    <w:tblStylePr w:type="band1Vert">
      <w:tblPr/>
      <w:tcPr>
        <w:shd w:val="clear" w:color="auto" w:fill="EAF9FF"/>
      </w:tcPr>
    </w:tblStylePr>
    <w:tblStylePr w:type="band1Horz">
      <w:tblPr/>
      <w:tcPr>
        <w:shd w:val="clear" w:color="auto" w:fill="EAF9FF"/>
      </w:tcPr>
    </w:tblStylePr>
  </w:style>
  <w:style w:type="table" w:customStyle="1" w:styleId="PlainTable11">
    <w:name w:val="Plain Table 11"/>
    <w:basedOn w:val="TableNormal"/>
    <w:uiPriority w:val="41"/>
    <w:rsid w:val="00E63D5D"/>
    <w:pPr>
      <w:autoSpaceDN/>
      <w:spacing w:line="240" w:lineRule="auto"/>
      <w:textAlignment w:val="auto"/>
    </w:pPr>
    <w:rPr>
      <w:rFonts w:ascii="Calibri" w:eastAsia="MS Mincho" w:hAnsi="Calibri"/>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E63D5D"/>
    <w:pPr>
      <w:autoSpaceDN/>
      <w:spacing w:line="240" w:lineRule="auto"/>
      <w:textAlignment w:val="auto"/>
    </w:pPr>
    <w:rPr>
      <w:rFonts w:ascii="Calibri" w:eastAsia="MS Mincho" w:hAnsi="Calibri"/>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rmalnew">
    <w:name w:val="Normal new"/>
    <w:basedOn w:val="Normal"/>
    <w:rsid w:val="00E63D5D"/>
    <w:pPr>
      <w:suppressAutoHyphens w:val="0"/>
      <w:autoSpaceDN/>
      <w:spacing w:before="120" w:after="120" w:line="300" w:lineRule="auto"/>
      <w:textAlignment w:val="auto"/>
    </w:pPr>
    <w:rPr>
      <w:rFonts w:ascii="Calibri" w:eastAsia="MS Mincho" w:hAnsi="Calibri"/>
      <w:bCs/>
      <w:sz w:val="20"/>
      <w:szCs w:val="20"/>
      <w:lang w:val="en-US" w:eastAsia="en-US"/>
    </w:rPr>
  </w:style>
  <w:style w:type="table" w:customStyle="1" w:styleId="GridTable1Light-Accent11">
    <w:name w:val="Grid Table 1 Light - Accent 11"/>
    <w:basedOn w:val="TableNormal"/>
    <w:uiPriority w:val="46"/>
    <w:rsid w:val="00E63D5D"/>
    <w:pPr>
      <w:autoSpaceDN/>
      <w:spacing w:line="240" w:lineRule="auto"/>
      <w:textAlignment w:val="auto"/>
    </w:pPr>
    <w:rPr>
      <w:rFonts w:ascii="Calibri" w:eastAsia="Calibri" w:hAnsi="Calibri"/>
      <w:sz w:val="20"/>
      <w:szCs w:val="20"/>
    </w:rPr>
    <w:tblPr>
      <w:tblStyleRowBandSize w:val="1"/>
      <w:tblStyleColBandSize w:val="1"/>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Pr>
    <w:tblStylePr w:type="firstRow">
      <w:rPr>
        <w:b/>
        <w:bCs/>
      </w:rPr>
      <w:tblPr/>
      <w:tcPr>
        <w:tcBorders>
          <w:bottom w:val="single" w:sz="12" w:space="0" w:color="B6B6B6"/>
        </w:tcBorders>
      </w:tcPr>
    </w:tblStylePr>
    <w:tblStylePr w:type="lastRow">
      <w:rPr>
        <w:b/>
        <w:bCs/>
      </w:rPr>
      <w:tblPr/>
      <w:tcPr>
        <w:tcBorders>
          <w:top w:val="double" w:sz="2" w:space="0" w:color="B6B6B6"/>
        </w:tcBorders>
      </w:tcPr>
    </w:tblStylePr>
    <w:tblStylePr w:type="firstCol">
      <w:rPr>
        <w:b/>
        <w:bCs/>
      </w:rPr>
    </w:tblStylePr>
    <w:tblStylePr w:type="lastCol">
      <w:rPr>
        <w:b/>
        <w:bCs/>
      </w:rPr>
    </w:tblStylePr>
  </w:style>
  <w:style w:type="character" w:styleId="SubtleReference">
    <w:name w:val="Subtle Reference"/>
    <w:uiPriority w:val="31"/>
    <w:qFormat/>
    <w:rsid w:val="00E63D5D"/>
    <w:rPr>
      <w:smallCaps/>
      <w:color w:val="7C7C7C"/>
    </w:rPr>
  </w:style>
  <w:style w:type="table" w:customStyle="1" w:styleId="GridTable1Light-Accent41">
    <w:name w:val="Grid Table 1 Light - Accent 41"/>
    <w:basedOn w:val="TableNormal"/>
    <w:uiPriority w:val="46"/>
    <w:rsid w:val="00E63D5D"/>
    <w:pPr>
      <w:autoSpaceDN/>
      <w:spacing w:line="240" w:lineRule="auto"/>
      <w:textAlignment w:val="auto"/>
    </w:pPr>
    <w:rPr>
      <w:rFonts w:ascii="Calibri" w:eastAsia="MS Mincho" w:hAnsi="Calibri"/>
      <w:sz w:val="20"/>
      <w:szCs w:val="20"/>
    </w:rPr>
    <w:tblPr>
      <w:tblStyleRowBandSize w:val="1"/>
      <w:tblStyleColBandSize w:val="1"/>
      <w:tblBorders>
        <w:top w:val="single" w:sz="4" w:space="0" w:color="D5F4FF"/>
        <w:left w:val="single" w:sz="4" w:space="0" w:color="D5F4FF"/>
        <w:bottom w:val="single" w:sz="4" w:space="0" w:color="D5F4FF"/>
        <w:right w:val="single" w:sz="4" w:space="0" w:color="D5F4FF"/>
        <w:insideH w:val="single" w:sz="4" w:space="0" w:color="D5F4FF"/>
        <w:insideV w:val="single" w:sz="4" w:space="0" w:color="D5F4FF"/>
      </w:tblBorders>
    </w:tblPr>
    <w:tblStylePr w:type="firstRow">
      <w:rPr>
        <w:b/>
        <w:bCs/>
      </w:rPr>
      <w:tblPr/>
      <w:tcPr>
        <w:tcBorders>
          <w:bottom w:val="single" w:sz="12" w:space="0" w:color="C0EFFF"/>
        </w:tcBorders>
      </w:tcPr>
    </w:tblStylePr>
    <w:tblStylePr w:type="lastRow">
      <w:rPr>
        <w:b/>
        <w:bCs/>
      </w:rPr>
      <w:tblPr/>
      <w:tcPr>
        <w:tcBorders>
          <w:top w:val="double" w:sz="2" w:space="0" w:color="C0EFFF"/>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E63D5D"/>
    <w:pPr>
      <w:autoSpaceDN/>
      <w:spacing w:line="240" w:lineRule="auto"/>
      <w:textAlignment w:val="auto"/>
    </w:pPr>
    <w:rPr>
      <w:rFonts w:ascii="Calibri" w:eastAsia="MS Mincho" w:hAnsi="Calibri"/>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
    <w:name w:val="Body"/>
    <w:rsid w:val="00E63D5D"/>
    <w:pPr>
      <w:pBdr>
        <w:top w:val="nil"/>
        <w:left w:val="nil"/>
        <w:bottom w:val="nil"/>
        <w:right w:val="nil"/>
        <w:between w:val="nil"/>
        <w:bar w:val="nil"/>
      </w:pBdr>
      <w:autoSpaceDN/>
      <w:spacing w:before="120" w:after="120" w:line="240" w:lineRule="auto"/>
      <w:textAlignment w:val="auto"/>
    </w:pPr>
    <w:rPr>
      <w:rFonts w:ascii="Helvetica" w:eastAsia="Arial Unicode MS" w:hAnsi="Helvetica" w:cs="Arial Unicode MS"/>
      <w:color w:val="000000"/>
      <w:u w:color="000000"/>
      <w:bdr w:val="nil"/>
      <w:lang w:eastAsia="en-US"/>
    </w:rPr>
  </w:style>
  <w:style w:type="numbering" w:customStyle="1" w:styleId="ImportedStyle3">
    <w:name w:val="Imported Style 3"/>
    <w:rsid w:val="00E63D5D"/>
    <w:pPr>
      <w:numPr>
        <w:numId w:val="21"/>
      </w:numPr>
    </w:pPr>
  </w:style>
  <w:style w:type="numbering" w:customStyle="1" w:styleId="ImportedStyle30">
    <w:name w:val="Imported Style 3.0"/>
    <w:rsid w:val="00E63D5D"/>
    <w:pPr>
      <w:numPr>
        <w:numId w:val="22"/>
      </w:numPr>
    </w:pPr>
  </w:style>
  <w:style w:type="character" w:customStyle="1" w:styleId="apple-tab-span">
    <w:name w:val="apple-tab-span"/>
    <w:basedOn w:val="DefaultParagraphFont"/>
    <w:rsid w:val="00E63D5D"/>
  </w:style>
  <w:style w:type="character" w:customStyle="1" w:styleId="apple-converted-space">
    <w:name w:val="apple-converted-space"/>
    <w:basedOn w:val="DefaultParagraphFont"/>
    <w:rsid w:val="00E63D5D"/>
  </w:style>
  <w:style w:type="table" w:customStyle="1" w:styleId="GridTable5Dark-Accent51">
    <w:name w:val="Grid Table 5 Dark - Accent 51"/>
    <w:basedOn w:val="TableNormal"/>
    <w:uiPriority w:val="50"/>
    <w:rsid w:val="00E63D5D"/>
    <w:pPr>
      <w:autoSpaceDN/>
      <w:spacing w:line="240" w:lineRule="auto"/>
      <w:textAlignment w:val="auto"/>
    </w:pPr>
    <w:rPr>
      <w:rFonts w:ascii="Calibri" w:eastAsia="Calibri" w:hAnsi="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9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7E5F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7E5F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7E5F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7E5FF"/>
      </w:tcPr>
    </w:tblStylePr>
    <w:tblStylePr w:type="band1Vert">
      <w:tblPr/>
      <w:tcPr>
        <w:shd w:val="clear" w:color="auto" w:fill="D5F4FF"/>
      </w:tcPr>
    </w:tblStylePr>
    <w:tblStylePr w:type="band1Horz">
      <w:tblPr/>
      <w:tcPr>
        <w:shd w:val="clear" w:color="auto" w:fill="D5F4FF"/>
      </w:tcPr>
    </w:tblStylePr>
  </w:style>
  <w:style w:type="table" w:styleId="MediumGrid3-Accent4">
    <w:name w:val="Medium Grid 3 Accent 4"/>
    <w:basedOn w:val="TableNormal"/>
    <w:uiPriority w:val="69"/>
    <w:rsid w:val="00E63D5D"/>
    <w:pPr>
      <w:autoSpaceDN/>
      <w:spacing w:line="240" w:lineRule="auto"/>
      <w:textAlignment w:val="auto"/>
    </w:pPr>
    <w:rPr>
      <w:rFonts w:ascii="Calibri" w:eastAsia="MS Mincho" w:hAnsi="Calibri"/>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F8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7E5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7E5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7E5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7E5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BF1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BF1FF"/>
      </w:tcPr>
    </w:tblStylePr>
  </w:style>
  <w:style w:type="paragraph" w:styleId="DocumentMap">
    <w:name w:val="Document Map"/>
    <w:basedOn w:val="Normal"/>
    <w:link w:val="DocumentMapChar"/>
    <w:uiPriority w:val="99"/>
    <w:semiHidden/>
    <w:unhideWhenUsed/>
    <w:rsid w:val="00E63D5D"/>
    <w:pPr>
      <w:suppressAutoHyphens w:val="0"/>
      <w:autoSpaceDN/>
      <w:spacing w:line="240" w:lineRule="auto"/>
      <w:textAlignment w:val="auto"/>
    </w:pPr>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63D5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63D5D"/>
    <w:pPr>
      <w:widowControl w:val="0"/>
      <w:suppressAutoHyphens w:val="0"/>
      <w:autoSpaceDE w:val="0"/>
      <w:spacing w:line="240" w:lineRule="auto"/>
      <w:textAlignment w:val="auto"/>
    </w:pPr>
    <w:rPr>
      <w:lang w:val="en-US" w:eastAsia="en-US"/>
    </w:rPr>
  </w:style>
  <w:style w:type="table" w:customStyle="1" w:styleId="TableGrid2">
    <w:name w:val="Table Grid2"/>
    <w:basedOn w:val="TableNormal"/>
    <w:next w:val="TableGrid"/>
    <w:uiPriority w:val="39"/>
    <w:rsid w:val="00E63D5D"/>
    <w:pPr>
      <w:pBdr>
        <w:top w:val="nil"/>
        <w:left w:val="nil"/>
        <w:bottom w:val="nil"/>
        <w:right w:val="nil"/>
        <w:between w:val="nil"/>
      </w:pBdr>
      <w:autoSpaceDN/>
      <w:spacing w:line="240" w:lineRule="auto"/>
      <w:textAlignment w:val="auto"/>
    </w:pPr>
    <w:rPr>
      <w:rFonts w:ascii="Calibri" w:eastAsia="Calibri" w:hAnsi="Calibri" w:cs="Calibri"/>
      <w:color w:val="000000"/>
      <w:sz w:val="20"/>
      <w:szCs w:val="20"/>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E63D5D"/>
    <w:pPr>
      <w:autoSpaceDN/>
      <w:spacing w:line="240" w:lineRule="auto"/>
      <w:textAlignment w:val="auto"/>
    </w:pPr>
    <w:rPr>
      <w:rFonts w:ascii="Calibri" w:eastAsia="MS Mincho" w:hAnsi="Calibri"/>
      <w:sz w:val="20"/>
      <w:szCs w:val="20"/>
    </w:rPr>
    <w:tblPr>
      <w:tblStyleRowBandSize w:val="1"/>
      <w:tblStyleColBandSize w:val="1"/>
      <w:tblBorders>
        <w:top w:val="single" w:sz="4" w:space="0" w:color="D5F4FF"/>
        <w:left w:val="single" w:sz="4" w:space="0" w:color="D5F4FF"/>
        <w:bottom w:val="single" w:sz="4" w:space="0" w:color="D5F4FF"/>
        <w:right w:val="single" w:sz="4" w:space="0" w:color="D5F4FF"/>
        <w:insideH w:val="single" w:sz="4" w:space="0" w:color="D5F4FF"/>
        <w:insideV w:val="single" w:sz="4" w:space="0" w:color="D5F4FF"/>
      </w:tblBorders>
    </w:tblPr>
    <w:tblStylePr w:type="firstRow">
      <w:rPr>
        <w:b/>
        <w:bCs/>
      </w:rPr>
      <w:tblPr/>
      <w:tcPr>
        <w:tcBorders>
          <w:bottom w:val="single" w:sz="12" w:space="0" w:color="C0EFFF"/>
        </w:tcBorders>
      </w:tcPr>
    </w:tblStylePr>
    <w:tblStylePr w:type="lastRow">
      <w:rPr>
        <w:b/>
        <w:bCs/>
      </w:rPr>
      <w:tblPr/>
      <w:tcPr>
        <w:tcBorders>
          <w:top w:val="double" w:sz="2" w:space="0" w:color="C0EFFF"/>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E63D5D"/>
    <w:pPr>
      <w:autoSpaceDN/>
      <w:spacing w:line="240" w:lineRule="auto"/>
      <w:textAlignment w:val="auto"/>
    </w:pPr>
    <w:rPr>
      <w:rFonts w:ascii="Calibri" w:eastAsia="MS Mincho" w:hAnsi="Calibri"/>
      <w:sz w:val="20"/>
      <w:szCs w:val="20"/>
    </w:rPr>
    <w:tblPr>
      <w:tblStyleRowBandSize w:val="1"/>
      <w:tblStyleColBandSize w:val="1"/>
      <w:tblBorders>
        <w:top w:val="single" w:sz="4" w:space="0" w:color="C0EFFF"/>
        <w:left w:val="single" w:sz="4" w:space="0" w:color="C0EFFF"/>
        <w:bottom w:val="single" w:sz="4" w:space="0" w:color="C0EFFF"/>
        <w:right w:val="single" w:sz="4" w:space="0" w:color="C0EFFF"/>
        <w:insideH w:val="single" w:sz="4" w:space="0" w:color="C0EFFF"/>
        <w:insideV w:val="single" w:sz="4" w:space="0" w:color="C0EFFF"/>
      </w:tblBorders>
    </w:tblPr>
    <w:tblStylePr w:type="firstRow">
      <w:rPr>
        <w:b/>
        <w:bCs/>
        <w:color w:val="FFFFFF"/>
      </w:rPr>
      <w:tblPr/>
      <w:tcPr>
        <w:tcBorders>
          <w:top w:val="single" w:sz="4" w:space="0" w:color="97E5FF"/>
          <w:left w:val="single" w:sz="4" w:space="0" w:color="97E5FF"/>
          <w:bottom w:val="single" w:sz="4" w:space="0" w:color="97E5FF"/>
          <w:right w:val="single" w:sz="4" w:space="0" w:color="97E5FF"/>
          <w:insideH w:val="nil"/>
          <w:insideV w:val="nil"/>
        </w:tcBorders>
        <w:shd w:val="clear" w:color="auto" w:fill="97E5FF"/>
      </w:tcPr>
    </w:tblStylePr>
    <w:tblStylePr w:type="lastRow">
      <w:rPr>
        <w:b/>
        <w:bCs/>
      </w:rPr>
      <w:tblPr/>
      <w:tcPr>
        <w:tcBorders>
          <w:top w:val="double" w:sz="4" w:space="0" w:color="97E5FF"/>
        </w:tcBorders>
      </w:tcPr>
    </w:tblStylePr>
    <w:tblStylePr w:type="firstCol">
      <w:rPr>
        <w:b/>
        <w:bCs/>
      </w:rPr>
    </w:tblStylePr>
    <w:tblStylePr w:type="lastCol">
      <w:rPr>
        <w:b/>
        <w:bCs/>
      </w:rPr>
    </w:tblStylePr>
    <w:tblStylePr w:type="band1Vert">
      <w:tblPr/>
      <w:tcPr>
        <w:shd w:val="clear" w:color="auto" w:fill="EAF9FF"/>
      </w:tcPr>
    </w:tblStylePr>
    <w:tblStylePr w:type="band1Horz">
      <w:tblPr/>
      <w:tcPr>
        <w:shd w:val="clear" w:color="auto" w:fill="EAF9FF"/>
      </w:tcPr>
    </w:tblStylePr>
  </w:style>
  <w:style w:type="paragraph" w:customStyle="1" w:styleId="paragraph">
    <w:name w:val="paragraph"/>
    <w:basedOn w:val="Normal"/>
    <w:rsid w:val="00E63D5D"/>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rsid w:val="00E63D5D"/>
  </w:style>
  <w:style w:type="character" w:customStyle="1" w:styleId="spellingerror">
    <w:name w:val="spellingerror"/>
    <w:basedOn w:val="DefaultParagraphFont"/>
    <w:rsid w:val="00E63D5D"/>
  </w:style>
  <w:style w:type="character" w:customStyle="1" w:styleId="eop">
    <w:name w:val="eop"/>
    <w:basedOn w:val="DefaultParagraphFont"/>
    <w:rsid w:val="00E63D5D"/>
  </w:style>
  <w:style w:type="character" w:customStyle="1" w:styleId="contextualspellingandgrammarerror">
    <w:name w:val="contextualspellingandgrammarerror"/>
    <w:basedOn w:val="DefaultParagraphFont"/>
    <w:rsid w:val="00E63D5D"/>
  </w:style>
  <w:style w:type="table" w:styleId="TableGridLight">
    <w:name w:val="Grid Table Light"/>
    <w:basedOn w:val="TableNormal"/>
    <w:uiPriority w:val="40"/>
    <w:rsid w:val="00E63D5D"/>
    <w:pPr>
      <w:autoSpaceDN/>
      <w:spacing w:line="240" w:lineRule="auto"/>
      <w:textAlignment w:val="auto"/>
    </w:pPr>
    <w:rPr>
      <w:rFonts w:ascii="Calibri" w:eastAsia="MS Mincho" w:hAnsi="Calibri"/>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tion">
    <w:name w:val="Mention"/>
    <w:basedOn w:val="DefaultParagraphFont"/>
    <w:uiPriority w:val="99"/>
    <w:unhideWhenUsed/>
    <w:rsid w:val="00E63D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8734">
      <w:bodyDiv w:val="1"/>
      <w:marLeft w:val="0"/>
      <w:marRight w:val="0"/>
      <w:marTop w:val="0"/>
      <w:marBottom w:val="0"/>
      <w:divBdr>
        <w:top w:val="none" w:sz="0" w:space="0" w:color="auto"/>
        <w:left w:val="none" w:sz="0" w:space="0" w:color="auto"/>
        <w:bottom w:val="none" w:sz="0" w:space="0" w:color="auto"/>
        <w:right w:val="none" w:sz="0" w:space="0" w:color="auto"/>
      </w:divBdr>
    </w:div>
    <w:div w:id="243414155">
      <w:bodyDiv w:val="1"/>
      <w:marLeft w:val="0"/>
      <w:marRight w:val="0"/>
      <w:marTop w:val="0"/>
      <w:marBottom w:val="0"/>
      <w:divBdr>
        <w:top w:val="none" w:sz="0" w:space="0" w:color="auto"/>
        <w:left w:val="none" w:sz="0" w:space="0" w:color="auto"/>
        <w:bottom w:val="none" w:sz="0" w:space="0" w:color="auto"/>
        <w:right w:val="none" w:sz="0" w:space="0" w:color="auto"/>
      </w:divBdr>
    </w:div>
    <w:div w:id="1620599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theme" Target="theme/theme1.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guidance/check-employment-status-for-tax" TargetMode="Externa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hyperlink" Target="https://www.digitalmarketplace.service.gov.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ncsc.gov.uk/guidance/10-steps-cyber-secur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guidance/g-cloud-templates-and-legal-documents"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ncsc.gov.uk/guidance/10-steps-cyber-security" TargetMode="External"/><Relationship Id="rId36" Type="http://schemas.openxmlformats.org/officeDocument/2006/relationships/hyperlink" Target="https://www.gov.uk/service-manual/agile-delivery/spend-controls-check-if-you-need-approval-to-spend-money-on-a-service" TargetMode="External"/><Relationship Id="rId10" Type="http://schemas.openxmlformats.org/officeDocument/2006/relationships/image" Target="media/image1.png"/><Relationship Id="rId19" Type="http://schemas.openxmlformats.org/officeDocument/2006/relationships/hyperlink" Target="https://www.cpni.gov.uk/content/adopt-risk-management-approach" TargetMode="External"/><Relationship Id="rId31" Type="http://schemas.openxmlformats.org/officeDocument/2006/relationships/hyperlink" Target="https://www.gov.uk/guidance/g-cloud-templates-and-legal-docu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Word_Document.docx"/><Relationship Id="rId22" Type="http://schemas.openxmlformats.org/officeDocument/2006/relationships/hyperlink" Target="https://www.ncsc.gov.uk/collection/risk-management-collection"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uidance/g-cloud-templates-and-legal-documents" TargetMode="External"/><Relationship Id="rId35" Type="http://schemas.openxmlformats.org/officeDocument/2006/relationships/hyperlink" Target="https://www.gov.uk/service-manual/agile-delivery/spend-controls-check-if-you-need-approval-to-spend-money-on-a-service"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8756161C7D4A4491DE0094CBF1FE95" ma:contentTypeVersion="10" ma:contentTypeDescription="Create a new document." ma:contentTypeScope="" ma:versionID="f00f2ccd7f779cc22aac0e76126b6b1d">
  <xsd:schema xmlns:xsd="http://www.w3.org/2001/XMLSchema" xmlns:xs="http://www.w3.org/2001/XMLSchema" xmlns:p="http://schemas.microsoft.com/office/2006/metadata/properties" xmlns:ns2="9f8e4586-7394-4da7-80e1-d6ab2b2181ae" xmlns:ns3="f0e51fec-fdfc-4ed7-ae1a-67d4d8760980" targetNamespace="http://schemas.microsoft.com/office/2006/metadata/properties" ma:root="true" ma:fieldsID="a0a58f70540018fcf6f9f539c4c9a002" ns2:_="" ns3:_="">
    <xsd:import namespace="9f8e4586-7394-4da7-80e1-d6ab2b2181ae"/>
    <xsd:import namespace="f0e51fec-fdfc-4ed7-ae1a-67d4d8760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e4586-7394-4da7-80e1-d6ab2b218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51fec-fdfc-4ed7-ae1a-67d4d8760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8FACB4-47DE-4FEB-B13A-65E0EFFBBEBB}">
  <ds:schemaRefs>
    <ds:schemaRef ds:uri="http://schemas.microsoft.com/sharepoint/v3/contenttype/forms"/>
  </ds:schemaRefs>
</ds:datastoreItem>
</file>

<file path=customXml/itemProps2.xml><?xml version="1.0" encoding="utf-8"?>
<ds:datastoreItem xmlns:ds="http://schemas.openxmlformats.org/officeDocument/2006/customXml" ds:itemID="{F94C2B3C-361B-4E09-9C3B-97E2258AD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e4586-7394-4da7-80e1-d6ab2b2181ae"/>
    <ds:schemaRef ds:uri="f0e51fec-fdfc-4ed7-ae1a-67d4d876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F8FAB-93A6-4DA6-827C-C4A855824670}">
  <ds:schemaRefs>
    <ds:schemaRef ds:uri="http://www.w3.org/XML/1998/namespace"/>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f0e51fec-fdfc-4ed7-ae1a-67d4d8760980"/>
    <ds:schemaRef ds:uri="9f8e4586-7394-4da7-80e1-d6ab2b2181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12322</Words>
  <Characters>70242</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82400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Johnston Andrew DWP COMMERCIAL</cp:lastModifiedBy>
  <cp:revision>2</cp:revision>
  <cp:lastPrinted>2020-06-10T10:41:00Z</cp:lastPrinted>
  <dcterms:created xsi:type="dcterms:W3CDTF">2021-04-12T12:47:00Z</dcterms:created>
  <dcterms:modified xsi:type="dcterms:W3CDTF">2021-04-12T12:47:00Z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0x0101008C8756161C7D4A4491DE0094CBF1FE95</vt:lpwstr>
  </property>
</Properties>
</file>