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0F323C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3BD5D6C1"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00853CB7" w:rsidRPr="0008508E">
              <w:rPr>
                <w:rFonts w:cs="Arial"/>
                <w:b/>
                <w:bCs/>
                <w:sz w:val="22"/>
              </w:rPr>
              <w:t>REDACTED</w:t>
            </w:r>
          </w:p>
        </w:tc>
      </w:tr>
      <w:tr w:rsidR="00683350" w:rsidRPr="00284376" w14:paraId="15A35684" w14:textId="77777777" w:rsidTr="00850928">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1"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00850928">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0F323C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06E7F5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216FF48B" w:rsidR="00683350" w:rsidRPr="00284376" w:rsidRDefault="0000277A" w:rsidP="00284376">
            <w:pPr>
              <w:spacing w:after="0"/>
              <w:rPr>
                <w:rFonts w:cs="Arial"/>
                <w:sz w:val="22"/>
              </w:rPr>
            </w:pPr>
            <w:r>
              <w:rPr>
                <w:rFonts w:cs="Arial"/>
                <w:sz w:val="22"/>
              </w:rPr>
              <w:t>RE Light Role CUB</w:t>
            </w:r>
          </w:p>
        </w:tc>
      </w:tr>
      <w:tr w:rsidR="00683350" w:rsidRPr="00284376" w14:paraId="018B380F" w14:textId="77777777" w:rsidTr="006E7F5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00284376">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0F323C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00D97547">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419219E3" w:rsidR="00683350" w:rsidRPr="0008508E" w:rsidRDefault="0008508E" w:rsidP="00284376">
            <w:pPr>
              <w:spacing w:after="0"/>
              <w:rPr>
                <w:rFonts w:cs="Arial"/>
                <w:b/>
                <w:bCs/>
                <w:sz w:val="22"/>
              </w:rPr>
            </w:pPr>
            <w:r>
              <w:rPr>
                <w:rFonts w:cs="Arial"/>
                <w:b/>
                <w:bCs/>
                <w:sz w:val="22"/>
              </w:rPr>
              <w:t>REDACTED</w:t>
            </w:r>
          </w:p>
        </w:tc>
      </w:tr>
      <w:tr w:rsidR="00683350" w:rsidRPr="00284376" w14:paraId="018B3821" w14:textId="77777777" w:rsidTr="00D97547">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4422B545" w:rsidR="00683350" w:rsidRPr="00284376" w:rsidRDefault="005C409F" w:rsidP="00284376">
            <w:pPr>
              <w:spacing w:after="0"/>
              <w:rPr>
                <w:rFonts w:cs="Arial"/>
                <w:sz w:val="22"/>
              </w:rPr>
            </w:pPr>
            <w:r>
              <w:rPr>
                <w:rFonts w:cs="Arial"/>
                <w:sz w:val="22"/>
              </w:rPr>
              <w:t>As above</w:t>
            </w:r>
          </w:p>
        </w:tc>
      </w:tr>
      <w:tr w:rsidR="0008508E" w:rsidRPr="00284376" w14:paraId="4D0A1BAB" w14:textId="77777777" w:rsidTr="00F43D64">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08508E" w:rsidRPr="00284376" w:rsidRDefault="0008508E" w:rsidP="0008508E">
            <w:pPr>
              <w:spacing w:after="0"/>
              <w:rPr>
                <w:rFonts w:cs="Arial"/>
                <w:b/>
                <w:sz w:val="22"/>
              </w:rPr>
            </w:pPr>
            <w:r w:rsidRPr="00284376">
              <w:rPr>
                <w:rFonts w:cs="Arial"/>
                <w:b/>
                <w:sz w:val="22"/>
              </w:rPr>
              <w:t>Commercial Officer</w:t>
            </w:r>
          </w:p>
          <w:p w14:paraId="7BA043F8" w14:textId="4EAAF0AA" w:rsidR="0008508E" w:rsidRPr="00284376" w:rsidRDefault="0008508E" w:rsidP="0008508E">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3A1F468E" w:rsidR="0008508E" w:rsidRPr="0008508E" w:rsidRDefault="0008508E" w:rsidP="0008508E">
            <w:pPr>
              <w:spacing w:after="0"/>
              <w:rPr>
                <w:rFonts w:cs="Arial"/>
                <w:b/>
                <w:bCs/>
                <w:sz w:val="22"/>
              </w:rPr>
            </w:pPr>
            <w:r>
              <w:rPr>
                <w:rFonts w:cs="Arial"/>
                <w:b/>
                <w:bCs/>
                <w:sz w:val="22"/>
              </w:rPr>
              <w:t>REDACTED</w:t>
            </w:r>
          </w:p>
        </w:tc>
      </w:tr>
      <w:tr w:rsidR="0008508E" w:rsidRPr="00284376" w14:paraId="018B3824" w14:textId="77777777" w:rsidTr="00D97547">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08508E" w:rsidRPr="00284376" w:rsidRDefault="0008508E" w:rsidP="0008508E">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495B7303" w:rsidR="0008508E" w:rsidRPr="00284376" w:rsidRDefault="0008508E" w:rsidP="0008508E">
            <w:pPr>
              <w:spacing w:after="0"/>
              <w:rPr>
                <w:rFonts w:cs="Arial"/>
                <w:sz w:val="22"/>
              </w:rPr>
            </w:pPr>
            <w:r>
              <w:rPr>
                <w:rFonts w:cs="Arial"/>
                <w:sz w:val="18"/>
                <w:szCs w:val="18"/>
              </w:rPr>
              <w:t>Infrastructure Systems Assessment and Targeting Wargames</w:t>
            </w:r>
          </w:p>
        </w:tc>
      </w:tr>
      <w:tr w:rsidR="0008508E" w:rsidRPr="00284376" w14:paraId="018B3827"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08508E" w:rsidRPr="00284376" w:rsidRDefault="0008508E" w:rsidP="0008508E">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35921AF3" w:rsidR="0008508E" w:rsidRPr="00284376" w:rsidRDefault="0008508E" w:rsidP="0008508E">
            <w:pPr>
              <w:spacing w:after="0"/>
              <w:rPr>
                <w:rFonts w:cs="Arial"/>
                <w:sz w:val="22"/>
              </w:rPr>
            </w:pPr>
            <w:r>
              <w:rPr>
                <w:rFonts w:cs="Arial"/>
                <w:sz w:val="22"/>
              </w:rPr>
              <w:t>AP11 FY22/23</w:t>
            </w:r>
          </w:p>
        </w:tc>
      </w:tr>
      <w:tr w:rsidR="0008508E" w:rsidRPr="00284376" w14:paraId="018B382A" w14:textId="77777777" w:rsidTr="00B80582">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08508E" w:rsidRPr="00284376" w:rsidRDefault="0008508E" w:rsidP="0008508E">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1F3C6B78" w:rsidR="0008508E" w:rsidRPr="00284376" w:rsidRDefault="0008508E" w:rsidP="0008508E">
            <w:pPr>
              <w:spacing w:after="0"/>
              <w:rPr>
                <w:rFonts w:cs="Arial"/>
                <w:sz w:val="22"/>
              </w:rPr>
            </w:pPr>
            <w:r>
              <w:rPr>
                <w:rFonts w:cs="Arial"/>
                <w:sz w:val="22"/>
              </w:rPr>
              <w:t>AP11 FY22/23</w:t>
            </w:r>
          </w:p>
        </w:tc>
      </w:tr>
      <w:tr w:rsidR="0008508E" w:rsidRPr="00284376" w14:paraId="018B382D"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08508E" w:rsidRPr="00284376" w:rsidRDefault="0008508E" w:rsidP="0008508E">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2EFAAC61" w:rsidR="0008508E" w:rsidRPr="00284376" w:rsidRDefault="0008508E" w:rsidP="0008508E">
            <w:pPr>
              <w:spacing w:after="0"/>
              <w:rPr>
                <w:rFonts w:cs="Arial"/>
                <w:sz w:val="22"/>
              </w:rPr>
            </w:pPr>
            <w:r>
              <w:rPr>
                <w:rFonts w:cs="Arial"/>
                <w:sz w:val="22"/>
              </w:rPr>
              <w:t>AP01 FY23/24</w:t>
            </w:r>
          </w:p>
        </w:tc>
      </w:tr>
      <w:tr w:rsidR="0008508E" w:rsidRPr="00284376" w14:paraId="018B3830"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08508E" w:rsidRPr="00284376" w:rsidRDefault="0008508E" w:rsidP="0008508E">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25D8F8FA" w:rsidR="0008508E" w:rsidRPr="008E3B96" w:rsidRDefault="0008508E" w:rsidP="0008508E">
            <w:pPr>
              <w:spacing w:after="0"/>
              <w:rPr>
                <w:rFonts w:cs="Arial"/>
                <w:b/>
                <w:bCs/>
                <w:sz w:val="22"/>
              </w:rPr>
            </w:pPr>
            <w:r w:rsidRPr="008E3B96">
              <w:rPr>
                <w:rFonts w:cs="Arial"/>
                <w:b/>
                <w:bCs/>
                <w:sz w:val="22"/>
              </w:rPr>
              <w:t>TBC</w:t>
            </w:r>
          </w:p>
        </w:tc>
      </w:tr>
      <w:tr w:rsidR="0008508E" w:rsidRPr="00284376" w14:paraId="018B3833"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08508E" w:rsidRPr="00284376" w:rsidRDefault="0008508E" w:rsidP="0008508E">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1A8E7301" w:rsidR="0008508E" w:rsidRPr="00284376" w:rsidRDefault="0008508E" w:rsidP="0008508E">
            <w:pPr>
              <w:spacing w:after="0"/>
              <w:rPr>
                <w:rFonts w:cs="Arial"/>
                <w:sz w:val="22"/>
              </w:rPr>
            </w:pPr>
            <w:r>
              <w:rPr>
                <w:rFonts w:cs="Arial"/>
                <w:sz w:val="22"/>
              </w:rPr>
              <w:t>257</w:t>
            </w:r>
          </w:p>
        </w:tc>
      </w:tr>
      <w:tr w:rsidR="0008508E" w:rsidRPr="00284376" w14:paraId="018B3836"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08508E" w:rsidRPr="00284376" w:rsidRDefault="0008508E" w:rsidP="0008508E">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77777777" w:rsidR="0008508E" w:rsidRPr="00284376" w:rsidRDefault="0008508E" w:rsidP="0008508E">
            <w:pPr>
              <w:spacing w:after="0"/>
              <w:rPr>
                <w:rFonts w:cs="Arial"/>
                <w:sz w:val="22"/>
              </w:rPr>
            </w:pPr>
            <w:r w:rsidRPr="00284376">
              <w:rPr>
                <w:rFonts w:cs="Arial"/>
                <w:sz w:val="22"/>
              </w:rPr>
              <w:t xml:space="preserve">Please see attached Statement of Requirement </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0D618BC">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00D618BC">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1B6341D6" w:rsidR="00683350" w:rsidRPr="00284376" w:rsidRDefault="005C409F" w:rsidP="00284376">
            <w:pPr>
              <w:spacing w:after="0"/>
              <w:rPr>
                <w:rFonts w:cs="Arial"/>
                <w:sz w:val="22"/>
              </w:rPr>
            </w:pPr>
            <w:r>
              <w:rPr>
                <w:rFonts w:cs="Arial"/>
                <w:sz w:val="22"/>
              </w:rPr>
              <w:t>1</w:t>
            </w: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03371741" w:rsidR="00683350" w:rsidRPr="00284376" w:rsidRDefault="005C409F" w:rsidP="00284376">
            <w:pPr>
              <w:spacing w:after="0"/>
              <w:rPr>
                <w:rFonts w:cs="Arial"/>
                <w:sz w:val="22"/>
              </w:rPr>
            </w:pPr>
            <w:r>
              <w:rPr>
                <w:rFonts w:cs="Arial"/>
                <w:sz w:val="22"/>
              </w:rPr>
              <w:t>CORE</w:t>
            </w: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1E612D93" w:rsidR="00683350" w:rsidRPr="00F43D64" w:rsidRDefault="005C409F" w:rsidP="00F43D64">
            <w:pPr>
              <w:spacing w:after="0"/>
              <w:contextualSpacing/>
              <w:rPr>
                <w:rFonts w:cs="Arial"/>
                <w:sz w:val="22"/>
              </w:rPr>
            </w:pPr>
            <w:r>
              <w:rPr>
                <w:rFonts w:cs="Arial"/>
                <w:sz w:val="22"/>
              </w:rPr>
              <w:t>Provision of simple scenario and infrastructure data to enable military pre-planning prior to the wargame. This is to be delivered</w:t>
            </w:r>
          </w:p>
        </w:tc>
      </w:tr>
      <w:tr w:rsidR="00683350" w:rsidRPr="00284376" w14:paraId="018B3847" w14:textId="77777777" w:rsidTr="00D618BC">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49E16118" w:rsidR="00683350" w:rsidRPr="00284376" w:rsidRDefault="005C409F" w:rsidP="00284376">
            <w:pPr>
              <w:spacing w:after="0"/>
              <w:rPr>
                <w:rFonts w:cs="Arial"/>
                <w:sz w:val="22"/>
              </w:rPr>
            </w:pPr>
            <w:r>
              <w:rPr>
                <w:rFonts w:cs="Arial"/>
                <w:sz w:val="22"/>
              </w:rPr>
              <w:t>2</w:t>
            </w: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5E2CA8DC" w:rsidR="00683350" w:rsidRPr="00284376" w:rsidRDefault="005C409F" w:rsidP="00284376">
            <w:pPr>
              <w:spacing w:after="0"/>
              <w:rPr>
                <w:rFonts w:cs="Arial"/>
                <w:sz w:val="22"/>
              </w:rPr>
            </w:pPr>
            <w:r>
              <w:rPr>
                <w:rFonts w:cs="Arial"/>
                <w:sz w:val="22"/>
              </w:rPr>
              <w:t>CORE</w:t>
            </w: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0D0DAA12" w:rsidR="00683350" w:rsidRPr="0008508E" w:rsidRDefault="005C409F" w:rsidP="00284376">
            <w:pPr>
              <w:spacing w:after="0"/>
              <w:rPr>
                <w:rFonts w:cs="Arial"/>
                <w:b/>
                <w:bCs/>
                <w:sz w:val="22"/>
              </w:rPr>
            </w:pPr>
            <w:r>
              <w:rPr>
                <w:rFonts w:cs="Arial"/>
                <w:sz w:val="22"/>
              </w:rPr>
              <w:t>Delivery of a five-day wargames which enable staff to refine planning and targeting processes and then model the execution of infrastructure assessment.</w:t>
            </w:r>
            <w:r w:rsidR="0008508E">
              <w:rPr>
                <w:rFonts w:cs="Arial"/>
                <w:sz w:val="22"/>
              </w:rPr>
              <w:t xml:space="preserve"> </w:t>
            </w:r>
            <w:r w:rsidR="0008508E">
              <w:rPr>
                <w:rFonts w:cs="Arial"/>
                <w:b/>
                <w:bCs/>
                <w:sz w:val="22"/>
              </w:rPr>
              <w:t>REDACTED</w:t>
            </w:r>
          </w:p>
        </w:tc>
      </w:tr>
      <w:tr w:rsidR="003C6511" w:rsidRPr="00284376" w14:paraId="19D921FA" w14:textId="77777777" w:rsidTr="00D618BC">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6656B1F4" w:rsidR="003C6511" w:rsidRPr="00284376" w:rsidRDefault="005C409F" w:rsidP="00284376">
            <w:pPr>
              <w:spacing w:after="0"/>
              <w:rPr>
                <w:rFonts w:cs="Arial"/>
                <w:sz w:val="22"/>
              </w:rPr>
            </w:pPr>
            <w:r>
              <w:rPr>
                <w:rFonts w:cs="Arial"/>
                <w:sz w:val="22"/>
              </w:rPr>
              <w:t>3</w:t>
            </w: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4A81FD24" w:rsidR="003C6511" w:rsidRPr="00284376" w:rsidRDefault="005C409F" w:rsidP="00284376">
            <w:pPr>
              <w:spacing w:after="0"/>
              <w:rPr>
                <w:rFonts w:cs="Arial"/>
                <w:sz w:val="22"/>
              </w:rPr>
            </w:pPr>
            <w:r>
              <w:rPr>
                <w:rFonts w:cs="Arial"/>
                <w:sz w:val="22"/>
              </w:rPr>
              <w:t>CORE</w:t>
            </w: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1761B4DB" w:rsidR="003C6511" w:rsidRPr="00284376" w:rsidRDefault="005C409F" w:rsidP="00284376">
            <w:pPr>
              <w:spacing w:after="0"/>
              <w:rPr>
                <w:rFonts w:cs="Arial"/>
                <w:sz w:val="22"/>
              </w:rPr>
            </w:pPr>
            <w:r>
              <w:rPr>
                <w:rFonts w:cs="Arial"/>
                <w:sz w:val="22"/>
              </w:rPr>
              <w:t>Delivery of a report outlining areas of strength and weaknesses concept</w:t>
            </w:r>
          </w:p>
        </w:tc>
      </w:tr>
      <w:tr w:rsidR="003C6511" w:rsidRPr="00284376" w14:paraId="00902270" w14:textId="77777777" w:rsidTr="00D618BC">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3776C3D" w:rsidR="003C6511" w:rsidRPr="00284376" w:rsidRDefault="005C409F" w:rsidP="00284376">
            <w:pPr>
              <w:spacing w:after="0"/>
              <w:rPr>
                <w:rFonts w:cs="Arial"/>
                <w:sz w:val="22"/>
              </w:rPr>
            </w:pPr>
            <w:r>
              <w:rPr>
                <w:rFonts w:cs="Arial"/>
                <w:sz w:val="22"/>
              </w:rPr>
              <w:t>4</w:t>
            </w: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0A8BD48C" w:rsidR="003C6511" w:rsidRPr="00284376" w:rsidRDefault="005C409F" w:rsidP="00284376">
            <w:pPr>
              <w:spacing w:after="0"/>
              <w:rPr>
                <w:rFonts w:cs="Arial"/>
                <w:sz w:val="22"/>
              </w:rPr>
            </w:pPr>
            <w:r>
              <w:rPr>
                <w:rFonts w:cs="Arial"/>
                <w:sz w:val="22"/>
              </w:rPr>
              <w:t>CORE</w:t>
            </w: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35940699" w:rsidR="003C6511" w:rsidRPr="00284376" w:rsidRDefault="005C409F" w:rsidP="00284376">
            <w:pPr>
              <w:spacing w:after="0"/>
              <w:rPr>
                <w:rFonts w:cs="Arial"/>
                <w:sz w:val="22"/>
              </w:rPr>
            </w:pPr>
            <w:r>
              <w:rPr>
                <w:rFonts w:cs="Arial"/>
                <w:sz w:val="22"/>
              </w:rPr>
              <w:t>One, two-minute video showing the planning process elements and outputs. This is to inform generalist commanders of its utility, delivered within two weeks after wargame completion</w:t>
            </w:r>
          </w:p>
        </w:tc>
      </w:tr>
      <w:tr w:rsidR="003C6511" w:rsidRPr="00284376" w14:paraId="7B20F600" w14:textId="77777777" w:rsidTr="00D618BC">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2D149320" w:rsidR="003C6511" w:rsidRPr="00284376" w:rsidRDefault="005C409F" w:rsidP="00284376">
            <w:pPr>
              <w:spacing w:after="0"/>
              <w:rPr>
                <w:rFonts w:cs="Arial"/>
                <w:sz w:val="22"/>
              </w:rPr>
            </w:pPr>
            <w:r>
              <w:rPr>
                <w:rFonts w:cs="Arial"/>
                <w:sz w:val="22"/>
              </w:rPr>
              <w:t>5</w:t>
            </w: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44AB76AE" w:rsidR="003C6511" w:rsidRPr="00284376" w:rsidRDefault="005C409F" w:rsidP="00284376">
            <w:pPr>
              <w:spacing w:after="0"/>
              <w:rPr>
                <w:rFonts w:cs="Arial"/>
                <w:sz w:val="22"/>
              </w:rPr>
            </w:pPr>
            <w:r>
              <w:rPr>
                <w:rFonts w:cs="Arial"/>
                <w:sz w:val="22"/>
              </w:rPr>
              <w:t>CORE</w:t>
            </w: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23632A5D" w:rsidR="003C6511" w:rsidRPr="00284376" w:rsidRDefault="005C409F" w:rsidP="00284376">
            <w:pPr>
              <w:spacing w:after="0"/>
              <w:rPr>
                <w:rFonts w:cs="Arial"/>
                <w:sz w:val="22"/>
              </w:rPr>
            </w:pPr>
            <w:r>
              <w:rPr>
                <w:rFonts w:cs="Arial"/>
                <w:sz w:val="22"/>
              </w:rPr>
              <w:t>.  The exercise scenario must be released to the MOD for further planning use, although the supplier-selected simulation software/mechanism will remain the property of supplier</w:t>
            </w:r>
          </w:p>
        </w:tc>
      </w:tr>
      <w:tr w:rsidR="00683350" w:rsidRPr="00284376" w14:paraId="759CE9F6" w14:textId="77777777" w:rsidTr="00850928">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3AC1EF7B" w:rsidR="00683350" w:rsidRPr="00284376" w:rsidRDefault="005C409F"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56DE1E2D" w:rsidR="00683350" w:rsidRPr="00284376" w:rsidRDefault="00F43D64"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00850928">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46E21D6B" w:rsidR="00683350" w:rsidRPr="00284376" w:rsidRDefault="00683350" w:rsidP="00284376">
            <w:pPr>
              <w:spacing w:after="0"/>
              <w:rPr>
                <w:rFonts w:cs="Arial"/>
                <w:b/>
                <w:sz w:val="22"/>
              </w:rPr>
            </w:pPr>
            <w:r w:rsidRPr="00284376">
              <w:rPr>
                <w:rFonts w:cs="Arial"/>
                <w:b/>
                <w:sz w:val="22"/>
              </w:rPr>
              <w:t>Cyber Risk:</w:t>
            </w:r>
            <w:r w:rsidR="0079540E">
              <w:rPr>
                <w:rFonts w:cs="Arial"/>
                <w:b/>
                <w:sz w:val="22"/>
              </w:rPr>
              <w:t xml:space="preserve"> </w:t>
            </w:r>
          </w:p>
        </w:tc>
      </w:tr>
      <w:tr w:rsidR="00683350" w:rsidRPr="00284376" w14:paraId="018B386A"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77F5DC2A" w:rsidR="00683350" w:rsidRPr="00284376" w:rsidRDefault="008E3B96" w:rsidP="00284376">
            <w:pPr>
              <w:spacing w:after="0"/>
              <w:rPr>
                <w:rFonts w:cs="Arial"/>
                <w:sz w:val="22"/>
              </w:rPr>
            </w:pPr>
            <w:r w:rsidRPr="008E3B96">
              <w:rPr>
                <w:rFonts w:cs="Arial"/>
                <w:sz w:val="22"/>
              </w:rPr>
              <w:t>Very Low</w:t>
            </w:r>
            <w:r>
              <w:rPr>
                <w:rFonts w:cs="Arial"/>
                <w:sz w:val="22"/>
              </w:rPr>
              <w:t xml:space="preserve"> – Supplier to complete </w:t>
            </w:r>
            <w:hyperlink r:id="rId12" w:history="1">
              <w:r w:rsidRPr="008E3B96">
                <w:rPr>
                  <w:color w:val="0000FF"/>
                  <w:u w:val="single"/>
                </w:rPr>
                <w:t>DCPP Supplier Assurance Questionnaire (SAQ) (Page 1 of 7) (office.com)</w:t>
              </w:r>
            </w:hyperlink>
          </w:p>
        </w:tc>
      </w:tr>
      <w:tr w:rsidR="00683350" w:rsidRPr="00284376" w14:paraId="018B386D"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sdt>
            <w:sdtPr>
              <w:id w:val="240058122"/>
              <w:placeholder>
                <w:docPart w:val="CEA7DE0DE24148E8BE879D13A92EEB1E"/>
              </w:placeholder>
            </w:sdtPr>
            <w:sdtContent>
              <w:p w14:paraId="5F382F0B" w14:textId="77777777" w:rsidR="008E3B96" w:rsidRDefault="008E3B96" w:rsidP="00F43D64"/>
              <w:p w14:paraId="018B386C" w14:textId="417922C8" w:rsidR="00683350" w:rsidRPr="00B80582" w:rsidRDefault="008E3B96" w:rsidP="00F43D64">
                <w:pPr>
                  <w:rPr>
                    <w:rFonts w:eastAsia="MS Mincho"/>
                    <w:szCs w:val="24"/>
                    <w:lang w:eastAsia="en-GB"/>
                  </w:rPr>
                </w:pPr>
                <w:r w:rsidRPr="008E3B96">
                  <w:t>RAR-523828168</w:t>
                </w:r>
              </w:p>
            </w:sdtContent>
          </w:sdt>
        </w:tc>
      </w:tr>
      <w:tr w:rsidR="00683350" w:rsidRPr="00284376" w14:paraId="018B3871" w14:textId="77777777" w:rsidTr="00D618BC">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7473F9D" w:rsidR="00683350" w:rsidRPr="00284376" w:rsidRDefault="0079540E"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00284376">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00D618BC">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If you are unsure, please discuss with your IP contact, or commercial</w:t>
            </w:r>
          </w:p>
          <w:p w14:paraId="018B3877" w14:textId="03EAC0BE" w:rsidR="00850928" w:rsidRPr="00284376" w:rsidRDefault="00850928" w:rsidP="00284376">
            <w:pPr>
              <w:spacing w:after="0"/>
              <w:rPr>
                <w:rFonts w:cs="Arial"/>
                <w:sz w:val="22"/>
              </w:rPr>
            </w:pPr>
          </w:p>
        </w:tc>
      </w:tr>
      <w:tr w:rsidR="00683350" w:rsidRPr="00284376" w14:paraId="018B387E" w14:textId="77777777" w:rsidTr="00850928">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134609F1" w:rsidR="00683350" w:rsidRPr="00284376" w:rsidRDefault="0079540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00850928">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346AAAC0" w:rsidR="00683350" w:rsidRPr="00284376" w:rsidRDefault="0079540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00850928">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623AC541" w:rsidR="00683350" w:rsidRPr="00284376" w:rsidRDefault="0079540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00850928">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0"/>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4B8C393A" w:rsidR="00683350" w:rsidRPr="00284376" w:rsidRDefault="0079540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lastRenderedPageBreak/>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days’. Please specify if requesting different and discuss with commercial</w:t>
            </w:r>
          </w:p>
          <w:p w14:paraId="018B3893" w14:textId="6803F59F" w:rsidR="00850928" w:rsidRPr="00284376" w:rsidRDefault="00850928" w:rsidP="00284376">
            <w:pPr>
              <w:spacing w:after="0"/>
              <w:rPr>
                <w:rFonts w:cs="Arial"/>
                <w:sz w:val="22"/>
              </w:rPr>
            </w:pPr>
          </w:p>
        </w:tc>
      </w:tr>
      <w:tr w:rsidR="00683350" w:rsidRPr="00284376" w14:paraId="018B389A" w14:textId="77777777" w:rsidTr="00850928">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77777777" w:rsidR="00683350" w:rsidRPr="00284376" w:rsidRDefault="00683350" w:rsidP="00284376">
            <w:pPr>
              <w:spacing w:after="0"/>
              <w:jc w:val="center"/>
              <w:rPr>
                <w:rFonts w:cs="Arial"/>
                <w:sz w:val="22"/>
              </w:rPr>
            </w:pP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00850928">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77777777" w:rsidR="00683350" w:rsidRPr="00284376" w:rsidRDefault="00683350" w:rsidP="00284376">
            <w:pPr>
              <w:spacing w:after="0"/>
              <w:jc w:val="center"/>
              <w:rPr>
                <w:rFonts w:cs="Arial"/>
                <w:sz w:val="22"/>
              </w:rPr>
            </w:pP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00284376">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00D618BC">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00850928">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00850928">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00850928">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00850928">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5DFF5F80" w:rsidR="00850928" w:rsidRPr="00284376" w:rsidRDefault="00946D32"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00850928">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741FD896" w:rsidR="00850928" w:rsidRPr="00284376" w:rsidRDefault="00946D32"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00850928">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00850928">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00850928">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00850928">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5D7C39C4" w:rsidR="00850928" w:rsidRPr="00284376" w:rsidRDefault="005C409F" w:rsidP="005C409F">
            <w:pPr>
              <w:spacing w:after="0"/>
              <w:rPr>
                <w:rFonts w:cs="Arial"/>
                <w:sz w:val="22"/>
                <w:highlight w:val="yellow"/>
              </w:rPr>
            </w:pPr>
            <w:r w:rsidRPr="0079540E">
              <w:rPr>
                <w:rFonts w:cs="Arial"/>
                <w:sz w:val="22"/>
              </w:rPr>
              <w:t xml:space="preserve">The Wargame will occur at either OS depending on the scenario digital twin location and consequence of the analysis. The SOR is at OFFICAL </w:t>
            </w:r>
          </w:p>
        </w:tc>
      </w:tr>
      <w:tr w:rsidR="00850928" w:rsidRPr="00284376" w14:paraId="018B38B2" w14:textId="77777777" w:rsidTr="00D618BC">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00D618BC">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08508E" w:rsidRPr="00284376" w14:paraId="018B38B4" w14:textId="77777777" w:rsidTr="00D618BC">
        <w:trPr>
          <w:trHeight w:val="509"/>
        </w:trPr>
        <w:tc>
          <w:tcPr>
            <w:tcW w:w="10632" w:type="dxa"/>
            <w:gridSpan w:val="12"/>
            <w:tcBorders>
              <w:top w:val="nil"/>
              <w:left w:val="single" w:sz="4" w:space="0" w:color="auto"/>
              <w:bottom w:val="nil"/>
              <w:right w:val="single" w:sz="4" w:space="0" w:color="auto"/>
            </w:tcBorders>
            <w:vAlign w:val="center"/>
          </w:tcPr>
          <w:p w14:paraId="018B38B3" w14:textId="06CC1FAF" w:rsidR="0008508E" w:rsidRPr="00284376" w:rsidRDefault="0008508E" w:rsidP="0008508E">
            <w:pPr>
              <w:spacing w:after="0"/>
              <w:rPr>
                <w:rFonts w:cs="Arial"/>
                <w:sz w:val="22"/>
              </w:rPr>
            </w:pPr>
            <w:r>
              <w:rPr>
                <w:rFonts w:cs="Arial"/>
                <w:b/>
                <w:bCs/>
                <w:sz w:val="22"/>
              </w:rPr>
              <w:t>REDACTED</w:t>
            </w:r>
          </w:p>
        </w:tc>
      </w:tr>
      <w:tr w:rsidR="0008508E" w:rsidRPr="00284376" w14:paraId="018B38B7" w14:textId="77777777" w:rsidTr="00D618BC">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08508E" w:rsidRPr="00284376" w:rsidRDefault="0008508E" w:rsidP="0008508E">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77777777" w:rsidR="0008508E" w:rsidRPr="00284376" w:rsidRDefault="0008508E" w:rsidP="0008508E">
                <w:pPr>
                  <w:spacing w:after="0"/>
                  <w:jc w:val="center"/>
                  <w:rPr>
                    <w:rFonts w:cs="Arial"/>
                    <w:sz w:val="22"/>
                    <w:highlight w:val="lightGray"/>
                  </w:rPr>
                </w:pPr>
                <w:r w:rsidRPr="00284376">
                  <w:rPr>
                    <w:rFonts w:ascii="MS Gothic" w:eastAsia="MS Gothic" w:hAnsi="MS Gothic" w:cs="Arial" w:hint="eastAsia"/>
                    <w:sz w:val="22"/>
                    <w:highlight w:val="lightGray"/>
                  </w:rPr>
                  <w:t>☐</w:t>
                </w:r>
              </w:p>
            </w:tc>
          </w:sdtContent>
        </w:sdt>
      </w:tr>
      <w:tr w:rsidR="0008508E" w:rsidRPr="00284376" w14:paraId="30AFD984" w14:textId="77777777" w:rsidTr="00D618BC">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08508E" w:rsidRPr="00284376" w:rsidRDefault="0008508E" w:rsidP="0008508E">
            <w:pPr>
              <w:spacing w:after="0"/>
              <w:rPr>
                <w:rFonts w:cs="Arial"/>
                <w:b/>
                <w:sz w:val="22"/>
              </w:rPr>
            </w:pPr>
          </w:p>
        </w:tc>
      </w:tr>
      <w:tr w:rsidR="0008508E" w:rsidRPr="00284376" w14:paraId="018B38D6" w14:textId="77777777" w:rsidTr="00D618BC">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08508E" w:rsidRPr="00284376" w:rsidRDefault="0008508E" w:rsidP="0008508E">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3994" w:type="dxa"/>
            <w:gridSpan w:val="5"/>
            <w:tcBorders>
              <w:left w:val="nil"/>
              <w:right w:val="nil"/>
            </w:tcBorders>
            <w:vAlign w:val="center"/>
          </w:tcPr>
          <w:p w14:paraId="018B38DD" w14:textId="61B76782" w:rsidR="009A5036" w:rsidRPr="00284376" w:rsidRDefault="008E3B96" w:rsidP="00284376">
            <w:pPr>
              <w:spacing w:after="0"/>
              <w:rPr>
                <w:rFonts w:cs="Arial"/>
                <w:sz w:val="22"/>
              </w:rPr>
            </w:pPr>
            <w:r>
              <w:rPr>
                <w:rFonts w:cs="Arial"/>
                <w:sz w:val="22"/>
              </w:rPr>
              <w:t>Army HQ Andover</w:t>
            </w: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08508E"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62721171" w:rsidR="0008508E" w:rsidRPr="00284376" w:rsidRDefault="0008508E" w:rsidP="0008508E">
            <w:pPr>
              <w:spacing w:after="0"/>
              <w:rPr>
                <w:rFonts w:cs="Arial"/>
                <w:b/>
                <w:sz w:val="22"/>
              </w:rPr>
            </w:pPr>
            <w:r>
              <w:rPr>
                <w:rFonts w:cs="Arial"/>
                <w:b/>
                <w:bCs/>
                <w:sz w:val="22"/>
              </w:rPr>
              <w:t>REDACTED</w:t>
            </w:r>
          </w:p>
        </w:tc>
        <w:tc>
          <w:tcPr>
            <w:tcW w:w="3994" w:type="dxa"/>
            <w:gridSpan w:val="5"/>
            <w:tcBorders>
              <w:left w:val="nil"/>
              <w:right w:val="nil"/>
            </w:tcBorders>
            <w:vAlign w:val="center"/>
          </w:tcPr>
          <w:p w14:paraId="018B38E2" w14:textId="77777777" w:rsidR="0008508E" w:rsidRPr="00284376" w:rsidRDefault="0008508E" w:rsidP="0008508E">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08508E" w:rsidRPr="00284376" w:rsidRDefault="0008508E" w:rsidP="0008508E">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7EC17747" w:rsidR="0008508E" w:rsidRPr="0008508E" w:rsidRDefault="0008508E" w:rsidP="0008508E">
            <w:pPr>
              <w:spacing w:after="0"/>
              <w:rPr>
                <w:rFonts w:cs="Arial"/>
                <w:b/>
                <w:bCs/>
                <w:sz w:val="22"/>
              </w:rPr>
            </w:pPr>
            <w:r w:rsidRPr="0008508E">
              <w:rPr>
                <w:rFonts w:cs="Arial"/>
                <w:b/>
                <w:bCs/>
                <w:sz w:val="22"/>
              </w:rPr>
              <w:t>REDACTED</w:t>
            </w:r>
          </w:p>
        </w:tc>
      </w:tr>
      <w:tr w:rsidR="0008508E"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08508E" w:rsidRPr="00284376" w:rsidRDefault="0008508E" w:rsidP="0008508E">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08508E" w:rsidRPr="00284376" w:rsidRDefault="0008508E" w:rsidP="0008508E">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08508E" w:rsidRPr="00284376" w:rsidRDefault="0008508E" w:rsidP="0008508E">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2F4381AF" w:rsidR="0008508E" w:rsidRPr="0008508E" w:rsidRDefault="0008508E" w:rsidP="0008508E">
            <w:pPr>
              <w:spacing w:after="0"/>
              <w:rPr>
                <w:rFonts w:cs="Arial"/>
                <w:b/>
                <w:bCs/>
                <w:sz w:val="22"/>
              </w:rPr>
            </w:pPr>
            <w:r w:rsidRPr="0008508E">
              <w:rPr>
                <w:rFonts w:cs="Arial"/>
                <w:b/>
                <w:bCs/>
                <w:sz w:val="22"/>
              </w:rPr>
              <w:t>REDACTED</w:t>
            </w:r>
          </w:p>
        </w:tc>
      </w:tr>
      <w:tr w:rsidR="0008508E"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08508E" w:rsidRPr="00284376" w:rsidRDefault="0008508E" w:rsidP="0008508E">
            <w:pPr>
              <w:spacing w:after="0"/>
              <w:rPr>
                <w:rFonts w:cs="Arial"/>
                <w:sz w:val="22"/>
              </w:rPr>
            </w:pPr>
          </w:p>
        </w:tc>
      </w:tr>
      <w:tr w:rsidR="0008508E"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69E874DC" w:rsidR="0008508E" w:rsidRPr="00284376" w:rsidRDefault="0008508E" w:rsidP="0008508E">
            <w:pPr>
              <w:spacing w:after="0"/>
              <w:rPr>
                <w:rFonts w:cs="Arial"/>
                <w:b/>
                <w:sz w:val="22"/>
              </w:rPr>
            </w:pPr>
            <w:r w:rsidRPr="00284376">
              <w:rPr>
                <w:rFonts w:cs="Arial"/>
                <w:b/>
                <w:sz w:val="22"/>
              </w:rPr>
              <w:t xml:space="preserve">Proposal Reference </w:t>
            </w:r>
            <w:r w:rsidRPr="00E27230">
              <w:rPr>
                <w:rFonts w:cs="Arial"/>
                <w:b/>
                <w:sz w:val="22"/>
              </w:rPr>
              <w:t>AST\CMRCL\Prop\02517</w:t>
            </w:r>
            <w:r w:rsidRPr="00284376">
              <w:rPr>
                <w:rFonts w:cs="Arial"/>
                <w:b/>
                <w:sz w:val="22"/>
              </w:rPr>
              <w:t xml:space="preserve"> (attached)</w:t>
            </w:r>
          </w:p>
          <w:p w14:paraId="018B38EE" w14:textId="77777777" w:rsidR="0008508E" w:rsidRPr="00284376" w:rsidRDefault="0008508E" w:rsidP="0008508E">
            <w:pPr>
              <w:spacing w:after="0"/>
              <w:ind w:left="360"/>
              <w:rPr>
                <w:rFonts w:cs="Arial"/>
                <w:b/>
                <w:sz w:val="22"/>
              </w:rPr>
            </w:pPr>
            <w:r w:rsidRPr="00284376">
              <w:rPr>
                <w:rFonts w:cs="Arial"/>
                <w:b/>
                <w:sz w:val="22"/>
              </w:rPr>
              <w:t>The proposal shall include, but not be limited to:</w:t>
            </w:r>
          </w:p>
          <w:p w14:paraId="018B38EF" w14:textId="77777777" w:rsidR="0008508E" w:rsidRPr="00284376" w:rsidRDefault="0008508E" w:rsidP="0008508E">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08508E" w:rsidRPr="00284376" w:rsidRDefault="0008508E" w:rsidP="0008508E">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08508E" w:rsidRPr="00284376" w:rsidRDefault="0008508E" w:rsidP="0008508E">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08508E"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08508E" w:rsidRPr="00DA787E" w:rsidRDefault="0008508E" w:rsidP="0008508E">
            <w:pPr>
              <w:spacing w:after="0"/>
              <w:rPr>
                <w:rFonts w:cs="Arial"/>
                <w:b/>
                <w:sz w:val="12"/>
              </w:rPr>
            </w:pPr>
          </w:p>
        </w:tc>
      </w:tr>
      <w:tr w:rsidR="0008508E"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08508E" w:rsidRPr="00284376" w:rsidRDefault="0008508E" w:rsidP="0008508E">
            <w:pPr>
              <w:spacing w:after="0"/>
              <w:rPr>
                <w:rFonts w:cs="Arial"/>
                <w:b/>
                <w:sz w:val="22"/>
              </w:rPr>
            </w:pPr>
            <w:r w:rsidRPr="00284376">
              <w:rPr>
                <w:rFonts w:cs="Arial"/>
                <w:b/>
                <w:sz w:val="22"/>
              </w:rPr>
              <w:t>COST BREAKDOWN (to be completed by the Contractor)</w:t>
            </w:r>
          </w:p>
          <w:p w14:paraId="018B38F4" w14:textId="696247A8" w:rsidR="0008508E" w:rsidRPr="00284376" w:rsidRDefault="0008508E" w:rsidP="0008508E">
            <w:pPr>
              <w:spacing w:after="0"/>
              <w:rPr>
                <w:rFonts w:cs="Arial"/>
                <w:sz w:val="22"/>
              </w:rPr>
            </w:pPr>
            <w:r w:rsidRPr="00284376">
              <w:rPr>
                <w:rFonts w:cs="Arial"/>
                <w:sz w:val="22"/>
              </w:rPr>
              <w:t xml:space="preserve">You are to use rates that have been previously agreed within the Analysis for Science &amp; Technology Research in Defence (ASTRID) at Annex E. </w:t>
            </w:r>
          </w:p>
          <w:p w14:paraId="018B38F5" w14:textId="77777777" w:rsidR="0008508E" w:rsidRPr="00284376" w:rsidRDefault="0008508E" w:rsidP="0008508E">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08508E" w:rsidRPr="00284376" w14:paraId="018B38F8" w14:textId="77777777" w:rsidTr="00284376">
        <w:tc>
          <w:tcPr>
            <w:tcW w:w="10915" w:type="dxa"/>
            <w:gridSpan w:val="9"/>
            <w:tcBorders>
              <w:top w:val="nil"/>
              <w:left w:val="single" w:sz="4" w:space="0" w:color="auto"/>
              <w:bottom w:val="nil"/>
            </w:tcBorders>
            <w:vAlign w:val="center"/>
          </w:tcPr>
          <w:p w14:paraId="018B38F7" w14:textId="57A07FB2" w:rsidR="0008508E" w:rsidRPr="00284376" w:rsidRDefault="0008508E" w:rsidP="0008508E">
            <w:pPr>
              <w:spacing w:after="0"/>
              <w:rPr>
                <w:rFonts w:cs="Arial"/>
                <w:sz w:val="22"/>
              </w:rPr>
            </w:pPr>
            <w:r w:rsidRPr="00284376">
              <w:rPr>
                <w:rFonts w:cs="Arial"/>
                <w:sz w:val="22"/>
              </w:rPr>
              <w:t xml:space="preserve">Price quotation of </w:t>
            </w:r>
            <w:r w:rsidRPr="00596A54">
              <w:rPr>
                <w:rFonts w:cs="Arial"/>
                <w:b/>
                <w:sz w:val="22"/>
              </w:rPr>
              <w:t xml:space="preserve">£165,345.78 </w:t>
            </w:r>
            <w:r w:rsidRPr="00284376">
              <w:rPr>
                <w:rFonts w:cs="Arial"/>
                <w:sz w:val="22"/>
              </w:rPr>
              <w:t xml:space="preserve">(ex VAT) is submitted for </w:t>
            </w:r>
            <w:r w:rsidRPr="0063560B">
              <w:rPr>
                <w:rFonts w:cs="Arial"/>
                <w:b/>
                <w:sz w:val="22"/>
              </w:rPr>
              <w:t>ASTRID Task 257</w:t>
            </w:r>
            <w:r>
              <w:rPr>
                <w:rFonts w:cs="Arial"/>
                <w:b/>
                <w:sz w:val="22"/>
              </w:rPr>
              <w:t xml:space="preserve"> -</w:t>
            </w:r>
            <w:r w:rsidRPr="0063560B">
              <w:rPr>
                <w:rFonts w:cs="Arial"/>
                <w:b/>
                <w:sz w:val="22"/>
              </w:rPr>
              <w:t xml:space="preserve"> </w:t>
            </w:r>
            <w:r w:rsidRPr="0063560B">
              <w:rPr>
                <w:b/>
                <w:noProof/>
                <w:sz w:val="22"/>
              </w:rPr>
              <w:t>Infrastructure Systems Assessment and Targeting Wargames</w:t>
            </w:r>
            <w:r w:rsidRPr="0063560B">
              <w:rPr>
                <w:rFonts w:cs="Arial"/>
                <w:sz w:val="24"/>
              </w:rPr>
              <w:t xml:space="preserve"> </w:t>
            </w:r>
            <w:r w:rsidRPr="00284376">
              <w:rPr>
                <w:rFonts w:cs="Arial"/>
                <w:sz w:val="22"/>
              </w:rPr>
              <w:t>and breakdown attached</w:t>
            </w:r>
          </w:p>
        </w:tc>
      </w:tr>
      <w:tr w:rsidR="0008508E"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08508E" w:rsidRPr="00284376" w:rsidRDefault="0008508E" w:rsidP="0008508E">
            <w:pPr>
              <w:spacing w:after="0"/>
              <w:rPr>
                <w:rFonts w:cs="Arial"/>
                <w:sz w:val="22"/>
              </w:rPr>
            </w:pPr>
            <w:r w:rsidRPr="00284376">
              <w:rPr>
                <w:rFonts w:cs="Arial"/>
                <w:sz w:val="22"/>
              </w:rPr>
              <w:t>Ascertained Price</w:t>
            </w:r>
          </w:p>
        </w:tc>
        <w:sdt>
          <w:sdtPr>
            <w:rPr>
              <w:rFonts w:cs="Arial"/>
              <w:sz w:val="22"/>
            </w:rPr>
            <w:id w:val="-1806616713"/>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77777777" w:rsidR="0008508E" w:rsidRPr="00284376" w:rsidRDefault="0008508E" w:rsidP="0008508E">
                <w:pPr>
                  <w:spacing w:after="0"/>
                  <w:rPr>
                    <w:rFonts w:cs="Arial"/>
                    <w:sz w:val="22"/>
                  </w:rPr>
                </w:pPr>
                <w:r w:rsidRPr="00284376">
                  <w:rPr>
                    <w:rFonts w:ascii="MS Gothic" w:eastAsia="MS Gothic" w:hAnsi="MS Gothic" w:cs="Arial" w:hint="eastAsia"/>
                    <w:sz w:val="22"/>
                  </w:rPr>
                  <w:t>☐</w:t>
                </w:r>
              </w:p>
            </w:tc>
          </w:sdtContent>
        </w:sdt>
      </w:tr>
      <w:tr w:rsidR="0008508E"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08508E" w:rsidRPr="00284376" w:rsidRDefault="0008508E" w:rsidP="0008508E">
            <w:pPr>
              <w:spacing w:after="0"/>
              <w:rPr>
                <w:rFonts w:cs="Arial"/>
                <w:sz w:val="22"/>
              </w:rPr>
            </w:pPr>
            <w:r w:rsidRPr="00284376">
              <w:rPr>
                <w:rFonts w:cs="Arial"/>
                <w:sz w:val="22"/>
              </w:rPr>
              <w:t>Firm Price</w:t>
            </w:r>
          </w:p>
        </w:tc>
        <w:sdt>
          <w:sdtPr>
            <w:rPr>
              <w:rFonts w:cs="Arial"/>
              <w:sz w:val="22"/>
            </w:rPr>
            <w:id w:val="765353236"/>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167CA1E2" w:rsidR="0008508E" w:rsidRPr="00284376" w:rsidRDefault="0008508E" w:rsidP="0008508E">
                <w:pPr>
                  <w:spacing w:after="0"/>
                  <w:rPr>
                    <w:rFonts w:cs="Arial"/>
                    <w:sz w:val="22"/>
                  </w:rPr>
                </w:pPr>
                <w:r>
                  <w:rPr>
                    <w:rFonts w:ascii="MS Gothic" w:eastAsia="MS Gothic" w:hAnsi="MS Gothic" w:cs="Arial" w:hint="eastAsia"/>
                    <w:sz w:val="22"/>
                  </w:rPr>
                  <w:t>☒</w:t>
                </w:r>
              </w:p>
            </w:tc>
          </w:sdtContent>
        </w:sdt>
      </w:tr>
      <w:tr w:rsidR="0008508E"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08508E" w:rsidRPr="00284376" w:rsidRDefault="0008508E" w:rsidP="0008508E">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08508E" w:rsidRPr="00284376" w:rsidRDefault="0008508E" w:rsidP="0008508E">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08508E" w:rsidRPr="00284376" w:rsidRDefault="0008508E" w:rsidP="0008508E">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08508E"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08508E" w:rsidRPr="00E27230" w:rsidRDefault="0008508E" w:rsidP="0008508E">
            <w:pPr>
              <w:spacing w:after="0"/>
              <w:rPr>
                <w:rFonts w:cs="Arial"/>
                <w:b/>
                <w:sz w:val="12"/>
              </w:rPr>
            </w:pPr>
          </w:p>
        </w:tc>
      </w:tr>
      <w:tr w:rsidR="0008508E" w:rsidRPr="00284376" w14:paraId="018B3904" w14:textId="77777777" w:rsidTr="00DA787E">
        <w:trPr>
          <w:trHeight w:val="3258"/>
        </w:trPr>
        <w:tc>
          <w:tcPr>
            <w:tcW w:w="10915" w:type="dxa"/>
            <w:gridSpan w:val="9"/>
            <w:tcBorders>
              <w:top w:val="nil"/>
              <w:left w:val="single" w:sz="4" w:space="0" w:color="auto"/>
            </w:tcBorders>
          </w:tcPr>
          <w:p w14:paraId="290D40DE" w14:textId="77777777" w:rsidR="0008508E" w:rsidRPr="00E27230" w:rsidRDefault="0008508E" w:rsidP="0008508E">
            <w:pPr>
              <w:spacing w:after="0"/>
              <w:rPr>
                <w:rFonts w:cs="Arial"/>
                <w:b/>
                <w:sz w:val="22"/>
              </w:rPr>
            </w:pPr>
            <w:r w:rsidRPr="00E27230">
              <w:rPr>
                <w:rFonts w:cs="Arial"/>
                <w:b/>
                <w:sz w:val="22"/>
              </w:rPr>
              <w:t xml:space="preserve">VALUE FOR MONEY EVIDENCE - KPI 1 (to be completed by the Contractor) </w:t>
            </w:r>
            <w:r w:rsidRPr="00E27230">
              <w:rPr>
                <w:rFonts w:cs="Arial"/>
                <w:b/>
                <w:sz w:val="22"/>
              </w:rPr>
              <w:br/>
            </w:r>
          </w:p>
          <w:p w14:paraId="0CC1C760" w14:textId="447E90FC" w:rsidR="0008508E" w:rsidRPr="00E27230" w:rsidRDefault="0008508E" w:rsidP="0008508E">
            <w:pPr>
              <w:spacing w:after="0"/>
              <w:rPr>
                <w:rFonts w:cs="Arial"/>
                <w:sz w:val="22"/>
              </w:rPr>
            </w:pPr>
            <w:r w:rsidRPr="0008508E">
              <w:rPr>
                <w:rFonts w:cs="Arial"/>
                <w:b/>
                <w:bCs/>
                <w:sz w:val="22"/>
              </w:rPr>
              <w:t>REDACTED</w:t>
            </w:r>
            <w:r w:rsidRPr="00E27230">
              <w:rPr>
                <w:rFonts w:cs="Arial"/>
                <w:sz w:val="22"/>
              </w:rPr>
              <w:t xml:space="preserve">. </w:t>
            </w:r>
          </w:p>
          <w:p w14:paraId="010A6733" w14:textId="77777777" w:rsidR="0008508E" w:rsidRPr="00E27230" w:rsidRDefault="0008508E" w:rsidP="0008508E">
            <w:pPr>
              <w:spacing w:after="0"/>
              <w:rPr>
                <w:rFonts w:cs="Arial"/>
                <w:sz w:val="22"/>
              </w:rPr>
            </w:pPr>
          </w:p>
          <w:p w14:paraId="6D3DD2E1" w14:textId="77777777" w:rsidR="0008508E" w:rsidRPr="00E27230" w:rsidRDefault="0008508E" w:rsidP="0008508E">
            <w:pPr>
              <w:spacing w:after="0"/>
              <w:rPr>
                <w:rFonts w:cs="Arial"/>
                <w:sz w:val="22"/>
              </w:rPr>
            </w:pPr>
          </w:p>
          <w:p w14:paraId="018B3903" w14:textId="56B9981C" w:rsidR="0008508E" w:rsidRPr="00E27230" w:rsidRDefault="0008508E" w:rsidP="0008508E">
            <w:pPr>
              <w:spacing w:after="0"/>
              <w:rPr>
                <w:rFonts w:cs="Arial"/>
                <w:sz w:val="22"/>
              </w:rPr>
            </w:pPr>
          </w:p>
        </w:tc>
      </w:tr>
      <w:tr w:rsidR="0008508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08508E" w:rsidRPr="00284376" w:rsidRDefault="0008508E" w:rsidP="0008508E">
            <w:pPr>
              <w:spacing w:after="0"/>
              <w:rPr>
                <w:rFonts w:cs="Arial"/>
                <w:sz w:val="22"/>
              </w:rPr>
            </w:pPr>
            <w:r w:rsidRPr="00284376">
              <w:rPr>
                <w:rFonts w:cs="Arial"/>
                <w:sz w:val="22"/>
              </w:rPr>
              <w:t>Start date:</w:t>
            </w:r>
          </w:p>
        </w:tc>
        <w:tc>
          <w:tcPr>
            <w:tcW w:w="3255" w:type="dxa"/>
            <w:gridSpan w:val="3"/>
            <w:tcBorders>
              <w:top w:val="single" w:sz="4" w:space="0" w:color="auto"/>
              <w:left w:val="single" w:sz="4" w:space="0" w:color="auto"/>
              <w:bottom w:val="single" w:sz="4" w:space="0" w:color="auto"/>
            </w:tcBorders>
            <w:vAlign w:val="center"/>
          </w:tcPr>
          <w:p w14:paraId="018B3906" w14:textId="5DC86D9F" w:rsidR="0008508E" w:rsidRPr="00284376" w:rsidRDefault="0008508E" w:rsidP="0008508E">
            <w:pPr>
              <w:spacing w:after="0"/>
              <w:rPr>
                <w:rFonts w:cs="Arial"/>
                <w:sz w:val="22"/>
              </w:rPr>
            </w:pPr>
            <w:r>
              <w:rPr>
                <w:rFonts w:cs="Arial"/>
                <w:sz w:val="22"/>
              </w:rPr>
              <w:t>T0 (assumed 17</w:t>
            </w:r>
            <w:r w:rsidRPr="0063560B">
              <w:rPr>
                <w:rFonts w:cs="Arial"/>
                <w:sz w:val="22"/>
                <w:vertAlign w:val="superscript"/>
              </w:rPr>
              <w:t>th</w:t>
            </w:r>
            <w:r>
              <w:rPr>
                <w:rFonts w:cs="Arial"/>
                <w:sz w:val="22"/>
              </w:rPr>
              <w:t xml:space="preserve"> February 2023)</w:t>
            </w:r>
          </w:p>
        </w:tc>
        <w:tc>
          <w:tcPr>
            <w:tcW w:w="1429" w:type="dxa"/>
            <w:gridSpan w:val="3"/>
            <w:tcBorders>
              <w:top w:val="single" w:sz="4" w:space="0" w:color="auto"/>
              <w:left w:val="single" w:sz="4" w:space="0" w:color="auto"/>
              <w:bottom w:val="single" w:sz="4" w:space="0" w:color="auto"/>
            </w:tcBorders>
            <w:vAlign w:val="center"/>
          </w:tcPr>
          <w:p w14:paraId="018B3907" w14:textId="77777777" w:rsidR="0008508E" w:rsidRPr="00284376" w:rsidRDefault="0008508E" w:rsidP="0008508E">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1F2BF72B" w:rsidR="0008508E" w:rsidRPr="00284376" w:rsidRDefault="0008508E" w:rsidP="0008508E">
            <w:pPr>
              <w:spacing w:after="0"/>
              <w:rPr>
                <w:rFonts w:cs="Arial"/>
                <w:sz w:val="22"/>
              </w:rPr>
            </w:pPr>
            <w:r>
              <w:rPr>
                <w:rFonts w:cs="Arial"/>
                <w:sz w:val="22"/>
              </w:rPr>
              <w:t>T0 + 12 weeks</w:t>
            </w:r>
          </w:p>
        </w:tc>
      </w:tr>
      <w:tr w:rsidR="0008508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6D224EEA" w:rsidR="0008508E" w:rsidRPr="00284376" w:rsidRDefault="00750918" w:rsidP="0008508E">
            <w:pPr>
              <w:spacing w:after="0"/>
              <w:rPr>
                <w:rFonts w:cs="Arial"/>
                <w:sz w:val="22"/>
              </w:rPr>
            </w:pPr>
            <w:r w:rsidRPr="0008508E">
              <w:rPr>
                <w:rFonts w:cs="Arial"/>
                <w:b/>
                <w:bCs/>
                <w:sz w:val="22"/>
              </w:rPr>
              <w:t>REDACTED</w:t>
            </w:r>
          </w:p>
        </w:tc>
      </w:tr>
      <w:tr w:rsidR="0008508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1D7FE" w:rsidR="0008508E" w:rsidRPr="00284376" w:rsidRDefault="0008508E" w:rsidP="0008508E">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534B97BA" w:rsidR="0008508E" w:rsidRPr="00284376" w:rsidRDefault="00750918" w:rsidP="0008508E">
            <w:pPr>
              <w:spacing w:after="0"/>
              <w:rPr>
                <w:rFonts w:cs="Arial"/>
                <w:sz w:val="22"/>
              </w:rPr>
            </w:pPr>
            <w:r w:rsidRPr="0008508E">
              <w:rPr>
                <w:rFonts w:cs="Arial"/>
                <w:b/>
                <w:bCs/>
                <w:sz w:val="22"/>
              </w:rPr>
              <w:t>REDACTED</w:t>
            </w:r>
          </w:p>
        </w:tc>
        <w:tc>
          <w:tcPr>
            <w:tcW w:w="1429" w:type="dxa"/>
            <w:gridSpan w:val="3"/>
            <w:tcBorders>
              <w:top w:val="single" w:sz="4" w:space="0" w:color="auto"/>
              <w:left w:val="single" w:sz="4" w:space="0" w:color="auto"/>
              <w:bottom w:val="single" w:sz="4" w:space="0" w:color="auto"/>
            </w:tcBorders>
            <w:vAlign w:val="center"/>
          </w:tcPr>
          <w:p w14:paraId="018B390F" w14:textId="77777777" w:rsidR="0008508E" w:rsidRPr="00284376" w:rsidRDefault="0008508E" w:rsidP="0008508E">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09CC7AD4" w:rsidR="0008508E" w:rsidRPr="00284376" w:rsidRDefault="0008508E" w:rsidP="0008508E">
            <w:pPr>
              <w:spacing w:after="0"/>
              <w:rPr>
                <w:rFonts w:cs="Arial"/>
                <w:sz w:val="22"/>
              </w:rPr>
            </w:pPr>
            <w:r>
              <w:rPr>
                <w:rFonts w:cs="Arial"/>
                <w:sz w:val="22"/>
              </w:rPr>
              <w:t>10/02/2023</w:t>
            </w:r>
          </w:p>
        </w:tc>
      </w:tr>
    </w:tbl>
    <w:tbl>
      <w:tblPr>
        <w:tblStyle w:val="TableGrid"/>
        <w:tblW w:w="10637" w:type="dxa"/>
        <w:tblInd w:w="-459" w:type="dxa"/>
        <w:tblLook w:val="04A0" w:firstRow="1" w:lastRow="0" w:firstColumn="1" w:lastColumn="0" w:noHBand="0" w:noVBand="1"/>
      </w:tblPr>
      <w:tblGrid>
        <w:gridCol w:w="3951"/>
        <w:gridCol w:w="1440"/>
        <w:gridCol w:w="1439"/>
        <w:gridCol w:w="1503"/>
        <w:gridCol w:w="2304"/>
      </w:tblGrid>
      <w:tr w:rsidR="0084508C" w:rsidRPr="00284376" w14:paraId="018B3914" w14:textId="77777777" w:rsidTr="0063560B">
        <w:trPr>
          <w:trHeight w:val="525"/>
        </w:trPr>
        <w:tc>
          <w:tcPr>
            <w:tcW w:w="10637" w:type="dxa"/>
            <w:gridSpan w:val="5"/>
            <w:tcBorders>
              <w:top w:val="nil"/>
              <w:left w:val="nil"/>
              <w:bottom w:val="nil"/>
              <w:right w:val="nil"/>
            </w:tcBorders>
            <w:vAlign w:val="center"/>
            <w:hideMark/>
          </w:tcPr>
          <w:p w14:paraId="02207CB6" w14:textId="77777777" w:rsidR="0063560B" w:rsidRDefault="0063560B" w:rsidP="00284376">
            <w:pPr>
              <w:spacing w:after="0"/>
              <w:jc w:val="right"/>
              <w:rPr>
                <w:rFonts w:cs="Arial"/>
                <w:b/>
                <w:sz w:val="22"/>
              </w:rPr>
            </w:pPr>
          </w:p>
          <w:p w14:paraId="459C4C0F" w14:textId="77777777" w:rsidR="0063560B" w:rsidRDefault="0063560B" w:rsidP="00284376">
            <w:pPr>
              <w:spacing w:after="0"/>
              <w:jc w:val="right"/>
              <w:rPr>
                <w:rFonts w:cs="Arial"/>
                <w:b/>
                <w:sz w:val="22"/>
              </w:rPr>
            </w:pPr>
          </w:p>
          <w:p w14:paraId="6CE42C24" w14:textId="77777777" w:rsidR="0063560B" w:rsidRDefault="0063560B" w:rsidP="00284376">
            <w:pPr>
              <w:spacing w:after="0"/>
              <w:jc w:val="right"/>
              <w:rPr>
                <w:rFonts w:cs="Arial"/>
                <w:b/>
                <w:sz w:val="22"/>
              </w:rPr>
            </w:pPr>
          </w:p>
          <w:p w14:paraId="6E705210" w14:textId="77777777" w:rsidR="0063560B" w:rsidRDefault="0063560B" w:rsidP="00284376">
            <w:pPr>
              <w:spacing w:after="0"/>
              <w:jc w:val="right"/>
              <w:rPr>
                <w:rFonts w:cs="Arial"/>
                <w:b/>
                <w:sz w:val="22"/>
              </w:rPr>
            </w:pPr>
          </w:p>
          <w:p w14:paraId="07815247" w14:textId="77777777" w:rsidR="0063560B" w:rsidRDefault="0063560B" w:rsidP="00284376">
            <w:pPr>
              <w:spacing w:after="0"/>
              <w:jc w:val="right"/>
              <w:rPr>
                <w:rFonts w:cs="Arial"/>
                <w:b/>
                <w:sz w:val="22"/>
              </w:rPr>
            </w:pPr>
          </w:p>
          <w:p w14:paraId="76CE3761" w14:textId="77777777" w:rsidR="0063560B" w:rsidRDefault="0063560B" w:rsidP="00284376">
            <w:pPr>
              <w:spacing w:after="0"/>
              <w:jc w:val="right"/>
              <w:rPr>
                <w:rFonts w:cs="Arial"/>
                <w:b/>
                <w:sz w:val="22"/>
              </w:rPr>
            </w:pPr>
          </w:p>
          <w:p w14:paraId="1A579075" w14:textId="77777777" w:rsidR="0063560B" w:rsidRDefault="0063560B" w:rsidP="00284376">
            <w:pPr>
              <w:spacing w:after="0"/>
              <w:jc w:val="right"/>
              <w:rPr>
                <w:rFonts w:cs="Arial"/>
                <w:b/>
                <w:sz w:val="22"/>
              </w:rPr>
            </w:pPr>
          </w:p>
          <w:p w14:paraId="388C7080" w14:textId="77777777" w:rsidR="0063560B" w:rsidRDefault="0063560B" w:rsidP="00284376">
            <w:pPr>
              <w:spacing w:after="0"/>
              <w:jc w:val="right"/>
              <w:rPr>
                <w:rFonts w:cs="Arial"/>
                <w:b/>
                <w:sz w:val="22"/>
              </w:rPr>
            </w:pPr>
          </w:p>
          <w:p w14:paraId="59992D87" w14:textId="77777777" w:rsidR="0063560B" w:rsidRDefault="0063560B" w:rsidP="00284376">
            <w:pPr>
              <w:spacing w:after="0"/>
              <w:jc w:val="right"/>
              <w:rPr>
                <w:rFonts w:cs="Arial"/>
                <w:b/>
                <w:sz w:val="22"/>
              </w:rPr>
            </w:pPr>
          </w:p>
          <w:p w14:paraId="663D1402" w14:textId="77777777" w:rsidR="0063560B" w:rsidRDefault="0063560B" w:rsidP="00284376">
            <w:pPr>
              <w:spacing w:after="0"/>
              <w:jc w:val="right"/>
              <w:rPr>
                <w:rFonts w:cs="Arial"/>
                <w:b/>
                <w:sz w:val="22"/>
              </w:rPr>
            </w:pPr>
          </w:p>
          <w:p w14:paraId="2D31C3BF" w14:textId="77777777" w:rsidR="0063560B" w:rsidRDefault="0063560B" w:rsidP="00284376">
            <w:pPr>
              <w:spacing w:after="0"/>
              <w:jc w:val="right"/>
              <w:rPr>
                <w:rFonts w:cs="Arial"/>
                <w:b/>
                <w:sz w:val="22"/>
              </w:rPr>
            </w:pPr>
          </w:p>
          <w:p w14:paraId="526E490F" w14:textId="77777777" w:rsidR="0063560B" w:rsidRDefault="0063560B" w:rsidP="00284376">
            <w:pPr>
              <w:spacing w:after="0"/>
              <w:jc w:val="right"/>
              <w:rPr>
                <w:rFonts w:cs="Arial"/>
                <w:b/>
                <w:sz w:val="22"/>
              </w:rPr>
            </w:pPr>
          </w:p>
          <w:p w14:paraId="49618792" w14:textId="77777777" w:rsidR="0063560B" w:rsidRDefault="0063560B" w:rsidP="00284376">
            <w:pPr>
              <w:spacing w:after="0"/>
              <w:jc w:val="right"/>
              <w:rPr>
                <w:rFonts w:cs="Arial"/>
                <w:b/>
                <w:sz w:val="22"/>
              </w:rPr>
            </w:pPr>
          </w:p>
          <w:p w14:paraId="76BA0DFE" w14:textId="77777777" w:rsidR="0063560B" w:rsidRDefault="0063560B" w:rsidP="00284376">
            <w:pPr>
              <w:spacing w:after="0"/>
              <w:jc w:val="right"/>
              <w:rPr>
                <w:rFonts w:cs="Arial"/>
                <w:b/>
                <w:sz w:val="22"/>
              </w:rPr>
            </w:pPr>
          </w:p>
          <w:p w14:paraId="55DBF489" w14:textId="77777777" w:rsidR="0063560B" w:rsidRDefault="0063560B" w:rsidP="00284376">
            <w:pPr>
              <w:spacing w:after="0"/>
              <w:jc w:val="right"/>
              <w:rPr>
                <w:rFonts w:cs="Arial"/>
                <w:b/>
                <w:sz w:val="22"/>
              </w:rPr>
            </w:pPr>
          </w:p>
          <w:p w14:paraId="4383E337" w14:textId="77777777" w:rsidR="0063560B" w:rsidRDefault="0063560B" w:rsidP="00284376">
            <w:pPr>
              <w:spacing w:after="0"/>
              <w:jc w:val="right"/>
              <w:rPr>
                <w:rFonts w:cs="Arial"/>
                <w:b/>
                <w:sz w:val="22"/>
              </w:rPr>
            </w:pPr>
          </w:p>
          <w:p w14:paraId="50B767B8" w14:textId="77777777" w:rsidR="0063560B" w:rsidRDefault="0063560B" w:rsidP="00284376">
            <w:pPr>
              <w:spacing w:after="0"/>
              <w:jc w:val="right"/>
              <w:rPr>
                <w:rFonts w:cs="Arial"/>
                <w:b/>
                <w:sz w:val="22"/>
              </w:rPr>
            </w:pPr>
          </w:p>
          <w:p w14:paraId="1B67498A" w14:textId="77777777" w:rsidR="0063560B" w:rsidRDefault="0063560B" w:rsidP="00284376">
            <w:pPr>
              <w:spacing w:after="0"/>
              <w:jc w:val="right"/>
              <w:rPr>
                <w:rFonts w:cs="Arial"/>
                <w:b/>
                <w:sz w:val="22"/>
              </w:rPr>
            </w:pPr>
          </w:p>
          <w:p w14:paraId="2776B709" w14:textId="77777777" w:rsidR="0063560B" w:rsidRDefault="0063560B" w:rsidP="00284376">
            <w:pPr>
              <w:spacing w:after="0"/>
              <w:jc w:val="right"/>
              <w:rPr>
                <w:rFonts w:cs="Arial"/>
                <w:b/>
                <w:sz w:val="22"/>
              </w:rPr>
            </w:pPr>
          </w:p>
          <w:p w14:paraId="30D22B3F" w14:textId="77777777" w:rsidR="0063560B" w:rsidRDefault="0063560B" w:rsidP="00284376">
            <w:pPr>
              <w:spacing w:after="0"/>
              <w:jc w:val="right"/>
              <w:rPr>
                <w:rFonts w:cs="Arial"/>
                <w:b/>
                <w:sz w:val="22"/>
              </w:rPr>
            </w:pPr>
          </w:p>
          <w:p w14:paraId="3992CAA7" w14:textId="77777777" w:rsidR="0063560B" w:rsidRDefault="0063560B" w:rsidP="0063560B">
            <w:pPr>
              <w:spacing w:after="0"/>
              <w:rPr>
                <w:rFonts w:cs="Arial"/>
                <w:b/>
                <w:sz w:val="22"/>
              </w:rPr>
            </w:pPr>
          </w:p>
          <w:p w14:paraId="018B3913" w14:textId="195DABC1" w:rsidR="0084508C" w:rsidRPr="00284376" w:rsidRDefault="0084508C" w:rsidP="0063560B">
            <w:pPr>
              <w:spacing w:after="0"/>
              <w:rPr>
                <w:rFonts w:cs="Arial"/>
                <w:b/>
                <w:sz w:val="22"/>
              </w:rPr>
            </w:pPr>
            <w:r w:rsidRPr="00284376">
              <w:rPr>
                <w:rFonts w:cs="Arial"/>
                <w:b/>
                <w:sz w:val="22"/>
              </w:rPr>
              <w:t>Contractor’s Cost Breakdown</w:t>
            </w:r>
          </w:p>
        </w:tc>
      </w:tr>
      <w:tr w:rsidR="0084508C" w:rsidRPr="00284376" w14:paraId="018B3916" w14:textId="77777777" w:rsidTr="0063560B">
        <w:trPr>
          <w:trHeight w:val="420"/>
        </w:trPr>
        <w:tc>
          <w:tcPr>
            <w:tcW w:w="10637" w:type="dxa"/>
            <w:gridSpan w:val="5"/>
            <w:tcBorders>
              <w:top w:val="single" w:sz="4" w:space="0" w:color="auto"/>
              <w:left w:val="single" w:sz="4" w:space="0" w:color="auto"/>
              <w:bottom w:val="single" w:sz="4" w:space="0" w:color="auto"/>
              <w:right w:val="single" w:sz="4" w:space="0" w:color="auto"/>
            </w:tcBorders>
            <w:vAlign w:val="center"/>
          </w:tcPr>
          <w:p w14:paraId="018B3915" w14:textId="5285B98E"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r w:rsidR="00750918">
              <w:rPr>
                <w:rFonts w:cs="Arial"/>
                <w:b/>
                <w:sz w:val="22"/>
              </w:rPr>
              <w:t xml:space="preserve">  </w:t>
            </w:r>
            <w:r w:rsidR="00750918" w:rsidRPr="0008508E">
              <w:rPr>
                <w:rFonts w:cs="Arial"/>
                <w:b/>
                <w:bCs/>
                <w:sz w:val="22"/>
              </w:rPr>
              <w:t>REDACTED</w:t>
            </w:r>
          </w:p>
        </w:tc>
      </w:tr>
      <w:tr w:rsidR="0084508C" w:rsidRPr="00284376" w14:paraId="018B391C" w14:textId="77777777" w:rsidTr="00750918">
        <w:tc>
          <w:tcPr>
            <w:tcW w:w="3951"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304"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84508C" w:rsidRPr="00284376" w14:paraId="018B3945" w14:textId="77777777" w:rsidTr="0063560B">
        <w:trPr>
          <w:trHeight w:val="373"/>
        </w:trPr>
        <w:tc>
          <w:tcPr>
            <w:tcW w:w="10637"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15BEF67" w:rsidR="0084508C" w:rsidRPr="00284376" w:rsidRDefault="0084508C" w:rsidP="00284376">
            <w:pPr>
              <w:spacing w:after="0"/>
              <w:rPr>
                <w:rFonts w:cs="Arial"/>
                <w:b/>
                <w:sz w:val="22"/>
              </w:rPr>
            </w:pPr>
            <w:r w:rsidRPr="00284376">
              <w:rPr>
                <w:rFonts w:cs="Arial"/>
                <w:b/>
                <w:sz w:val="22"/>
              </w:rPr>
              <w:t>PROVISION FROM SUBCONTRACTORS:</w:t>
            </w:r>
            <w:r w:rsidR="00750918">
              <w:rPr>
                <w:rFonts w:cs="Arial"/>
                <w:b/>
                <w:sz w:val="22"/>
              </w:rPr>
              <w:t xml:space="preserve"> </w:t>
            </w:r>
            <w:r w:rsidR="00750918" w:rsidRPr="0008508E">
              <w:rPr>
                <w:rFonts w:cs="Arial"/>
                <w:b/>
                <w:bCs/>
                <w:sz w:val="22"/>
              </w:rPr>
              <w:t>REDACTED</w:t>
            </w:r>
          </w:p>
        </w:tc>
      </w:tr>
      <w:tr w:rsidR="0084508C" w:rsidRPr="00284376" w14:paraId="018B394B" w14:textId="77777777" w:rsidTr="00750918">
        <w:tc>
          <w:tcPr>
            <w:tcW w:w="3951"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3"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304"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bl>
    <w:tbl>
      <w:tblPr>
        <w:tblStyle w:val="TableGrid"/>
        <w:tblpPr w:leftFromText="180" w:rightFromText="180" w:vertAnchor="text" w:horzAnchor="margin" w:tblpXSpec="center" w:tblpY="474"/>
        <w:tblW w:w="10632" w:type="dxa"/>
        <w:tblInd w:w="0" w:type="dxa"/>
        <w:tblLayout w:type="fixed"/>
        <w:tblLook w:val="04A0" w:firstRow="1" w:lastRow="0" w:firstColumn="1" w:lastColumn="0" w:noHBand="0" w:noVBand="1"/>
      </w:tblPr>
      <w:tblGrid>
        <w:gridCol w:w="1305"/>
        <w:gridCol w:w="2927"/>
        <w:gridCol w:w="1751"/>
        <w:gridCol w:w="1672"/>
        <w:gridCol w:w="1417"/>
        <w:gridCol w:w="1560"/>
      </w:tblGrid>
      <w:tr w:rsidR="00E27230" w:rsidRPr="00284376" w14:paraId="49A8EC21" w14:textId="77777777" w:rsidTr="00E27230">
        <w:trPr>
          <w:trHeight w:val="514"/>
        </w:trPr>
        <w:tc>
          <w:tcPr>
            <w:tcW w:w="10632" w:type="dxa"/>
            <w:gridSpan w:val="6"/>
            <w:vAlign w:val="center"/>
          </w:tcPr>
          <w:p w14:paraId="2CCCD8E1" w14:textId="77777777" w:rsidR="00E27230" w:rsidRPr="00284376" w:rsidRDefault="00E27230" w:rsidP="00E27230">
            <w:pPr>
              <w:autoSpaceDE w:val="0"/>
              <w:autoSpaceDN w:val="0"/>
              <w:adjustRightInd w:val="0"/>
              <w:spacing w:after="0"/>
              <w:jc w:val="right"/>
              <w:rPr>
                <w:rFonts w:cs="Arial"/>
                <w:b/>
                <w:sz w:val="22"/>
              </w:rPr>
            </w:pPr>
            <w:r w:rsidRPr="00284376">
              <w:rPr>
                <w:rFonts w:cs="Arial"/>
                <w:b/>
                <w:sz w:val="22"/>
              </w:rPr>
              <w:t>Milestones Deliverables and Payments</w:t>
            </w:r>
          </w:p>
        </w:tc>
      </w:tr>
      <w:tr w:rsidR="00E27230" w:rsidRPr="00284376" w14:paraId="06934B50" w14:textId="77777777" w:rsidTr="00750918">
        <w:trPr>
          <w:trHeight w:val="844"/>
        </w:trPr>
        <w:tc>
          <w:tcPr>
            <w:tcW w:w="1305" w:type="dxa"/>
            <w:vAlign w:val="center"/>
          </w:tcPr>
          <w:p w14:paraId="70779743"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36F2C70C"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1ACAEBCE"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Pricing (Ascertained or Firm)</w:t>
            </w:r>
          </w:p>
        </w:tc>
        <w:tc>
          <w:tcPr>
            <w:tcW w:w="1672" w:type="dxa"/>
            <w:vAlign w:val="center"/>
          </w:tcPr>
          <w:p w14:paraId="75C50C82"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w:t>
            </w:r>
            <w:r>
              <w:rPr>
                <w:rFonts w:cs="Arial"/>
                <w:b/>
                <w:sz w:val="22"/>
              </w:rPr>
              <w:t xml:space="preserve"> Ex VAT</w:t>
            </w:r>
          </w:p>
        </w:tc>
        <w:tc>
          <w:tcPr>
            <w:tcW w:w="1417" w:type="dxa"/>
            <w:vAlign w:val="center"/>
          </w:tcPr>
          <w:p w14:paraId="237DCCCB"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2C263B13"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Deliverable DEFCON</w:t>
            </w:r>
          </w:p>
          <w:p w14:paraId="51B50BA3"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703 / 705</w:t>
            </w:r>
          </w:p>
          <w:p w14:paraId="298C4DD9" w14:textId="77777777" w:rsidR="00E27230" w:rsidRPr="00284376" w:rsidRDefault="00E27230" w:rsidP="00E27230">
            <w:pPr>
              <w:autoSpaceDE w:val="0"/>
              <w:autoSpaceDN w:val="0"/>
              <w:adjustRightInd w:val="0"/>
              <w:spacing w:after="0"/>
              <w:jc w:val="center"/>
              <w:rPr>
                <w:rFonts w:cs="Arial"/>
                <w:b/>
                <w:sz w:val="22"/>
              </w:rPr>
            </w:pPr>
            <w:r w:rsidRPr="00284376">
              <w:rPr>
                <w:rFonts w:cs="Arial"/>
                <w:b/>
                <w:sz w:val="22"/>
              </w:rPr>
              <w:t>(14, 90 &amp; 91)</w:t>
            </w:r>
          </w:p>
        </w:tc>
      </w:tr>
      <w:tr w:rsidR="00E27230" w:rsidRPr="00284376" w14:paraId="2133140D" w14:textId="77777777" w:rsidTr="00E27230">
        <w:trPr>
          <w:trHeight w:val="675"/>
        </w:trPr>
        <w:tc>
          <w:tcPr>
            <w:tcW w:w="5983" w:type="dxa"/>
            <w:gridSpan w:val="3"/>
            <w:tcBorders>
              <w:left w:val="nil"/>
              <w:bottom w:val="nil"/>
            </w:tcBorders>
            <w:vAlign w:val="center"/>
          </w:tcPr>
          <w:p w14:paraId="403B9264" w14:textId="77777777" w:rsidR="00E27230" w:rsidRPr="00284376" w:rsidRDefault="00E27230" w:rsidP="00E27230">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486BDA8C" w14:textId="08424AD8" w:rsidR="00E27230" w:rsidRPr="0063560B" w:rsidRDefault="00596A54" w:rsidP="0063560B">
            <w:pPr>
              <w:spacing w:after="0"/>
              <w:jc w:val="right"/>
              <w:rPr>
                <w:rFonts w:eastAsia="Times New Roman" w:cs="Arial"/>
                <w:b/>
                <w:color w:val="000000"/>
                <w:szCs w:val="18"/>
              </w:rPr>
            </w:pPr>
            <w:r w:rsidRPr="00596A54">
              <w:rPr>
                <w:rFonts w:cs="Arial"/>
                <w:b/>
                <w:color w:val="000000"/>
                <w:sz w:val="22"/>
                <w:szCs w:val="18"/>
              </w:rPr>
              <w:t>£165,345.78</w:t>
            </w:r>
          </w:p>
        </w:tc>
        <w:tc>
          <w:tcPr>
            <w:tcW w:w="2977" w:type="dxa"/>
            <w:gridSpan w:val="2"/>
            <w:tcBorders>
              <w:bottom w:val="nil"/>
              <w:right w:val="nil"/>
            </w:tcBorders>
          </w:tcPr>
          <w:p w14:paraId="6CAC1874" w14:textId="77777777" w:rsidR="00E27230" w:rsidRPr="00284376" w:rsidRDefault="00E27230" w:rsidP="00E27230">
            <w:pPr>
              <w:autoSpaceDE w:val="0"/>
              <w:autoSpaceDN w:val="0"/>
              <w:adjustRightInd w:val="0"/>
              <w:spacing w:after="0"/>
              <w:jc w:val="right"/>
              <w:rPr>
                <w:rFonts w:cs="Arial"/>
                <w:b/>
                <w:sz w:val="22"/>
              </w:rPr>
            </w:pPr>
          </w:p>
        </w:tc>
      </w:tr>
      <w:tr w:rsidR="00E27230" w:rsidRPr="00284376" w14:paraId="51F75506" w14:textId="77777777" w:rsidTr="00E27230">
        <w:trPr>
          <w:trHeight w:val="315"/>
        </w:trPr>
        <w:tc>
          <w:tcPr>
            <w:tcW w:w="10632" w:type="dxa"/>
            <w:gridSpan w:val="6"/>
            <w:tcBorders>
              <w:top w:val="nil"/>
              <w:left w:val="nil"/>
              <w:bottom w:val="single" w:sz="4" w:space="0" w:color="auto"/>
              <w:right w:val="nil"/>
            </w:tcBorders>
          </w:tcPr>
          <w:p w14:paraId="3F94FE94" w14:textId="77777777" w:rsidR="00E27230" w:rsidRPr="00284376" w:rsidRDefault="00E27230" w:rsidP="00E27230">
            <w:pPr>
              <w:autoSpaceDE w:val="0"/>
              <w:autoSpaceDN w:val="0"/>
              <w:adjustRightInd w:val="0"/>
              <w:spacing w:after="0"/>
              <w:jc w:val="right"/>
              <w:rPr>
                <w:rFonts w:cs="Arial"/>
                <w:b/>
                <w:sz w:val="22"/>
              </w:rPr>
            </w:pPr>
          </w:p>
        </w:tc>
      </w:tr>
      <w:tr w:rsidR="00E27230" w:rsidRPr="00284376" w14:paraId="582BDDBF" w14:textId="77777777" w:rsidTr="00E27230">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1885982E" w14:textId="77777777" w:rsidR="00E27230" w:rsidRPr="00284376" w:rsidRDefault="00E27230" w:rsidP="00E27230">
            <w:pPr>
              <w:autoSpaceDE w:val="0"/>
              <w:autoSpaceDN w:val="0"/>
              <w:adjustRightInd w:val="0"/>
              <w:spacing w:after="0"/>
              <w:jc w:val="right"/>
              <w:rPr>
                <w:rFonts w:cs="Arial"/>
                <w:b/>
                <w:sz w:val="22"/>
              </w:rPr>
            </w:pPr>
            <w:r>
              <w:rPr>
                <w:rFonts w:cs="Arial"/>
                <w:b/>
                <w:sz w:val="22"/>
              </w:rPr>
              <w:t>Request for Limitation of Liability</w:t>
            </w:r>
          </w:p>
        </w:tc>
      </w:tr>
      <w:tr w:rsidR="00E27230" w:rsidRPr="00284376" w14:paraId="248750C6" w14:textId="77777777" w:rsidTr="00E27230">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25E6DBB4" w14:textId="77777777" w:rsidR="00E27230" w:rsidRPr="00992DCE" w:rsidRDefault="00E27230" w:rsidP="00E27230">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E27230" w:rsidRPr="00284376" w14:paraId="0BBC3F83" w14:textId="77777777" w:rsidTr="00E27230">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632813C" w14:textId="77777777" w:rsidR="00E27230" w:rsidRPr="00992DCE" w:rsidRDefault="00E27230" w:rsidP="00E27230">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0A94DBAD" w14:textId="77777777" w:rsidR="00E27230" w:rsidRPr="00992DCE" w:rsidRDefault="00E27230" w:rsidP="00E27230">
            <w:pPr>
              <w:autoSpaceDE w:val="0"/>
              <w:autoSpaceDN w:val="0"/>
              <w:adjustRightInd w:val="0"/>
              <w:spacing w:after="0"/>
              <w:rPr>
                <w:rFonts w:cs="Arial"/>
                <w:sz w:val="22"/>
              </w:rPr>
            </w:pPr>
            <w:r>
              <w:rPr>
                <w:rFonts w:cs="Arial"/>
                <w:sz w:val="22"/>
              </w:rPr>
              <w:t>No limitation requested</w:t>
            </w:r>
          </w:p>
        </w:tc>
      </w:tr>
      <w:tr w:rsidR="00E27230" w:rsidRPr="00284376" w14:paraId="439FAC05" w14:textId="77777777" w:rsidTr="00E27230">
        <w:trPr>
          <w:trHeight w:val="742"/>
        </w:trPr>
        <w:sdt>
          <w:sdtPr>
            <w:rPr>
              <w:rFonts w:cs="Arial"/>
              <w:sz w:val="22"/>
            </w:rPr>
            <w:id w:val="-750812883"/>
            <w14:checkbox>
              <w14:checked w14:val="1"/>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4FDD38E4" w14:textId="151DBE32" w:rsidR="00E27230" w:rsidRPr="00992DCE" w:rsidRDefault="00002794" w:rsidP="00E27230">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74DC546C" w14:textId="77777777" w:rsidR="00E27230" w:rsidRPr="00992DCE" w:rsidRDefault="00E27230" w:rsidP="00E27230">
            <w:pPr>
              <w:autoSpaceDE w:val="0"/>
              <w:autoSpaceDN w:val="0"/>
              <w:adjustRightInd w:val="0"/>
              <w:spacing w:after="0"/>
              <w:rPr>
                <w:rFonts w:cs="Arial"/>
                <w:sz w:val="22"/>
              </w:rPr>
            </w:pPr>
            <w:r>
              <w:rPr>
                <w:rFonts w:cs="Arial"/>
                <w:sz w:val="22"/>
              </w:rPr>
              <w:t xml:space="preserve">Limitations requested – to be absorbed by Prime </w:t>
            </w:r>
          </w:p>
        </w:tc>
      </w:tr>
      <w:tr w:rsidR="00E27230" w:rsidRPr="00284376" w14:paraId="4B4838B7" w14:textId="77777777" w:rsidTr="00E27230">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5F970E29" w14:textId="60B645A6" w:rsidR="00E27230" w:rsidRPr="00992DCE" w:rsidRDefault="0063560B" w:rsidP="00E27230">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41072CA3" w14:textId="77777777" w:rsidR="00E27230" w:rsidRPr="00992DCE" w:rsidRDefault="00E27230" w:rsidP="00E27230">
            <w:pPr>
              <w:autoSpaceDE w:val="0"/>
              <w:autoSpaceDN w:val="0"/>
              <w:adjustRightInd w:val="0"/>
              <w:spacing w:after="0"/>
              <w:rPr>
                <w:rFonts w:cs="Arial"/>
                <w:sz w:val="22"/>
              </w:rPr>
            </w:pPr>
            <w:r>
              <w:rPr>
                <w:rFonts w:cs="Arial"/>
                <w:sz w:val="22"/>
              </w:rPr>
              <w:t>Limitations requested – see attached justification at Annex A</w:t>
            </w:r>
          </w:p>
        </w:tc>
      </w:tr>
    </w:tbl>
    <w:p w14:paraId="24E146DF" w14:textId="77777777" w:rsidR="0063560B" w:rsidRDefault="0063560B" w:rsidP="00E27230">
      <w:pPr>
        <w:spacing w:after="0"/>
        <w:ind w:right="-2"/>
      </w:pPr>
    </w:p>
    <w:p w14:paraId="463837AE" w14:textId="20C73992" w:rsidR="0063560B" w:rsidRDefault="0063560B" w:rsidP="00E27230">
      <w:pPr>
        <w:spacing w:after="0"/>
        <w:ind w:right="-2"/>
      </w:pPr>
    </w:p>
    <w:p w14:paraId="15F85702" w14:textId="77777777" w:rsidR="0063560B" w:rsidRDefault="0063560B" w:rsidP="00E27230">
      <w:pPr>
        <w:spacing w:after="0"/>
        <w:ind w:right="-2"/>
      </w:pPr>
    </w:p>
    <w:p w14:paraId="69C7C03E" w14:textId="77777777" w:rsidR="0063560B" w:rsidRDefault="0063560B" w:rsidP="00E27230">
      <w:pPr>
        <w:spacing w:after="0"/>
        <w:ind w:right="-2"/>
      </w:pPr>
    </w:p>
    <w:p w14:paraId="72F4B760" w14:textId="44220FDF" w:rsidR="0065452B" w:rsidRDefault="0065452B" w:rsidP="00E27230">
      <w:pPr>
        <w:spacing w:after="0"/>
        <w:ind w:right="-2"/>
      </w:pPr>
      <w:r>
        <w:br w:type="page"/>
      </w:r>
    </w:p>
    <w:p w14:paraId="63157DE0" w14:textId="77777777" w:rsidR="0063560B" w:rsidRPr="00E27230" w:rsidRDefault="0063560B" w:rsidP="00E27230">
      <w:pPr>
        <w:spacing w:after="0"/>
        <w:ind w:right="-2"/>
        <w:rPr>
          <w:rFonts w:cs="Arial"/>
          <w:b/>
          <w:sz w:val="22"/>
        </w:rPr>
      </w:pP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63560B"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09D63CD3" w14:textId="77777777" w:rsidR="0063560B" w:rsidRDefault="0063560B" w:rsidP="0063560B">
            <w:pPr>
              <w:tabs>
                <w:tab w:val="left" w:pos="6098"/>
              </w:tabs>
              <w:autoSpaceDE w:val="0"/>
              <w:autoSpaceDN w:val="0"/>
              <w:adjustRightInd w:val="0"/>
              <w:spacing w:after="0"/>
              <w:rPr>
                <w:rFonts w:cs="Arial"/>
                <w:sz w:val="22"/>
              </w:rPr>
            </w:pPr>
            <w:r w:rsidRPr="00BE13EE">
              <w:rPr>
                <w:rFonts w:cs="Arial"/>
                <w:sz w:val="22"/>
              </w:rPr>
              <w:t xml:space="preserve">It is assumed that there is no requirement for a deliverable quality plan. </w:t>
            </w:r>
          </w:p>
          <w:p w14:paraId="7AE82AF0" w14:textId="77777777" w:rsidR="0063560B" w:rsidRDefault="0063560B" w:rsidP="0063560B">
            <w:pPr>
              <w:tabs>
                <w:tab w:val="left" w:pos="6098"/>
              </w:tabs>
              <w:autoSpaceDE w:val="0"/>
              <w:autoSpaceDN w:val="0"/>
              <w:adjustRightInd w:val="0"/>
              <w:spacing w:after="0"/>
              <w:rPr>
                <w:rFonts w:cs="Arial"/>
                <w:sz w:val="22"/>
              </w:rPr>
            </w:pPr>
          </w:p>
          <w:p w14:paraId="576916C2" w14:textId="77777777" w:rsidR="0063560B" w:rsidRDefault="0063560B" w:rsidP="0063560B">
            <w:pPr>
              <w:tabs>
                <w:tab w:val="left" w:pos="6098"/>
              </w:tabs>
              <w:autoSpaceDE w:val="0"/>
              <w:autoSpaceDN w:val="0"/>
              <w:adjustRightInd w:val="0"/>
              <w:spacing w:after="0"/>
              <w:rPr>
                <w:rFonts w:cs="Arial"/>
                <w:b/>
                <w:sz w:val="22"/>
                <w:u w:val="single"/>
              </w:rPr>
            </w:pPr>
            <w:r w:rsidRPr="00B65FDB">
              <w:rPr>
                <w:rFonts w:cs="Arial"/>
                <w:b/>
                <w:sz w:val="22"/>
                <w:u w:val="single"/>
              </w:rPr>
              <w:t>Liability Clause</w:t>
            </w:r>
          </w:p>
          <w:p w14:paraId="759AFB3F" w14:textId="77777777" w:rsidR="0063560B" w:rsidRPr="00B65FDB" w:rsidRDefault="0063560B" w:rsidP="0063560B">
            <w:pPr>
              <w:tabs>
                <w:tab w:val="left" w:pos="6098"/>
              </w:tabs>
              <w:autoSpaceDE w:val="0"/>
              <w:autoSpaceDN w:val="0"/>
              <w:adjustRightInd w:val="0"/>
              <w:spacing w:after="0"/>
              <w:rPr>
                <w:rFonts w:cs="Arial"/>
                <w:b/>
                <w:sz w:val="22"/>
                <w:u w:val="single"/>
              </w:rPr>
            </w:pPr>
          </w:p>
          <w:p w14:paraId="55A599DE"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X.1 Subject to Clauses X.2 and X.3, the Contractor's liability to the Authority under or in connection with this Contract shall be limited as follows:</w:t>
            </w:r>
          </w:p>
          <w:p w14:paraId="4D0CCEC3"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7F64E501"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(a). under Clauses 3 and 4 of DEFCON 76 shall not exceed £50m per incident; and  </w:t>
            </w:r>
          </w:p>
          <w:p w14:paraId="5CB25338"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(b). under Clause 2 of DEFCON 514 shall not exceed 150% in aggregate of the Task Value; and</w:t>
            </w:r>
          </w:p>
          <w:p w14:paraId="402F6EEC"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(c). under Clause 8 of DEFCON 611 shall not exceed 150% in aggregate of the Task Value; and</w:t>
            </w:r>
          </w:p>
          <w:p w14:paraId="76BF3CEE"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(d). under Clause 1 of DEFCON 612 shall not exceed 150% in aggregate of the Task Value; and  </w:t>
            </w:r>
          </w:p>
          <w:p w14:paraId="21917791"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(e) subject to the Task Lead using reasonable endeavours to ensure that the software deliverables or modelling tools used for completion of the Task are free from any known viruses prior to its delivery, liability for loss arising from viruses shall not exceed 150% in aggregate of task value; and</w:t>
            </w:r>
          </w:p>
          <w:p w14:paraId="64A4A7F3"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(f) liability for breaches excepting breaches under or in connection with X.1(a)-X.1(f) above, shall not exceed 150% in aggregate of the Task Value.</w:t>
            </w:r>
          </w:p>
          <w:p w14:paraId="1BCC10E9"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7EB1893E"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X.2. Nothing in this Contract shall operate to limit or exclude the Contractor's liability:</w:t>
            </w:r>
          </w:p>
          <w:p w14:paraId="7BEAFE1D"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0123A2A3"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(a). for:</w:t>
            </w:r>
          </w:p>
          <w:p w14:paraId="4F2303AE"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0D511A75"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i. any liquidated damages (to the extent expressly provided for under this Contract);</w:t>
            </w:r>
          </w:p>
          <w:p w14:paraId="7B70BD30"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2F16CD9B"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w:t>
            </w:r>
          </w:p>
          <w:p w14:paraId="18DA6DD5"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0EB4328A"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iii. Any interest payable in relation to the late payment of any sum due and payable by the Contractor to the Authority under this Contract;</w:t>
            </w:r>
          </w:p>
          <w:p w14:paraId="3203876A"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4C6EB896"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iv. Any amount payable by the Contractor to the Authority in accordance with clause 23 and Schedule H of this Contract; </w:t>
            </w:r>
          </w:p>
          <w:p w14:paraId="4EAC2C7B"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3E334A4B"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B65FDB">
              <w:rPr>
                <w:rFonts w:cs="Arial"/>
                <w:sz w:val="22"/>
              </w:rPr>
              <w:t>LoCL</w:t>
            </w:r>
            <w:proofErr w:type="spellEnd"/>
            <w:r w:rsidRPr="00B65FDB">
              <w:rPr>
                <w:rFonts w:cs="Arial"/>
                <w:sz w:val="22"/>
              </w:rPr>
              <w:t xml:space="preserve"> provisions </w:t>
            </w:r>
          </w:p>
          <w:p w14:paraId="50B5F065"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on the Task may be amended, and if such amendment cannot be mutually agreed the Authority or Contractor may terminate the Task.  </w:t>
            </w:r>
          </w:p>
          <w:p w14:paraId="6ED421AA"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5B1C61D4"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(c). under DEFCONs 91 and 632; </w:t>
            </w:r>
          </w:p>
          <w:p w14:paraId="6AE1F195"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78FDCCB9"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(d). for death or personal injury caused by the Contractor’s negligence or the negligence of any of its personnel, agents, consultants or subcontractors;</w:t>
            </w:r>
          </w:p>
          <w:p w14:paraId="3BA3CF1E"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164D79C2"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(e) for fraud, fraudulent misrepresentation and wilful misconduct;</w:t>
            </w:r>
          </w:p>
          <w:p w14:paraId="3544C25F"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29E18783"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(f) in relation to the termination of this Contract on the basis of abandonment by the Contractor;</w:t>
            </w:r>
          </w:p>
          <w:p w14:paraId="4C186DA1"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60328670"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(g). for breach of the terms implied by Section 2 of the Supply of Goods and Services Act 1982; or </w:t>
            </w:r>
          </w:p>
          <w:p w14:paraId="0D5C656F"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2CAC18A2"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lastRenderedPageBreak/>
              <w:t xml:space="preserve">(h). for any other liability which cannot be limited or excluded under general (including statute and common) law. </w:t>
            </w:r>
          </w:p>
          <w:p w14:paraId="6139D95D"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0354AED0"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X.3 The Contractor shall not be liable, whether in contract, tort (including negligence), statute or otherwise for any indirect or consequential losses. </w:t>
            </w:r>
          </w:p>
          <w:p w14:paraId="62C315DC"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712A90E2"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X.4. The rights of the Authority under this Contract are in addition to, and not exclusive of, any rights or remedies provided by English (including statute and common) law.</w:t>
            </w:r>
          </w:p>
          <w:p w14:paraId="09051788"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23645F66"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X.5 The Parties agree that the following amendment shall be inserted as a last sentence in clause 14.1 of the Special Conditions:</w:t>
            </w:r>
          </w:p>
          <w:p w14:paraId="5CAC9F39"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65653F5F"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“…For the avoidance of doubt, all information and data of the Authority, and any GFF, shall be treated as Issued Property for the purposes of Defcon 611”</w:t>
            </w:r>
          </w:p>
          <w:p w14:paraId="783D0E67"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595E7F06"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X.6 For the avoidance of doubt, provisions defined in the Contract and used in this Tasking shall have the meaning set out in the Contract. </w:t>
            </w:r>
          </w:p>
          <w:p w14:paraId="193C01E4" w14:textId="77777777" w:rsidR="0063560B" w:rsidRPr="00B65FDB" w:rsidRDefault="0063560B" w:rsidP="0063560B">
            <w:pPr>
              <w:tabs>
                <w:tab w:val="left" w:pos="6098"/>
              </w:tabs>
              <w:autoSpaceDE w:val="0"/>
              <w:autoSpaceDN w:val="0"/>
              <w:adjustRightInd w:val="0"/>
              <w:spacing w:after="0"/>
              <w:rPr>
                <w:rFonts w:cs="Arial"/>
                <w:sz w:val="22"/>
              </w:rPr>
            </w:pPr>
            <w:r w:rsidRPr="00B65FDB">
              <w:rPr>
                <w:rFonts w:cs="Arial"/>
                <w:sz w:val="22"/>
              </w:rPr>
              <w:t xml:space="preserve"> </w:t>
            </w:r>
          </w:p>
          <w:p w14:paraId="2D3C56D8" w14:textId="2E215335" w:rsidR="0063560B" w:rsidRPr="00284376" w:rsidRDefault="0063560B" w:rsidP="0063560B">
            <w:pPr>
              <w:tabs>
                <w:tab w:val="left" w:pos="6098"/>
              </w:tabs>
              <w:autoSpaceDE w:val="0"/>
              <w:autoSpaceDN w:val="0"/>
              <w:adjustRightInd w:val="0"/>
              <w:spacing w:after="0"/>
              <w:rPr>
                <w:rFonts w:cs="Arial"/>
                <w:b/>
                <w:sz w:val="22"/>
              </w:rPr>
            </w:pPr>
            <w:r w:rsidRPr="00B65FDB">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tc>
      </w:tr>
      <w:tr w:rsidR="0063560B"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63560B" w:rsidRPr="00284376" w:rsidRDefault="0063560B" w:rsidP="0063560B">
            <w:pPr>
              <w:tabs>
                <w:tab w:val="left" w:pos="6098"/>
              </w:tabs>
              <w:autoSpaceDE w:val="0"/>
              <w:autoSpaceDN w:val="0"/>
              <w:adjustRightInd w:val="0"/>
              <w:spacing w:after="0"/>
              <w:rPr>
                <w:rFonts w:cs="Arial"/>
                <w:b/>
                <w:sz w:val="22"/>
              </w:rPr>
            </w:pPr>
          </w:p>
        </w:tc>
      </w:tr>
      <w:tr w:rsidR="0063560B"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63560B" w:rsidRPr="00284376" w:rsidRDefault="0063560B" w:rsidP="0063560B">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63560B"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63560B" w:rsidRPr="00284376" w:rsidRDefault="0063560B" w:rsidP="0063560B">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63560B" w:rsidRPr="00284376" w:rsidRDefault="0063560B" w:rsidP="0063560B">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63560B" w:rsidRPr="00284376" w:rsidRDefault="0063560B" w:rsidP="0063560B">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63560B" w:rsidRPr="00284376" w:rsidRDefault="0063560B" w:rsidP="0063560B">
            <w:pPr>
              <w:autoSpaceDE w:val="0"/>
              <w:autoSpaceDN w:val="0"/>
              <w:adjustRightInd w:val="0"/>
              <w:spacing w:after="0"/>
              <w:jc w:val="center"/>
              <w:rPr>
                <w:rFonts w:cs="Arial"/>
                <w:b/>
                <w:sz w:val="22"/>
              </w:rPr>
            </w:pPr>
            <w:r w:rsidRPr="00284376">
              <w:rPr>
                <w:rFonts w:cs="Arial"/>
                <w:b/>
                <w:sz w:val="22"/>
              </w:rPr>
              <w:t>Expiry Date</w:t>
            </w:r>
          </w:p>
        </w:tc>
      </w:tr>
      <w:tr w:rsidR="0063560B" w:rsidRPr="00284376" w14:paraId="14B14E40" w14:textId="77777777" w:rsidTr="003C6511">
        <w:trPr>
          <w:trHeight w:val="416"/>
        </w:trPr>
        <w:tc>
          <w:tcPr>
            <w:tcW w:w="1276" w:type="dxa"/>
            <w:tcBorders>
              <w:top w:val="single" w:sz="4" w:space="0" w:color="auto"/>
              <w:bottom w:val="single" w:sz="4" w:space="0" w:color="auto"/>
            </w:tcBorders>
            <w:vAlign w:val="center"/>
          </w:tcPr>
          <w:p w14:paraId="78D90D14" w14:textId="7239A1CF" w:rsidR="0063560B" w:rsidRPr="0063560B" w:rsidRDefault="0063560B" w:rsidP="0063560B">
            <w:pPr>
              <w:autoSpaceDE w:val="0"/>
              <w:autoSpaceDN w:val="0"/>
              <w:adjustRightInd w:val="0"/>
              <w:spacing w:after="0"/>
              <w:jc w:val="center"/>
              <w:rPr>
                <w:rFonts w:cs="Arial"/>
                <w:sz w:val="22"/>
              </w:rPr>
            </w:pPr>
            <w:r w:rsidRPr="0063560B">
              <w:rPr>
                <w:rFonts w:cs="Arial"/>
                <w:sz w:val="22"/>
              </w:rPr>
              <w:t>1</w:t>
            </w:r>
          </w:p>
        </w:tc>
        <w:tc>
          <w:tcPr>
            <w:tcW w:w="5103" w:type="dxa"/>
            <w:vAlign w:val="center"/>
          </w:tcPr>
          <w:p w14:paraId="39D79F4C" w14:textId="499F7FBF" w:rsidR="0063560B" w:rsidRPr="0063560B" w:rsidRDefault="0063560B" w:rsidP="0063560B">
            <w:pPr>
              <w:autoSpaceDE w:val="0"/>
              <w:autoSpaceDN w:val="0"/>
              <w:adjustRightInd w:val="0"/>
              <w:spacing w:after="0"/>
              <w:rPr>
                <w:rFonts w:cs="Arial"/>
                <w:sz w:val="22"/>
              </w:rPr>
            </w:pPr>
            <w:r w:rsidRPr="0063560B">
              <w:rPr>
                <w:rFonts w:cs="Arial"/>
                <w:sz w:val="22"/>
              </w:rPr>
              <w:t>OPTION: WARGAME 2 (FY 23/24)</w:t>
            </w:r>
          </w:p>
        </w:tc>
        <w:tc>
          <w:tcPr>
            <w:tcW w:w="2268" w:type="dxa"/>
            <w:vAlign w:val="center"/>
          </w:tcPr>
          <w:p w14:paraId="2006E7B9" w14:textId="283E4CA4" w:rsidR="0063560B" w:rsidRPr="0063560B" w:rsidRDefault="000C6B4B" w:rsidP="00596A54">
            <w:pPr>
              <w:autoSpaceDE w:val="0"/>
              <w:autoSpaceDN w:val="0"/>
              <w:adjustRightInd w:val="0"/>
              <w:spacing w:after="0"/>
              <w:rPr>
                <w:rFonts w:cs="Arial"/>
                <w:sz w:val="22"/>
              </w:rPr>
            </w:pPr>
            <w:r w:rsidRPr="000C6B4B">
              <w:rPr>
                <w:rFonts w:cs="Arial"/>
                <w:sz w:val="22"/>
              </w:rPr>
              <w:t>£</w:t>
            </w:r>
            <w:r w:rsidR="00596A54">
              <w:rPr>
                <w:rFonts w:cs="Arial"/>
                <w:sz w:val="22"/>
              </w:rPr>
              <w:t>163,140</w:t>
            </w:r>
          </w:p>
        </w:tc>
        <w:tc>
          <w:tcPr>
            <w:tcW w:w="1985" w:type="dxa"/>
            <w:tcBorders>
              <w:top w:val="single" w:sz="4" w:space="0" w:color="auto"/>
              <w:bottom w:val="single" w:sz="4" w:space="0" w:color="auto"/>
            </w:tcBorders>
            <w:vAlign w:val="center"/>
          </w:tcPr>
          <w:p w14:paraId="43F47820" w14:textId="1C1D87FE" w:rsidR="0063560B" w:rsidRPr="0063560B" w:rsidRDefault="0063560B" w:rsidP="0063560B">
            <w:pPr>
              <w:autoSpaceDE w:val="0"/>
              <w:autoSpaceDN w:val="0"/>
              <w:adjustRightInd w:val="0"/>
              <w:spacing w:after="0"/>
              <w:jc w:val="right"/>
              <w:rPr>
                <w:rFonts w:cs="Arial"/>
                <w:sz w:val="22"/>
              </w:rPr>
            </w:pPr>
            <w:r w:rsidRPr="0063560B">
              <w:rPr>
                <w:rFonts w:cs="Arial"/>
                <w:sz w:val="22"/>
              </w:rPr>
              <w:t>n/a</w:t>
            </w:r>
          </w:p>
        </w:tc>
      </w:tr>
      <w:tr w:rsidR="0063560B"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63560B" w:rsidRPr="00284376" w:rsidRDefault="0063560B" w:rsidP="0063560B">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61042281" w:rsidR="009A5036" w:rsidRPr="00284376" w:rsidRDefault="00750918" w:rsidP="00284376">
            <w:pPr>
              <w:spacing w:after="0"/>
              <w:ind w:left="-97"/>
              <w:rPr>
                <w:rFonts w:cs="Arial"/>
                <w:sz w:val="22"/>
              </w:rPr>
            </w:pPr>
            <w:r w:rsidRPr="0008508E">
              <w:rPr>
                <w:rFonts w:cs="Arial"/>
                <w:b/>
                <w:bCs/>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18BEB113" w:rsidR="009A5036" w:rsidRPr="00284376" w:rsidRDefault="00B25D31" w:rsidP="00284376">
            <w:pPr>
              <w:spacing w:after="0"/>
              <w:rPr>
                <w:rFonts w:cs="Arial"/>
                <w:sz w:val="22"/>
              </w:rPr>
            </w:pPr>
            <w:r>
              <w:rPr>
                <w:color w:val="002060"/>
                <w:lang w:eastAsia="en-GB"/>
              </w:rPr>
              <w:t>+44 3001692491</w:t>
            </w: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008CEF79" w:rsidR="00CF19A7" w:rsidRPr="00284376" w:rsidRDefault="00B25D31" w:rsidP="00284376">
            <w:pPr>
              <w:spacing w:after="0"/>
              <w:rPr>
                <w:rFonts w:cs="Arial"/>
                <w:sz w:val="22"/>
              </w:rPr>
            </w:pPr>
            <w:r>
              <w:rPr>
                <w:rFonts w:cs="Arial"/>
                <w:b/>
                <w:bCs/>
              </w:rPr>
              <w:t>706975450</w:t>
            </w: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20CC2798" w:rsidR="00A95122" w:rsidRPr="00284376" w:rsidRDefault="00B25D31" w:rsidP="00284376">
            <w:pPr>
              <w:spacing w:after="0"/>
              <w:rPr>
                <w:rFonts w:cs="Arial"/>
                <w:sz w:val="22"/>
              </w:rPr>
            </w:pPr>
            <w:r>
              <w:rPr>
                <w:rFonts w:cs="Arial"/>
                <w:sz w:val="22"/>
              </w:rPr>
              <w:t>TBC on signing of both</w:t>
            </w:r>
            <w:r w:rsidR="0054307C">
              <w:rPr>
                <w:rFonts w:cs="Arial"/>
                <w:sz w:val="22"/>
              </w:rPr>
              <w:t xml:space="preserve"> parties</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5B20D386" w:rsidR="00441A99" w:rsidRPr="00284376" w:rsidRDefault="002E140F" w:rsidP="00284376">
            <w:pPr>
              <w:spacing w:after="0"/>
              <w:rPr>
                <w:rFonts w:cs="Arial"/>
                <w:sz w:val="22"/>
                <w:highlight w:val="yellow"/>
              </w:rPr>
            </w:pPr>
            <w:r w:rsidRPr="00750918">
              <w:rPr>
                <w:rFonts w:cs="Arial"/>
                <w:sz w:val="22"/>
              </w:rPr>
              <w:t>1</w:t>
            </w:r>
            <w:r w:rsidRPr="00750918">
              <w:rPr>
                <w:rFonts w:cs="Arial"/>
                <w:sz w:val="22"/>
                <w:vertAlign w:val="superscript"/>
              </w:rPr>
              <w:t>st</w:t>
            </w:r>
            <w:r w:rsidRPr="00750918">
              <w:rPr>
                <w:rFonts w:cs="Arial"/>
                <w:sz w:val="22"/>
              </w:rPr>
              <w:t xml:space="preserve"> March 2023</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284376">
              <w:rPr>
                <w:rFonts w:cs="Arial"/>
                <w:b/>
                <w:color w:val="FF0000"/>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7AD7B79C" w14:textId="050705EB" w:rsidR="00CF19A7" w:rsidRDefault="004F0C1B" w:rsidP="00284376">
            <w:pPr>
              <w:spacing w:after="0"/>
              <w:rPr>
                <w:rFonts w:cs="Arial"/>
                <w:sz w:val="22"/>
              </w:rPr>
            </w:pPr>
            <w:r>
              <w:rPr>
                <w:rFonts w:cs="Arial"/>
                <w:sz w:val="22"/>
              </w:rPr>
              <w:t xml:space="preserve">Please refer to </w:t>
            </w:r>
            <w:r w:rsidR="00750918" w:rsidRPr="0008508E">
              <w:rPr>
                <w:rFonts w:cs="Arial"/>
                <w:b/>
                <w:bCs/>
                <w:sz w:val="22"/>
              </w:rPr>
              <w:t>REDACTED</w:t>
            </w:r>
            <w:r w:rsidR="00750918">
              <w:rPr>
                <w:rFonts w:cs="Arial"/>
                <w:sz w:val="22"/>
              </w:rPr>
              <w:t xml:space="preserve"> </w:t>
            </w:r>
            <w:r>
              <w:rPr>
                <w:rFonts w:cs="Arial"/>
                <w:sz w:val="22"/>
              </w:rPr>
              <w:t>for commercial support from the authority for this requiremen</w:t>
            </w:r>
            <w:r w:rsidR="00E01EEA">
              <w:rPr>
                <w:rFonts w:cs="Arial"/>
                <w:sz w:val="22"/>
              </w:rPr>
              <w:t>t.</w:t>
            </w:r>
          </w:p>
          <w:p w14:paraId="1BF0F432" w14:textId="77777777" w:rsidR="00E01EEA" w:rsidRDefault="00E01EEA" w:rsidP="00284376">
            <w:pPr>
              <w:spacing w:after="0"/>
              <w:rPr>
                <w:rFonts w:cs="Arial"/>
                <w:sz w:val="22"/>
              </w:rPr>
            </w:pPr>
          </w:p>
          <w:p w14:paraId="018B3A1B" w14:textId="46506D20" w:rsidR="00E01EEA" w:rsidRPr="00284376" w:rsidRDefault="00E01EEA" w:rsidP="00284376">
            <w:pPr>
              <w:spacing w:after="0"/>
              <w:rPr>
                <w:rFonts w:cs="Arial"/>
                <w:sz w:val="22"/>
              </w:rPr>
            </w:pPr>
            <w:r>
              <w:rPr>
                <w:rFonts w:cs="Arial"/>
                <w:sz w:val="22"/>
              </w:rPr>
              <w:t>To confirm RISK is to be absorbed by the supplier, and</w:t>
            </w:r>
            <w:r w:rsidR="00985707">
              <w:rPr>
                <w:rFonts w:cs="Arial"/>
                <w:sz w:val="22"/>
              </w:rPr>
              <w:t xml:space="preserve"> the prime should be in ownership of the relevant insurances detailed under liability clause</w:t>
            </w: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5EB3F74C" w:rsidR="00A95122" w:rsidRPr="00284376" w:rsidRDefault="00750918" w:rsidP="00284376">
            <w:pPr>
              <w:spacing w:after="0"/>
              <w:rPr>
                <w:rFonts w:cs="Arial"/>
                <w:sz w:val="22"/>
              </w:rPr>
            </w:pPr>
            <w:r w:rsidRPr="0008508E">
              <w:rPr>
                <w:rFonts w:cs="Arial"/>
                <w:b/>
                <w:bCs/>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41FF50BB" w:rsidR="00A95122" w:rsidRPr="00284376" w:rsidRDefault="0032185F" w:rsidP="00284376">
            <w:pPr>
              <w:spacing w:after="0"/>
              <w:rPr>
                <w:rFonts w:cs="Arial"/>
                <w:sz w:val="22"/>
              </w:rPr>
            </w:pPr>
            <w:r>
              <w:rPr>
                <w:rFonts w:cs="Arial"/>
                <w:sz w:val="22"/>
              </w:rPr>
              <w:t>27/02/2023</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26A55950" w:rsidR="009A5036" w:rsidRPr="00284376" w:rsidRDefault="00750918" w:rsidP="00284376">
            <w:pPr>
              <w:spacing w:after="0"/>
              <w:rPr>
                <w:rFonts w:cs="Arial"/>
                <w:sz w:val="22"/>
              </w:rPr>
            </w:pPr>
            <w:r w:rsidRPr="0008508E">
              <w:rPr>
                <w:rFonts w:cs="Arial"/>
                <w:b/>
                <w:bCs/>
                <w:sz w:val="22"/>
              </w:rPr>
              <w:t>REDACTED</w:t>
            </w: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68FE5CC3" w:rsidR="009A5036" w:rsidRPr="00284376" w:rsidRDefault="00750918" w:rsidP="00284376">
            <w:pPr>
              <w:spacing w:after="0"/>
              <w:rPr>
                <w:rFonts w:cs="Arial"/>
                <w:sz w:val="22"/>
              </w:rPr>
            </w:pPr>
            <w:r w:rsidRPr="0008508E">
              <w:rPr>
                <w:rFonts w:cs="Arial"/>
                <w:b/>
                <w:bCs/>
                <w:sz w:val="22"/>
              </w:rPr>
              <w:t>REDACTED</w:t>
            </w: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6B646955" w:rsidR="00D14508" w:rsidRPr="00284376" w:rsidRDefault="00CE2204" w:rsidP="00284376">
            <w:pPr>
              <w:spacing w:after="0"/>
              <w:rPr>
                <w:rFonts w:cs="Arial"/>
                <w:sz w:val="22"/>
              </w:rPr>
            </w:pPr>
            <w:r>
              <w:rPr>
                <w:rFonts w:cs="Arial"/>
                <w:sz w:val="22"/>
              </w:rPr>
              <w:t>Head of Commercial and Procurement</w:t>
            </w: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282F5468" w:rsidR="00D14508" w:rsidRPr="00284376" w:rsidRDefault="00750918" w:rsidP="00284376">
            <w:pPr>
              <w:spacing w:after="0"/>
              <w:rPr>
                <w:rFonts w:cs="Arial"/>
                <w:sz w:val="22"/>
              </w:rPr>
            </w:pPr>
            <w:r w:rsidRPr="0008508E">
              <w:rPr>
                <w:rFonts w:cs="Arial"/>
                <w:b/>
                <w:bCs/>
                <w:sz w:val="22"/>
              </w:rPr>
              <w:t>REDACTED</w:t>
            </w: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07F7F4A7" w:rsidR="00D14508" w:rsidRPr="00284376" w:rsidRDefault="00CE2204" w:rsidP="00284376">
            <w:pPr>
              <w:spacing w:after="0"/>
              <w:rPr>
                <w:rFonts w:cs="Arial"/>
                <w:sz w:val="22"/>
              </w:rPr>
            </w:pPr>
            <w:r>
              <w:rPr>
                <w:rFonts w:cs="Arial"/>
                <w:sz w:val="22"/>
              </w:rPr>
              <w:t>07/03/23</w:t>
            </w: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3E760CDE" w:rsidR="002B05E8" w:rsidRPr="002B05E8" w:rsidRDefault="002B05E8" w:rsidP="002B05E8">
            <w:pPr>
              <w:spacing w:after="0"/>
              <w:rPr>
                <w:rFonts w:cs="Arial"/>
              </w:rPr>
            </w:pPr>
          </w:p>
        </w:tc>
        <w:tc>
          <w:tcPr>
            <w:tcW w:w="1139" w:type="dxa"/>
            <w:tcBorders>
              <w:bottom w:val="single" w:sz="4" w:space="0" w:color="auto"/>
            </w:tcBorders>
          </w:tcPr>
          <w:p w14:paraId="7F3C5A4A" w14:textId="2D30A6A7" w:rsidR="002B05E8" w:rsidRPr="002B05E8" w:rsidRDefault="002B05E8" w:rsidP="002B05E8">
            <w:pPr>
              <w:spacing w:after="0"/>
              <w:rPr>
                <w:rFonts w:cs="Arial"/>
              </w:rPr>
            </w:pPr>
          </w:p>
        </w:tc>
        <w:tc>
          <w:tcPr>
            <w:tcW w:w="1276" w:type="dxa"/>
            <w:tcBorders>
              <w:bottom w:val="single" w:sz="4" w:space="0" w:color="auto"/>
            </w:tcBorders>
          </w:tcPr>
          <w:p w14:paraId="4960C916" w14:textId="032E95AC"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45900588"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E5CA55"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51D873F8"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55B2CC8E" w:rsidR="002B05E8" w:rsidRPr="002B05E8" w:rsidRDefault="002A5158" w:rsidP="002B05E8">
            <w:pPr>
              <w:spacing w:after="0"/>
              <w:jc w:val="center"/>
              <w:rPr>
                <w:rFonts w:cs="Arial"/>
                <w:b/>
              </w:rPr>
            </w:pPr>
            <w:r>
              <w:rPr>
                <w:rFonts w:cs="Arial"/>
                <w:b/>
              </w:rPr>
              <w:t>N/A</w:t>
            </w: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45D30CF0" w:rsidR="002B05E8" w:rsidRPr="002B05E8" w:rsidRDefault="002A5158" w:rsidP="002B05E8">
            <w:pPr>
              <w:spacing w:after="0"/>
              <w:rPr>
                <w:rFonts w:cs="Arial"/>
              </w:rPr>
            </w:pPr>
            <w:r>
              <w:rPr>
                <w:rFonts w:cs="Arial"/>
              </w:rPr>
              <w:t>0</w:t>
            </w:r>
          </w:p>
        </w:tc>
        <w:tc>
          <w:tcPr>
            <w:tcW w:w="1139" w:type="dxa"/>
            <w:tcBorders>
              <w:bottom w:val="single" w:sz="4" w:space="0" w:color="auto"/>
            </w:tcBorders>
            <w:shd w:val="clear" w:color="auto" w:fill="auto"/>
          </w:tcPr>
          <w:p w14:paraId="356ECC9F" w14:textId="47593F02" w:rsidR="002B05E8" w:rsidRPr="002B05E8" w:rsidRDefault="002A5158" w:rsidP="002B05E8">
            <w:pPr>
              <w:spacing w:after="0"/>
              <w:rPr>
                <w:rFonts w:cs="Arial"/>
              </w:rPr>
            </w:pPr>
            <w:r>
              <w:rPr>
                <w:rFonts w:cs="Arial"/>
              </w:rPr>
              <w:t>0</w:t>
            </w:r>
          </w:p>
        </w:tc>
        <w:tc>
          <w:tcPr>
            <w:tcW w:w="1276" w:type="dxa"/>
            <w:tcBorders>
              <w:bottom w:val="single" w:sz="4" w:space="0" w:color="auto"/>
            </w:tcBorders>
            <w:shd w:val="clear" w:color="auto" w:fill="auto"/>
          </w:tcPr>
          <w:p w14:paraId="76ACAEA0" w14:textId="7270C9F1" w:rsidR="002B05E8" w:rsidRPr="002B05E8" w:rsidRDefault="002A5158" w:rsidP="002B05E8">
            <w:pPr>
              <w:spacing w:after="0"/>
              <w:rPr>
                <w:rFonts w:cs="Arial"/>
              </w:rPr>
            </w:pPr>
            <w:r>
              <w:rPr>
                <w:rFonts w:cs="Arial"/>
              </w:rPr>
              <w:t>0</w:t>
            </w: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1C2F8E5C" w:rsidR="002B05E8" w:rsidRPr="002B05E8" w:rsidRDefault="002A5158" w:rsidP="002B05E8">
            <w:pPr>
              <w:spacing w:after="0"/>
              <w:jc w:val="center"/>
              <w:rPr>
                <w:rFonts w:cs="Arial"/>
                <w:b/>
              </w:rPr>
            </w:pPr>
            <w:r>
              <w:rPr>
                <w:rFonts w:cs="Arial"/>
                <w:b/>
              </w:rPr>
              <w:t>N/A</w:t>
            </w: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F2D2D44" w:rsidR="002B05E8" w:rsidRPr="002B05E8" w:rsidRDefault="002B05E8" w:rsidP="002B05E8">
            <w:pPr>
              <w:spacing w:after="0"/>
              <w:rPr>
                <w:rFonts w:cs="Arial"/>
              </w:rPr>
            </w:pPr>
          </w:p>
        </w:tc>
        <w:tc>
          <w:tcPr>
            <w:tcW w:w="1139" w:type="dxa"/>
            <w:shd w:val="clear" w:color="auto" w:fill="auto"/>
          </w:tcPr>
          <w:p w14:paraId="7F954A1E" w14:textId="42382696" w:rsidR="002B05E8" w:rsidRPr="002B05E8" w:rsidRDefault="002B05E8" w:rsidP="002B05E8">
            <w:pPr>
              <w:spacing w:after="0"/>
              <w:rPr>
                <w:rFonts w:cs="Arial"/>
              </w:rPr>
            </w:pPr>
          </w:p>
        </w:tc>
        <w:tc>
          <w:tcPr>
            <w:tcW w:w="1276" w:type="dxa"/>
            <w:shd w:val="clear" w:color="auto" w:fill="auto"/>
          </w:tcPr>
          <w:p w14:paraId="1D4956B0" w14:textId="455753D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5050C30B"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6752032D"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3726D1F9"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Default="0006500B" w:rsidP="009B4761">
      <w:pPr>
        <w:spacing w:after="0"/>
        <w:jc w:val="center"/>
        <w:rPr>
          <w:rFonts w:cs="Arial"/>
          <w:sz w:val="22"/>
        </w:rPr>
      </w:pPr>
    </w:p>
    <w:p w14:paraId="14E20CA2" w14:textId="77777777" w:rsidR="002A5158" w:rsidRPr="00284376" w:rsidRDefault="002A5158" w:rsidP="009B4761">
      <w:pPr>
        <w:spacing w:after="0"/>
        <w:jc w:val="center"/>
        <w:rPr>
          <w:rFonts w:cs="Arial"/>
          <w:sz w:val="22"/>
        </w:rPr>
      </w:pPr>
    </w:p>
    <w:sectPr w:rsidR="002A5158" w:rsidRPr="00284376" w:rsidSect="002B05E8">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F960" w14:textId="77777777" w:rsidR="00B05CA9" w:rsidRDefault="00B05CA9" w:rsidP="006C7C3F">
      <w:pPr>
        <w:spacing w:after="0"/>
      </w:pPr>
      <w:r>
        <w:separator/>
      </w:r>
    </w:p>
  </w:endnote>
  <w:endnote w:type="continuationSeparator" w:id="0">
    <w:p w14:paraId="36934BEE" w14:textId="77777777" w:rsidR="00B05CA9" w:rsidRDefault="00B05CA9"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1542" w14:textId="77777777" w:rsidR="00CE2204" w:rsidRDefault="00CE2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16C3293C" w:rsidR="004D12C4" w:rsidRDefault="004D12C4" w:rsidP="00CE2204">
    <w:pPr>
      <w:pStyle w:val="Footer"/>
      <w:jc w:val="right"/>
      <w:rPr>
        <w:color w:val="808080" w:themeColor="background1" w:themeShade="80"/>
        <w:sz w:val="18"/>
      </w:rPr>
    </w:pPr>
  </w:p>
  <w:p w14:paraId="018B3A6F" w14:textId="38C0660F" w:rsidR="00B80582" w:rsidRPr="009B1427" w:rsidRDefault="00B80582">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D527" w14:textId="77777777" w:rsidR="00CE2204" w:rsidRDefault="00CE22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77777777" w:rsidR="004D12C4" w:rsidRDefault="004D12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3302EF5E" w:rsidR="004D12C4" w:rsidRDefault="004D12C4" w:rsidP="00CE2204">
    <w:pPr>
      <w:pStyle w:val="Footer"/>
      <w:jc w:val="right"/>
      <w:rPr>
        <w:color w:val="808080" w:themeColor="background1" w:themeShade="80"/>
        <w:sz w:val="18"/>
      </w:rPr>
    </w:pPr>
  </w:p>
  <w:p w14:paraId="072EA26C" w14:textId="4AD9B1E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77777777" w:rsidR="004D12C4" w:rsidRDefault="004D12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77777777" w:rsidR="004D12C4" w:rsidRDefault="004D12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15A3DDA0" w:rsidR="004D12C4" w:rsidRDefault="004D12C4" w:rsidP="00CE2204">
    <w:pPr>
      <w:pStyle w:val="Footer"/>
      <w:jc w:val="right"/>
      <w:rPr>
        <w:color w:val="808080" w:themeColor="background1" w:themeShade="80"/>
        <w:sz w:val="18"/>
      </w:rPr>
    </w:pPr>
  </w:p>
  <w:p w14:paraId="37F2A049" w14:textId="0BABF3D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77777777" w:rsidR="004D12C4" w:rsidRDefault="004D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1100" w14:textId="77777777" w:rsidR="00B05CA9" w:rsidRDefault="00B05CA9" w:rsidP="006C7C3F">
      <w:pPr>
        <w:spacing w:after="0"/>
      </w:pPr>
      <w:r>
        <w:separator/>
      </w:r>
    </w:p>
  </w:footnote>
  <w:footnote w:type="continuationSeparator" w:id="0">
    <w:p w14:paraId="1D5D9E52" w14:textId="77777777" w:rsidR="00B05CA9" w:rsidRDefault="00B05CA9"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F9A0" w14:textId="77777777" w:rsidR="00CE2204" w:rsidRDefault="00CE2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77569D66" w:rsidR="004D12C4" w:rsidRDefault="004D12C4" w:rsidP="00CE220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5D33" w14:textId="77777777" w:rsidR="00CE2204" w:rsidRDefault="00CE2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77777777" w:rsidR="004D12C4" w:rsidRDefault="004D12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676CF698" w:rsidR="004D12C4" w:rsidRDefault="004D12C4" w:rsidP="00CE2204">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77777777" w:rsidR="004D12C4" w:rsidRDefault="004D12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7777777" w:rsidR="004D12C4" w:rsidRDefault="004D12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2B190CC5" w:rsidR="004D12C4" w:rsidRDefault="004D12C4" w:rsidP="00CE2204">
    <w:pPr>
      <w:pStyle w:val="Header"/>
      <w:spacing w:after="0"/>
    </w:pPr>
  </w:p>
  <w:p w14:paraId="2FB6557F" w14:textId="5D39BCA7" w:rsidR="00B80582" w:rsidRDefault="00B80582">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77777777" w:rsidR="004D12C4" w:rsidRDefault="004D1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327508">
    <w:abstractNumId w:val="5"/>
  </w:num>
  <w:num w:numId="2" w16cid:durableId="1525248838">
    <w:abstractNumId w:val="2"/>
  </w:num>
  <w:num w:numId="3" w16cid:durableId="1756707494">
    <w:abstractNumId w:val="3"/>
  </w:num>
  <w:num w:numId="4" w16cid:durableId="889073944">
    <w:abstractNumId w:val="1"/>
  </w:num>
  <w:num w:numId="5" w16cid:durableId="603539265">
    <w:abstractNumId w:val="4"/>
  </w:num>
  <w:num w:numId="6" w16cid:durableId="875972582">
    <w:abstractNumId w:val="6"/>
  </w:num>
  <w:num w:numId="7" w16cid:durableId="1484001444">
    <w:abstractNumId w:val="8"/>
  </w:num>
  <w:num w:numId="8" w16cid:durableId="1157770134">
    <w:abstractNumId w:val="9"/>
  </w:num>
  <w:num w:numId="9" w16cid:durableId="649597225">
    <w:abstractNumId w:val="10"/>
  </w:num>
  <w:num w:numId="10" w16cid:durableId="498229664">
    <w:abstractNumId w:val="0"/>
  </w:num>
  <w:num w:numId="11" w16cid:durableId="1398481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277A"/>
    <w:rsid w:val="00002794"/>
    <w:rsid w:val="00003D13"/>
    <w:rsid w:val="00021F65"/>
    <w:rsid w:val="00022AAE"/>
    <w:rsid w:val="00024F23"/>
    <w:rsid w:val="0003227A"/>
    <w:rsid w:val="00045C59"/>
    <w:rsid w:val="00061D15"/>
    <w:rsid w:val="0006500B"/>
    <w:rsid w:val="000721A6"/>
    <w:rsid w:val="00073A86"/>
    <w:rsid w:val="00074A1B"/>
    <w:rsid w:val="0008508E"/>
    <w:rsid w:val="000915CE"/>
    <w:rsid w:val="000A5BC6"/>
    <w:rsid w:val="000C6B4B"/>
    <w:rsid w:val="000D2A9C"/>
    <w:rsid w:val="000F4752"/>
    <w:rsid w:val="00125475"/>
    <w:rsid w:val="00151C80"/>
    <w:rsid w:val="00151CEA"/>
    <w:rsid w:val="00171FFC"/>
    <w:rsid w:val="00176DA9"/>
    <w:rsid w:val="001923FD"/>
    <w:rsid w:val="0019524A"/>
    <w:rsid w:val="001A716C"/>
    <w:rsid w:val="001B16D7"/>
    <w:rsid w:val="001B6DDE"/>
    <w:rsid w:val="001D58F2"/>
    <w:rsid w:val="001F0377"/>
    <w:rsid w:val="001F1C7E"/>
    <w:rsid w:val="00203DA9"/>
    <w:rsid w:val="0020598C"/>
    <w:rsid w:val="00223203"/>
    <w:rsid w:val="002327C7"/>
    <w:rsid w:val="00243072"/>
    <w:rsid w:val="0026467C"/>
    <w:rsid w:val="002666FD"/>
    <w:rsid w:val="00273F7B"/>
    <w:rsid w:val="00284376"/>
    <w:rsid w:val="002A5158"/>
    <w:rsid w:val="002B05E8"/>
    <w:rsid w:val="002B25C1"/>
    <w:rsid w:val="002C14D0"/>
    <w:rsid w:val="002C2032"/>
    <w:rsid w:val="002E140F"/>
    <w:rsid w:val="00302841"/>
    <w:rsid w:val="00305035"/>
    <w:rsid w:val="0031774F"/>
    <w:rsid w:val="0032185F"/>
    <w:rsid w:val="00355EFE"/>
    <w:rsid w:val="0036338E"/>
    <w:rsid w:val="00374F1D"/>
    <w:rsid w:val="003803C4"/>
    <w:rsid w:val="003952B9"/>
    <w:rsid w:val="003A1D80"/>
    <w:rsid w:val="003A4325"/>
    <w:rsid w:val="003C1768"/>
    <w:rsid w:val="003C6511"/>
    <w:rsid w:val="003D29F1"/>
    <w:rsid w:val="004048D6"/>
    <w:rsid w:val="00420169"/>
    <w:rsid w:val="00432571"/>
    <w:rsid w:val="00441A99"/>
    <w:rsid w:val="00441C68"/>
    <w:rsid w:val="004675FF"/>
    <w:rsid w:val="004B3FFC"/>
    <w:rsid w:val="004C47D7"/>
    <w:rsid w:val="004D12C4"/>
    <w:rsid w:val="004E39CB"/>
    <w:rsid w:val="004F0C1B"/>
    <w:rsid w:val="00502E3C"/>
    <w:rsid w:val="00515E5E"/>
    <w:rsid w:val="00526B18"/>
    <w:rsid w:val="005414C5"/>
    <w:rsid w:val="0054307C"/>
    <w:rsid w:val="00546FC7"/>
    <w:rsid w:val="005759C2"/>
    <w:rsid w:val="0058658D"/>
    <w:rsid w:val="00587EC8"/>
    <w:rsid w:val="00594821"/>
    <w:rsid w:val="00596A54"/>
    <w:rsid w:val="005C0DA9"/>
    <w:rsid w:val="005C409F"/>
    <w:rsid w:val="005C6D95"/>
    <w:rsid w:val="005E2DB5"/>
    <w:rsid w:val="005F5252"/>
    <w:rsid w:val="0062792D"/>
    <w:rsid w:val="0063560B"/>
    <w:rsid w:val="0065452B"/>
    <w:rsid w:val="00664D61"/>
    <w:rsid w:val="00683350"/>
    <w:rsid w:val="006C1870"/>
    <w:rsid w:val="006C7C3F"/>
    <w:rsid w:val="006E4068"/>
    <w:rsid w:val="006E7F54"/>
    <w:rsid w:val="006F266D"/>
    <w:rsid w:val="006F3D49"/>
    <w:rsid w:val="00725441"/>
    <w:rsid w:val="00733C28"/>
    <w:rsid w:val="00735B2B"/>
    <w:rsid w:val="00750918"/>
    <w:rsid w:val="00751BC9"/>
    <w:rsid w:val="007728AA"/>
    <w:rsid w:val="007833B7"/>
    <w:rsid w:val="0079540E"/>
    <w:rsid w:val="007B411F"/>
    <w:rsid w:val="007C6D63"/>
    <w:rsid w:val="007E1C80"/>
    <w:rsid w:val="007F443F"/>
    <w:rsid w:val="00837039"/>
    <w:rsid w:val="0084508C"/>
    <w:rsid w:val="008479B4"/>
    <w:rsid w:val="00850928"/>
    <w:rsid w:val="00852384"/>
    <w:rsid w:val="00853CB7"/>
    <w:rsid w:val="008D7D50"/>
    <w:rsid w:val="008D7ED7"/>
    <w:rsid w:val="008E3B96"/>
    <w:rsid w:val="008E5633"/>
    <w:rsid w:val="008F1FDC"/>
    <w:rsid w:val="00911344"/>
    <w:rsid w:val="00922874"/>
    <w:rsid w:val="009315C2"/>
    <w:rsid w:val="009354D9"/>
    <w:rsid w:val="00941478"/>
    <w:rsid w:val="00946D32"/>
    <w:rsid w:val="00955FE4"/>
    <w:rsid w:val="009739D2"/>
    <w:rsid w:val="009804E4"/>
    <w:rsid w:val="00983DF2"/>
    <w:rsid w:val="00985707"/>
    <w:rsid w:val="00992DCE"/>
    <w:rsid w:val="009A23E1"/>
    <w:rsid w:val="009A2A3C"/>
    <w:rsid w:val="009A5036"/>
    <w:rsid w:val="009B1427"/>
    <w:rsid w:val="009B4761"/>
    <w:rsid w:val="009C7714"/>
    <w:rsid w:val="00A013C7"/>
    <w:rsid w:val="00A07C71"/>
    <w:rsid w:val="00A5792E"/>
    <w:rsid w:val="00A70EA5"/>
    <w:rsid w:val="00A8457D"/>
    <w:rsid w:val="00A95122"/>
    <w:rsid w:val="00AB0842"/>
    <w:rsid w:val="00AC6780"/>
    <w:rsid w:val="00AD4B32"/>
    <w:rsid w:val="00B05CA9"/>
    <w:rsid w:val="00B07F1D"/>
    <w:rsid w:val="00B25D31"/>
    <w:rsid w:val="00B32E73"/>
    <w:rsid w:val="00B36AD4"/>
    <w:rsid w:val="00B36B87"/>
    <w:rsid w:val="00B4640E"/>
    <w:rsid w:val="00B51F1A"/>
    <w:rsid w:val="00B53F02"/>
    <w:rsid w:val="00B567EA"/>
    <w:rsid w:val="00B7294B"/>
    <w:rsid w:val="00B74DAE"/>
    <w:rsid w:val="00B76554"/>
    <w:rsid w:val="00B80582"/>
    <w:rsid w:val="00B96386"/>
    <w:rsid w:val="00BD4C85"/>
    <w:rsid w:val="00BE06F1"/>
    <w:rsid w:val="00BF03F9"/>
    <w:rsid w:val="00C2077B"/>
    <w:rsid w:val="00C20862"/>
    <w:rsid w:val="00C277C5"/>
    <w:rsid w:val="00C500B9"/>
    <w:rsid w:val="00C6297F"/>
    <w:rsid w:val="00C64CCD"/>
    <w:rsid w:val="00CC262E"/>
    <w:rsid w:val="00CD37ED"/>
    <w:rsid w:val="00CE0711"/>
    <w:rsid w:val="00CE2204"/>
    <w:rsid w:val="00CF19A7"/>
    <w:rsid w:val="00CF3ABD"/>
    <w:rsid w:val="00CF4B7D"/>
    <w:rsid w:val="00D14508"/>
    <w:rsid w:val="00D16C53"/>
    <w:rsid w:val="00D36F39"/>
    <w:rsid w:val="00D618BC"/>
    <w:rsid w:val="00D65B32"/>
    <w:rsid w:val="00D821E1"/>
    <w:rsid w:val="00D84DE5"/>
    <w:rsid w:val="00D96DD8"/>
    <w:rsid w:val="00D97547"/>
    <w:rsid w:val="00DA787E"/>
    <w:rsid w:val="00DB41B0"/>
    <w:rsid w:val="00DB515C"/>
    <w:rsid w:val="00DE6ED3"/>
    <w:rsid w:val="00E01EEA"/>
    <w:rsid w:val="00E27230"/>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F3A1A"/>
    <w:rsid w:val="00F02DDF"/>
    <w:rsid w:val="00F12E01"/>
    <w:rsid w:val="00F26261"/>
    <w:rsid w:val="00F323CF"/>
    <w:rsid w:val="00F37547"/>
    <w:rsid w:val="00F40BD9"/>
    <w:rsid w:val="00F42631"/>
    <w:rsid w:val="00F43D64"/>
    <w:rsid w:val="00F525F0"/>
    <w:rsid w:val="00F97B40"/>
    <w:rsid w:val="00FB29C6"/>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964776770">
      <w:bodyDiv w:val="1"/>
      <w:marLeft w:val="0"/>
      <w:marRight w:val="0"/>
      <w:marTop w:val="0"/>
      <w:marBottom w:val="0"/>
      <w:divBdr>
        <w:top w:val="none" w:sz="0" w:space="0" w:color="auto"/>
        <w:left w:val="none" w:sz="0" w:space="0" w:color="auto"/>
        <w:bottom w:val="none" w:sz="0" w:space="0" w:color="auto"/>
        <w:right w:val="none" w:sz="0" w:space="0" w:color="auto"/>
      </w:divBdr>
    </w:div>
    <w:div w:id="1165321513">
      <w:bodyDiv w:val="1"/>
      <w:marLeft w:val="0"/>
      <w:marRight w:val="0"/>
      <w:marTop w:val="0"/>
      <w:marBottom w:val="0"/>
      <w:divBdr>
        <w:top w:val="none" w:sz="0" w:space="0" w:color="auto"/>
        <w:left w:val="none" w:sz="0" w:space="0" w:color="auto"/>
        <w:bottom w:val="none" w:sz="0" w:space="0" w:color="auto"/>
        <w:right w:val="none" w:sz="0" w:space="0" w:color="auto"/>
      </w:divBdr>
    </w:div>
    <w:div w:id="14112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Pages/ResponsePage.aspx?id=7WB3vlNZS0iuldChbfoJ5Tv4OR9pb0BHial1Ag-WKXVUOFk3Sk9SS0JDQ0FRWjhYNDhTVldHUDJaNy4u"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aofcontent/tactical/toolkit/content/defcons/defcon.htm"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CEA7DE0DE24148E8BE879D13A92EEB1E"/>
        <w:category>
          <w:name w:val="General"/>
          <w:gallery w:val="placeholder"/>
        </w:category>
        <w:types>
          <w:type w:val="bbPlcHdr"/>
        </w:types>
        <w:behaviors>
          <w:behavior w:val="content"/>
        </w:behaviors>
        <w:guid w:val="{6F4917E0-091F-4A78-B184-41314C726D58}"/>
      </w:docPartPr>
      <w:docPartBody>
        <w:p w:rsidR="0041177E" w:rsidRDefault="0041177E" w:rsidP="0041177E">
          <w:pPr>
            <w:pStyle w:val="CEA7DE0DE24148E8BE879D13A92EEB1E"/>
          </w:pPr>
          <w:r w:rsidRPr="00C64F8E">
            <w:rPr>
              <w:rStyle w:val="PlaceholderText"/>
            </w:rPr>
            <w:t>Click or tap here to enter text.</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1966B1"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1966B1"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1966B1"/>
    <w:rsid w:val="003C4BA6"/>
    <w:rsid w:val="0041177E"/>
    <w:rsid w:val="005E6217"/>
    <w:rsid w:val="00720190"/>
    <w:rsid w:val="007667C4"/>
    <w:rsid w:val="00771059"/>
    <w:rsid w:val="00BA5D3C"/>
    <w:rsid w:val="00D4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5E6217"/>
    <w:rPr>
      <w:color w:val="808080"/>
    </w:rPr>
  </w:style>
  <w:style w:type="paragraph" w:customStyle="1" w:styleId="CEA7DE0DE24148E8BE879D13A92EEB1E">
    <w:name w:val="CEA7DE0DE24148E8BE879D13A92EEB1E"/>
    <w:rsid w:val="0041177E"/>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 w:type="paragraph" w:customStyle="1" w:styleId="36C4BB7EAE5D47B0A766A888643D2237">
    <w:name w:val="36C4BB7EAE5D47B0A766A888643D2237"/>
    <w:rsid w:val="005E6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7C9949616184F85E2CAA2B502864D" ma:contentTypeVersion="9" ma:contentTypeDescription="Create a new document." ma:contentTypeScope="" ma:versionID="55ca25e5d4e7ae8309d3c905f5adc77f">
  <xsd:schema xmlns:xsd="http://www.w3.org/2001/XMLSchema" xmlns:xs="http://www.w3.org/2001/XMLSchema" xmlns:p="http://schemas.microsoft.com/office/2006/metadata/properties" xmlns:ns2="d4188eeb-f766-45fd-b198-e35d9623a70a" xmlns:ns3="04738c6d-ecc8-46f1-821f-82e308eab3d9" targetNamespace="http://schemas.microsoft.com/office/2006/metadata/properties" ma:root="true" ma:fieldsID="74caf7a84df772a9d5171d936e2ef7d8" ns2:_="" ns3:_="">
    <xsd:import namespace="d4188eeb-f766-45fd-b198-e35d9623a70a"/>
    <xsd:import namespace="04738c6d-ecc8-46f1-821f-82e308eab3d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8eeb-f766-45fd-b198-e35d9623a7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1c83ce4-99bd-4543-83f0-79565ceba318}" ma:internalName="TaxCatchAll" ma:showField="CatchAllData" ma:web="d180e4fd-aafd-4fb0-aafc-43ee8438e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2</Value>
      <Value>1</Value>
    </TaxCatchAll>
    <lcf76f155ced4ddcb4097134ff3c332f xmlns="d4188eeb-f766-45fd-b198-e35d9623a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2.xml><?xml version="1.0" encoding="utf-8"?>
<ds:datastoreItem xmlns:ds="http://schemas.openxmlformats.org/officeDocument/2006/customXml" ds:itemID="{A5338769-C936-4C13-95E1-7A2429850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8eeb-f766-45fd-b198-e35d9623a70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F6DCA-708D-418E-9366-4435B67D4805}">
  <ds:schemaRefs>
    <ds:schemaRef ds:uri="http://schemas.openxmlformats.org/officeDocument/2006/bibliography"/>
  </ds:schemaRefs>
</ds:datastoreItem>
</file>

<file path=customXml/itemProps4.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04738c6d-ecc8-46f1-821f-82e308eab3d9"/>
    <ds:schemaRef ds:uri="d4188eeb-f766-45fd-b198-e35d9623a7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This document is a supplier facing document to be used in conjunction with the Request for Contract Action (RCA) form</dc:description>
  <cp:lastModifiedBy/>
  <cp:revision>1</cp:revision>
  <dcterms:created xsi:type="dcterms:W3CDTF">2023-03-30T10:28:00Z</dcterms:created>
  <dcterms:modified xsi:type="dcterms:W3CDTF">2023-03-30T10:36:00Z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0x010100E737C9949616184F85E2CAA2B502864D</vt:lpwstr>
  </property>
  <property fmtid="{D5CDD505-2E9C-101B-9397-08002B2CF9AE}" pid="3" name="_dlc_DocIdItemGuid">
    <vt:lpwstr>49b08507-cd25-4607-9ca8-ff22eda57606</vt:lpwstr>
  </property>
  <property fmtid="{D5CDD505-2E9C-101B-9397-08002B2CF9AE}" pid="4" name="TaxKeyword">
    <vt:lpwstr/>
  </property>
  <property fmtid="{D5CDD505-2E9C-101B-9397-08002B2CF9AE}" pid="5" name="ASTRID PMO Library Structure">
    <vt:lpwstr>2;#Management Information|78ba8c1d-b1b1-4b17-b571-702a54f24222</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MSIP_Label_d8a60473-494b-4586-a1bb-b0e663054676_Enabled">
    <vt:lpwstr>true</vt:lpwstr>
  </property>
  <property fmtid="{D5CDD505-2E9C-101B-9397-08002B2CF9AE}" pid="14" name="MSIP_Label_d8a60473-494b-4586-a1bb-b0e663054676_SetDate">
    <vt:lpwstr>2023-01-06T10:39:14Z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4d996d7b-1a02-4eb3-809e-63415a3c7052</vt:lpwstr>
  </property>
  <property fmtid="{D5CDD505-2E9C-101B-9397-08002B2CF9AE}" pid="19" name="MSIP_Label_d8a60473-494b-4586-a1bb-b0e663054676_ContentBits">
    <vt:lpwstr>0</vt:lpwstr>
  </property>
  <property fmtid="{D5CDD505-2E9C-101B-9397-08002B2CF9AE}" pid="20" name="BusinessGroupRefiners">
    <vt:lpwstr>1;#SHP2|0585b5fc-e969-45ec-af06-451699753f5e</vt:lpwstr>
  </property>
</Properties>
</file>