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258F2" w14:textId="38B2E058" w:rsidR="005E1DA6" w:rsidRDefault="005E1DA6" w:rsidP="0032105C">
      <w:pPr>
        <w:rPr>
          <w:b/>
          <w:sz w:val="20"/>
        </w:rPr>
      </w:pPr>
    </w:p>
    <w:p w14:paraId="39C3A104" w14:textId="2646EF0B" w:rsidR="000D1CEE" w:rsidRPr="00BE4C73" w:rsidRDefault="00BE4C73" w:rsidP="000D1CEE">
      <w:pPr>
        <w:jc w:val="center"/>
        <w:rPr>
          <w:rFonts w:cs="Arial"/>
          <w:b/>
        </w:rPr>
      </w:pPr>
      <w:r w:rsidRPr="00BE4C73">
        <w:rPr>
          <w:rFonts w:cs="Arial"/>
          <w:b/>
        </w:rPr>
        <w:t>Schedule 16 - K</w:t>
      </w:r>
      <w:r w:rsidR="000D1CEE" w:rsidRPr="00BE4C73">
        <w:rPr>
          <w:rFonts w:cs="Arial"/>
          <w:b/>
        </w:rPr>
        <w:t>ey Performance Indicators</w:t>
      </w:r>
      <w:r w:rsidRPr="00BE4C73">
        <w:rPr>
          <w:rFonts w:cs="Arial"/>
          <w:b/>
        </w:rPr>
        <w:t xml:space="preserve"> (KPIs)</w:t>
      </w:r>
    </w:p>
    <w:p w14:paraId="4B820788" w14:textId="77777777" w:rsidR="00644CA4" w:rsidRPr="00374332" w:rsidRDefault="00644CA4" w:rsidP="000D1CEE">
      <w:pPr>
        <w:jc w:val="center"/>
        <w:rPr>
          <w:rFonts w:cs="Arial"/>
          <w:b/>
          <w:u w:val="single"/>
        </w:rPr>
      </w:pPr>
    </w:p>
    <w:p w14:paraId="4F3B6871" w14:textId="77777777" w:rsidR="00644CA4" w:rsidRDefault="00644CA4" w:rsidP="00644CA4">
      <w:pPr>
        <w:keepNext/>
        <w:suppressAutoHyphens/>
        <w:spacing w:before="120" w:after="240"/>
        <w:jc w:val="both"/>
        <w:outlineLvl w:val="1"/>
        <w:rPr>
          <w:rFonts w:cs="Arial"/>
          <w:b/>
          <w:kern w:val="0"/>
          <w:szCs w:val="22"/>
          <w:lang w:eastAsia="en-GB"/>
        </w:rPr>
      </w:pPr>
      <w:r>
        <w:rPr>
          <w:rFonts w:cs="Arial"/>
          <w:b/>
          <w:szCs w:val="22"/>
        </w:rPr>
        <w:t>1.</w:t>
      </w:r>
      <w:r>
        <w:rPr>
          <w:rFonts w:cs="Arial"/>
          <w:b/>
          <w:szCs w:val="22"/>
        </w:rPr>
        <w:tab/>
        <w:t>Performance Measurement and Retention of Payment</w:t>
      </w:r>
    </w:p>
    <w:p w14:paraId="35229D07" w14:textId="77777777" w:rsidR="00644CA4" w:rsidRDefault="00644CA4" w:rsidP="00644CA4">
      <w:pPr>
        <w:jc w:val="both"/>
        <w:rPr>
          <w:rFonts w:cs="Arial"/>
          <w:color w:val="FF0000"/>
          <w:sz w:val="20"/>
        </w:rPr>
      </w:pPr>
      <w:r>
        <w:rPr>
          <w:rFonts w:cs="Arial"/>
          <w:sz w:val="20"/>
        </w:rPr>
        <w:t>1.1</w:t>
      </w:r>
      <w:r>
        <w:rPr>
          <w:rFonts w:cs="Arial"/>
          <w:sz w:val="20"/>
        </w:rPr>
        <w:tab/>
        <w:t>The Contractor's performance in terms of meeting the required level of service, including any faults encountered will be measured under the arrangements detailed in Clause 1.2 below and reviewed by the Contractor, Authority and User at the Quarterly Progress Meetings. Where faults have been identified, the onus is on the Contractor to demonstrate to the Authority’s satisfaction that any faults or failure are not attributable to it.</w:t>
      </w:r>
    </w:p>
    <w:p w14:paraId="0BEEF78D" w14:textId="77777777" w:rsidR="00644CA4" w:rsidRDefault="00644CA4" w:rsidP="00644CA4">
      <w:pPr>
        <w:ind w:left="720"/>
        <w:jc w:val="both"/>
        <w:rPr>
          <w:rFonts w:cs="Arial"/>
          <w:sz w:val="20"/>
        </w:rPr>
      </w:pPr>
    </w:p>
    <w:p w14:paraId="699BA62D" w14:textId="77777777" w:rsidR="00644CA4" w:rsidRDefault="00644CA4" w:rsidP="00644CA4">
      <w:pPr>
        <w:jc w:val="both"/>
        <w:rPr>
          <w:rFonts w:cs="Arial"/>
          <w:sz w:val="20"/>
        </w:rPr>
      </w:pPr>
      <w:r>
        <w:rPr>
          <w:rFonts w:cs="Arial"/>
          <w:sz w:val="20"/>
        </w:rPr>
        <w:t>1.2</w:t>
      </w:r>
      <w:r>
        <w:rPr>
          <w:rFonts w:cs="Arial"/>
          <w:sz w:val="20"/>
        </w:rPr>
        <w:tab/>
        <w:t>In the event that in any given quarter the Contractor fails to meet the required level of performance against Table 1 below, the Authority shall have the right to make the following deductions under Table 2:</w:t>
      </w:r>
    </w:p>
    <w:p w14:paraId="2104E880" w14:textId="0FE2F8B6" w:rsidR="000D1CEE" w:rsidRDefault="000D1CEE" w:rsidP="000D1CEE">
      <w:pPr>
        <w:jc w:val="center"/>
        <w:rPr>
          <w:rFonts w:cs="Arial"/>
          <w:b/>
        </w:rPr>
      </w:pPr>
    </w:p>
    <w:p w14:paraId="116C1D36" w14:textId="0A641FD8" w:rsidR="006807EF" w:rsidRPr="00374332" w:rsidRDefault="006807EF" w:rsidP="006807EF">
      <w:pPr>
        <w:rPr>
          <w:rFonts w:cs="Arial"/>
          <w:b/>
        </w:rPr>
      </w:pPr>
      <w:r>
        <w:rPr>
          <w:rFonts w:cs="Arial"/>
          <w:b/>
        </w:rPr>
        <w:t>Table 1 – KPI Criteria</w:t>
      </w:r>
    </w:p>
    <w:p w14:paraId="6C5C2144" w14:textId="77777777" w:rsidR="00C80D9C" w:rsidRDefault="00C80D9C" w:rsidP="00C80D9C"/>
    <w:tbl>
      <w:tblPr>
        <w:tblStyle w:val="TableGrid"/>
        <w:tblW w:w="14596" w:type="dxa"/>
        <w:tblLook w:val="04A0" w:firstRow="1" w:lastRow="0" w:firstColumn="1" w:lastColumn="0" w:noHBand="0" w:noVBand="1"/>
      </w:tblPr>
      <w:tblGrid>
        <w:gridCol w:w="675"/>
        <w:gridCol w:w="1730"/>
        <w:gridCol w:w="3402"/>
        <w:gridCol w:w="4678"/>
        <w:gridCol w:w="4111"/>
      </w:tblGrid>
      <w:tr w:rsidR="00C80D9C" w14:paraId="21167AC0" w14:textId="77777777" w:rsidTr="00C80D9C">
        <w:trPr>
          <w:cantSplit/>
          <w:tblHeader/>
        </w:trPr>
        <w:tc>
          <w:tcPr>
            <w:tcW w:w="675" w:type="dxa"/>
            <w:tcBorders>
              <w:top w:val="single" w:sz="4" w:space="0" w:color="auto"/>
              <w:left w:val="single" w:sz="4" w:space="0" w:color="auto"/>
              <w:bottom w:val="single" w:sz="4" w:space="0" w:color="auto"/>
              <w:right w:val="single" w:sz="4" w:space="0" w:color="auto"/>
            </w:tcBorders>
            <w:hideMark/>
          </w:tcPr>
          <w:p w14:paraId="25752F55" w14:textId="77777777" w:rsidR="00C80D9C" w:rsidRDefault="00C80D9C">
            <w:pPr>
              <w:jc w:val="center"/>
              <w:rPr>
                <w:b/>
              </w:rPr>
            </w:pPr>
            <w:r>
              <w:rPr>
                <w:b/>
              </w:rPr>
              <w:t>KPI</w:t>
            </w:r>
          </w:p>
        </w:tc>
        <w:tc>
          <w:tcPr>
            <w:tcW w:w="1730" w:type="dxa"/>
            <w:tcBorders>
              <w:top w:val="single" w:sz="4" w:space="0" w:color="auto"/>
              <w:left w:val="single" w:sz="4" w:space="0" w:color="auto"/>
              <w:bottom w:val="single" w:sz="4" w:space="0" w:color="auto"/>
              <w:right w:val="single" w:sz="4" w:space="0" w:color="auto"/>
            </w:tcBorders>
            <w:hideMark/>
          </w:tcPr>
          <w:p w14:paraId="1BA58CA6" w14:textId="77777777" w:rsidR="00C80D9C" w:rsidRDefault="00C80D9C">
            <w:pPr>
              <w:rPr>
                <w:b/>
              </w:rPr>
            </w:pPr>
            <w:r>
              <w:rPr>
                <w:b/>
              </w:rPr>
              <w:t>Title</w:t>
            </w:r>
          </w:p>
        </w:tc>
        <w:tc>
          <w:tcPr>
            <w:tcW w:w="3402" w:type="dxa"/>
            <w:tcBorders>
              <w:top w:val="single" w:sz="4" w:space="0" w:color="auto"/>
              <w:left w:val="single" w:sz="4" w:space="0" w:color="auto"/>
              <w:bottom w:val="single" w:sz="4" w:space="0" w:color="auto"/>
              <w:right w:val="single" w:sz="4" w:space="0" w:color="auto"/>
            </w:tcBorders>
            <w:hideMark/>
          </w:tcPr>
          <w:p w14:paraId="39117BB2" w14:textId="77777777" w:rsidR="00C80D9C" w:rsidRDefault="00C80D9C">
            <w:pPr>
              <w:rPr>
                <w:b/>
              </w:rPr>
            </w:pPr>
            <w:r>
              <w:rPr>
                <w:b/>
              </w:rPr>
              <w:t>Description</w:t>
            </w:r>
          </w:p>
        </w:tc>
        <w:tc>
          <w:tcPr>
            <w:tcW w:w="4678" w:type="dxa"/>
            <w:tcBorders>
              <w:top w:val="single" w:sz="4" w:space="0" w:color="auto"/>
              <w:left w:val="single" w:sz="4" w:space="0" w:color="auto"/>
              <w:bottom w:val="single" w:sz="4" w:space="0" w:color="auto"/>
              <w:right w:val="single" w:sz="4" w:space="0" w:color="auto"/>
            </w:tcBorders>
            <w:hideMark/>
          </w:tcPr>
          <w:p w14:paraId="6EC328C3" w14:textId="77777777" w:rsidR="00C80D9C" w:rsidRDefault="00C80D9C">
            <w:pPr>
              <w:rPr>
                <w:b/>
              </w:rPr>
            </w:pPr>
            <w:r>
              <w:rPr>
                <w:b/>
              </w:rPr>
              <w:t>Required Performance</w:t>
            </w:r>
          </w:p>
        </w:tc>
        <w:tc>
          <w:tcPr>
            <w:tcW w:w="4111" w:type="dxa"/>
            <w:tcBorders>
              <w:top w:val="single" w:sz="4" w:space="0" w:color="auto"/>
              <w:left w:val="single" w:sz="4" w:space="0" w:color="auto"/>
              <w:bottom w:val="single" w:sz="4" w:space="0" w:color="auto"/>
              <w:right w:val="single" w:sz="4" w:space="0" w:color="auto"/>
            </w:tcBorders>
            <w:hideMark/>
          </w:tcPr>
          <w:p w14:paraId="4FFFBD85" w14:textId="77777777" w:rsidR="00C80D9C" w:rsidRDefault="00C80D9C">
            <w:pPr>
              <w:rPr>
                <w:b/>
              </w:rPr>
            </w:pPr>
            <w:r>
              <w:rPr>
                <w:b/>
              </w:rPr>
              <w:t>Reporting Mechanism</w:t>
            </w:r>
          </w:p>
        </w:tc>
      </w:tr>
      <w:tr w:rsidR="00C80D9C" w14:paraId="39799E6F" w14:textId="77777777" w:rsidTr="000D78B9">
        <w:trPr>
          <w:trHeight w:val="3282"/>
        </w:trPr>
        <w:tc>
          <w:tcPr>
            <w:tcW w:w="675" w:type="dxa"/>
            <w:tcBorders>
              <w:top w:val="single" w:sz="4" w:space="0" w:color="auto"/>
              <w:left w:val="single" w:sz="4" w:space="0" w:color="auto"/>
              <w:bottom w:val="single" w:sz="4" w:space="0" w:color="auto"/>
              <w:right w:val="single" w:sz="4" w:space="0" w:color="auto"/>
            </w:tcBorders>
          </w:tcPr>
          <w:p w14:paraId="766FCCA5" w14:textId="77777777" w:rsidR="00C80D9C" w:rsidRDefault="00C80D9C">
            <w:pPr>
              <w:jc w:val="center"/>
              <w:rPr>
                <w:b/>
                <w:sz w:val="20"/>
              </w:rPr>
            </w:pPr>
          </w:p>
          <w:p w14:paraId="3A0ADF49" w14:textId="77777777" w:rsidR="00C80D9C" w:rsidRDefault="00C80D9C">
            <w:pPr>
              <w:jc w:val="center"/>
              <w:rPr>
                <w:b/>
                <w:sz w:val="20"/>
              </w:rPr>
            </w:pPr>
            <w:r>
              <w:rPr>
                <w:b/>
                <w:sz w:val="20"/>
              </w:rPr>
              <w:t>1</w:t>
            </w:r>
          </w:p>
        </w:tc>
        <w:tc>
          <w:tcPr>
            <w:tcW w:w="1730" w:type="dxa"/>
            <w:tcBorders>
              <w:top w:val="single" w:sz="4" w:space="0" w:color="auto"/>
              <w:left w:val="single" w:sz="4" w:space="0" w:color="auto"/>
              <w:bottom w:val="single" w:sz="4" w:space="0" w:color="auto"/>
              <w:right w:val="single" w:sz="4" w:space="0" w:color="auto"/>
            </w:tcBorders>
          </w:tcPr>
          <w:p w14:paraId="4E24CB69" w14:textId="77777777" w:rsidR="00C80D9C" w:rsidRDefault="00C80D9C">
            <w:pPr>
              <w:rPr>
                <w:b/>
                <w:sz w:val="20"/>
              </w:rPr>
            </w:pPr>
          </w:p>
          <w:p w14:paraId="749C5774" w14:textId="77777777" w:rsidR="00C80D9C" w:rsidRDefault="00C80D9C">
            <w:pPr>
              <w:rPr>
                <w:b/>
                <w:sz w:val="20"/>
              </w:rPr>
            </w:pPr>
            <w:r>
              <w:rPr>
                <w:b/>
                <w:sz w:val="20"/>
              </w:rPr>
              <w:t>TNDS Availability</w:t>
            </w:r>
          </w:p>
        </w:tc>
        <w:tc>
          <w:tcPr>
            <w:tcW w:w="3402" w:type="dxa"/>
            <w:tcBorders>
              <w:top w:val="single" w:sz="4" w:space="0" w:color="auto"/>
              <w:left w:val="single" w:sz="4" w:space="0" w:color="auto"/>
              <w:bottom w:val="single" w:sz="4" w:space="0" w:color="auto"/>
              <w:right w:val="single" w:sz="4" w:space="0" w:color="auto"/>
            </w:tcBorders>
          </w:tcPr>
          <w:p w14:paraId="2CD3F4F4" w14:textId="77777777" w:rsidR="00C80D9C" w:rsidRDefault="00C80D9C">
            <w:pPr>
              <w:rPr>
                <w:sz w:val="20"/>
              </w:rPr>
            </w:pPr>
          </w:p>
          <w:p w14:paraId="5A68F933" w14:textId="77777777" w:rsidR="00C80D9C" w:rsidRDefault="00C80D9C">
            <w:pPr>
              <w:rPr>
                <w:rFonts w:eastAsia="Arial" w:cs="Arial"/>
                <w:sz w:val="20"/>
              </w:rPr>
            </w:pPr>
            <w:r>
              <w:rPr>
                <w:rFonts w:eastAsia="Arial" w:cs="Arial"/>
                <w:sz w:val="20"/>
              </w:rPr>
              <w:t>TNDS has a 100% availability figure.</w:t>
            </w:r>
          </w:p>
          <w:p w14:paraId="082CFB16" w14:textId="77777777" w:rsidR="00C80D9C" w:rsidRDefault="00C80D9C">
            <w:pPr>
              <w:rPr>
                <w:rFonts w:eastAsia="Arial" w:cs="Arial"/>
                <w:sz w:val="20"/>
              </w:rPr>
            </w:pPr>
          </w:p>
          <w:p w14:paraId="40A94180" w14:textId="77777777" w:rsidR="00C80D9C" w:rsidRDefault="00C80D9C">
            <w:pPr>
              <w:rPr>
                <w:rFonts w:eastAsia="Arial" w:cs="Arial"/>
                <w:sz w:val="20"/>
              </w:rPr>
            </w:pPr>
            <w:r>
              <w:rPr>
                <w:rFonts w:eastAsia="Arial" w:cs="Arial"/>
                <w:sz w:val="20"/>
              </w:rPr>
              <w:t>The Contractor shall ensure the equipment and software it owns responsibility for provides 100% availability for the TNDS system.</w:t>
            </w:r>
          </w:p>
          <w:p w14:paraId="41810A1B" w14:textId="0D942F42" w:rsidR="00907C07" w:rsidRDefault="00907C07">
            <w:pPr>
              <w:rPr>
                <w:rFonts w:eastAsia="Arial" w:cs="Arial"/>
                <w:sz w:val="20"/>
              </w:rPr>
            </w:pPr>
          </w:p>
          <w:p w14:paraId="5B283C26" w14:textId="3F436EB9" w:rsidR="00C80D9C" w:rsidRPr="00907C07" w:rsidRDefault="00907C07">
            <w:pPr>
              <w:rPr>
                <w:rFonts w:eastAsia="Arial" w:cs="Arial"/>
                <w:sz w:val="20"/>
              </w:rPr>
            </w:pPr>
            <w:r>
              <w:rPr>
                <w:sz w:val="20"/>
              </w:rPr>
              <w:t>The Contractor shall ensure at least 3 fully functioning fixed workstations and 1 remote workstation are always available to JDLMO.</w:t>
            </w:r>
          </w:p>
        </w:tc>
        <w:tc>
          <w:tcPr>
            <w:tcW w:w="4678" w:type="dxa"/>
            <w:tcBorders>
              <w:top w:val="single" w:sz="4" w:space="0" w:color="auto"/>
              <w:left w:val="single" w:sz="4" w:space="0" w:color="auto"/>
              <w:bottom w:val="single" w:sz="4" w:space="0" w:color="auto"/>
              <w:right w:val="single" w:sz="4" w:space="0" w:color="auto"/>
            </w:tcBorders>
          </w:tcPr>
          <w:p w14:paraId="31986CDA" w14:textId="77777777" w:rsidR="00C80D9C" w:rsidRDefault="00C80D9C">
            <w:pPr>
              <w:rPr>
                <w:sz w:val="20"/>
              </w:rPr>
            </w:pPr>
          </w:p>
          <w:p w14:paraId="3F94A204" w14:textId="77777777" w:rsidR="00C80D9C" w:rsidRDefault="00C80D9C">
            <w:pPr>
              <w:rPr>
                <w:sz w:val="20"/>
              </w:rPr>
            </w:pPr>
            <w:r>
              <w:rPr>
                <w:sz w:val="20"/>
              </w:rPr>
              <w:t>Availability = (D-SU-SO)/((D-SU)/100)</w:t>
            </w:r>
          </w:p>
          <w:p w14:paraId="44183D7B" w14:textId="77777777" w:rsidR="00C80D9C" w:rsidRDefault="00C80D9C">
            <w:pPr>
              <w:rPr>
                <w:sz w:val="20"/>
              </w:rPr>
            </w:pPr>
          </w:p>
          <w:p w14:paraId="70FB8334" w14:textId="77777777" w:rsidR="00C80D9C" w:rsidRDefault="00C80D9C">
            <w:pPr>
              <w:rPr>
                <w:sz w:val="20"/>
              </w:rPr>
            </w:pPr>
            <w:r>
              <w:rPr>
                <w:sz w:val="20"/>
              </w:rPr>
              <w:t>Output metric Calculation formula key:</w:t>
            </w:r>
          </w:p>
          <w:p w14:paraId="7BE554D4" w14:textId="77777777" w:rsidR="00C80D9C" w:rsidRDefault="00C80D9C">
            <w:pPr>
              <w:rPr>
                <w:sz w:val="20"/>
              </w:rPr>
            </w:pPr>
            <w:r>
              <w:rPr>
                <w:sz w:val="20"/>
              </w:rPr>
              <w:t>D    =    Number of calendar days in calculation period</w:t>
            </w:r>
          </w:p>
          <w:p w14:paraId="27F43B6F" w14:textId="77777777" w:rsidR="00C80D9C" w:rsidRDefault="00C80D9C">
            <w:pPr>
              <w:rPr>
                <w:sz w:val="20"/>
              </w:rPr>
            </w:pPr>
            <w:r>
              <w:rPr>
                <w:sz w:val="20"/>
              </w:rPr>
              <w:t>SU =    Total number of days TNDS was in ‘out of use’ or planned maintenance during calculation period</w:t>
            </w:r>
          </w:p>
          <w:p w14:paraId="5F98D2E3" w14:textId="77777777" w:rsidR="00C80D9C" w:rsidRDefault="00C80D9C">
            <w:pPr>
              <w:rPr>
                <w:sz w:val="20"/>
              </w:rPr>
            </w:pPr>
            <w:r>
              <w:rPr>
                <w:sz w:val="20"/>
              </w:rPr>
              <w:t>SO   =   Total number of days for TNDS was unavailable during the calculation period.</w:t>
            </w:r>
          </w:p>
          <w:p w14:paraId="04DF25D6" w14:textId="77777777" w:rsidR="00C80D9C" w:rsidRDefault="00C80D9C">
            <w:pPr>
              <w:rPr>
                <w:sz w:val="20"/>
              </w:rPr>
            </w:pPr>
          </w:p>
        </w:tc>
        <w:tc>
          <w:tcPr>
            <w:tcW w:w="4111" w:type="dxa"/>
            <w:tcBorders>
              <w:top w:val="single" w:sz="4" w:space="0" w:color="auto"/>
              <w:left w:val="single" w:sz="4" w:space="0" w:color="auto"/>
              <w:bottom w:val="single" w:sz="4" w:space="0" w:color="auto"/>
              <w:right w:val="single" w:sz="4" w:space="0" w:color="auto"/>
            </w:tcBorders>
          </w:tcPr>
          <w:p w14:paraId="7FBB2E46" w14:textId="77777777" w:rsidR="00C80D9C" w:rsidRDefault="00C80D9C">
            <w:pPr>
              <w:rPr>
                <w:sz w:val="20"/>
              </w:rPr>
            </w:pPr>
          </w:p>
          <w:p w14:paraId="4AEB21B9" w14:textId="484B36AD" w:rsidR="00C80D9C" w:rsidRDefault="00C80D9C">
            <w:pPr>
              <w:rPr>
                <w:sz w:val="20"/>
              </w:rPr>
            </w:pPr>
            <w:r>
              <w:rPr>
                <w:sz w:val="20"/>
              </w:rPr>
              <w:t xml:space="preserve">The Contractor shall report against this KPI at </w:t>
            </w:r>
            <w:r w:rsidR="00BE4C73">
              <w:rPr>
                <w:sz w:val="20"/>
              </w:rPr>
              <w:t xml:space="preserve">the </w:t>
            </w:r>
            <w:r>
              <w:rPr>
                <w:sz w:val="20"/>
              </w:rPr>
              <w:t xml:space="preserve">Quarterly Progress Meeting. This will be cross checked with the Authority’s record of Contractor performance against this KPI. Where a discrepancy arises, the Authority’s record shall take precedence.  </w:t>
            </w:r>
          </w:p>
        </w:tc>
      </w:tr>
      <w:tr w:rsidR="00907C07" w14:paraId="4229CA62" w14:textId="77777777" w:rsidTr="000D78B9">
        <w:trPr>
          <w:trHeight w:val="1539"/>
        </w:trPr>
        <w:tc>
          <w:tcPr>
            <w:tcW w:w="675" w:type="dxa"/>
            <w:tcBorders>
              <w:top w:val="single" w:sz="4" w:space="0" w:color="auto"/>
              <w:left w:val="single" w:sz="4" w:space="0" w:color="auto"/>
              <w:bottom w:val="single" w:sz="4" w:space="0" w:color="auto"/>
              <w:right w:val="single" w:sz="4" w:space="0" w:color="auto"/>
            </w:tcBorders>
          </w:tcPr>
          <w:p w14:paraId="6928BC06" w14:textId="77777777" w:rsidR="00486F20" w:rsidRDefault="00486F20">
            <w:pPr>
              <w:jc w:val="center"/>
              <w:rPr>
                <w:b/>
                <w:sz w:val="20"/>
              </w:rPr>
            </w:pPr>
          </w:p>
          <w:p w14:paraId="19EB5359" w14:textId="0329C087" w:rsidR="00907C07" w:rsidRDefault="00B5731C">
            <w:pPr>
              <w:jc w:val="center"/>
              <w:rPr>
                <w:b/>
                <w:sz w:val="20"/>
              </w:rPr>
            </w:pPr>
            <w:r>
              <w:rPr>
                <w:b/>
                <w:sz w:val="20"/>
              </w:rPr>
              <w:t>2</w:t>
            </w:r>
          </w:p>
        </w:tc>
        <w:tc>
          <w:tcPr>
            <w:tcW w:w="1730" w:type="dxa"/>
            <w:tcBorders>
              <w:top w:val="single" w:sz="4" w:space="0" w:color="auto"/>
              <w:left w:val="single" w:sz="4" w:space="0" w:color="auto"/>
              <w:bottom w:val="single" w:sz="4" w:space="0" w:color="auto"/>
              <w:right w:val="single" w:sz="4" w:space="0" w:color="auto"/>
            </w:tcBorders>
          </w:tcPr>
          <w:p w14:paraId="2F258CB0" w14:textId="77777777" w:rsidR="00486F20" w:rsidRDefault="00486F20">
            <w:pPr>
              <w:rPr>
                <w:b/>
                <w:sz w:val="20"/>
              </w:rPr>
            </w:pPr>
          </w:p>
          <w:p w14:paraId="73E931C7" w14:textId="6F73237E" w:rsidR="00907C07" w:rsidRDefault="00907C07">
            <w:pPr>
              <w:rPr>
                <w:b/>
                <w:sz w:val="20"/>
              </w:rPr>
            </w:pPr>
            <w:r w:rsidRPr="00907C07">
              <w:rPr>
                <w:b/>
                <w:sz w:val="20"/>
              </w:rPr>
              <w:t>TNDS Information Assurance (IA)</w:t>
            </w:r>
          </w:p>
        </w:tc>
        <w:tc>
          <w:tcPr>
            <w:tcW w:w="3402" w:type="dxa"/>
            <w:tcBorders>
              <w:top w:val="single" w:sz="4" w:space="0" w:color="auto"/>
              <w:left w:val="single" w:sz="4" w:space="0" w:color="auto"/>
              <w:bottom w:val="single" w:sz="4" w:space="0" w:color="auto"/>
              <w:right w:val="single" w:sz="4" w:space="0" w:color="auto"/>
            </w:tcBorders>
          </w:tcPr>
          <w:p w14:paraId="3D08510E" w14:textId="77777777" w:rsidR="00486F20" w:rsidRDefault="00486F20">
            <w:pPr>
              <w:rPr>
                <w:sz w:val="20"/>
              </w:rPr>
            </w:pPr>
          </w:p>
          <w:p w14:paraId="5427A530" w14:textId="7F17D79A" w:rsidR="00907C07" w:rsidRDefault="00907C07">
            <w:pPr>
              <w:rPr>
                <w:sz w:val="20"/>
              </w:rPr>
            </w:pPr>
            <w:r w:rsidRPr="00907C07">
              <w:rPr>
                <w:sz w:val="20"/>
              </w:rPr>
              <w:t xml:space="preserve">Maintenance of the TNDS, and associated websites and databases, to the standards of IA and security compliance required by </w:t>
            </w:r>
            <w:r w:rsidR="00BA55A5">
              <w:rPr>
                <w:sz w:val="20"/>
              </w:rPr>
              <w:t>M</w:t>
            </w:r>
            <w:r w:rsidR="000D78B9">
              <w:rPr>
                <w:sz w:val="20"/>
              </w:rPr>
              <w:t>o</w:t>
            </w:r>
            <w:r w:rsidR="00BA55A5">
              <w:rPr>
                <w:sz w:val="20"/>
              </w:rPr>
              <w:t>D</w:t>
            </w:r>
            <w:r>
              <w:rPr>
                <w:sz w:val="20"/>
              </w:rPr>
              <w:t>.</w:t>
            </w:r>
          </w:p>
        </w:tc>
        <w:tc>
          <w:tcPr>
            <w:tcW w:w="4678" w:type="dxa"/>
            <w:tcBorders>
              <w:top w:val="single" w:sz="4" w:space="0" w:color="auto"/>
              <w:left w:val="single" w:sz="4" w:space="0" w:color="auto"/>
              <w:bottom w:val="single" w:sz="4" w:space="0" w:color="auto"/>
              <w:right w:val="single" w:sz="4" w:space="0" w:color="auto"/>
            </w:tcBorders>
          </w:tcPr>
          <w:p w14:paraId="19FC21B5" w14:textId="77777777" w:rsidR="00486F20" w:rsidRDefault="00486F20">
            <w:pPr>
              <w:rPr>
                <w:sz w:val="20"/>
              </w:rPr>
            </w:pPr>
          </w:p>
          <w:p w14:paraId="0FF9130F" w14:textId="67649D87" w:rsidR="00907C07" w:rsidRDefault="00907C07">
            <w:pPr>
              <w:rPr>
                <w:sz w:val="20"/>
              </w:rPr>
            </w:pPr>
            <w:r w:rsidRPr="00907C07">
              <w:rPr>
                <w:sz w:val="20"/>
              </w:rPr>
              <w:t xml:space="preserve">TNDS must comply with relevant JSPs and application of anti-virus and security patching must always be </w:t>
            </w:r>
            <w:r>
              <w:rPr>
                <w:sz w:val="20"/>
              </w:rPr>
              <w:t xml:space="preserve">up to date. </w:t>
            </w:r>
            <w:r w:rsidRPr="00907C07">
              <w:rPr>
                <w:sz w:val="20"/>
              </w:rPr>
              <w:t>Complies with current security standards, i.e. JSP 440.  Security Accredited. Renewal Date October 2020.</w:t>
            </w:r>
            <w:r>
              <w:rPr>
                <w:sz w:val="20"/>
              </w:rPr>
              <w:t xml:space="preserve"> </w:t>
            </w:r>
          </w:p>
        </w:tc>
        <w:tc>
          <w:tcPr>
            <w:tcW w:w="4111" w:type="dxa"/>
            <w:tcBorders>
              <w:top w:val="single" w:sz="4" w:space="0" w:color="auto"/>
              <w:left w:val="single" w:sz="4" w:space="0" w:color="auto"/>
              <w:bottom w:val="single" w:sz="4" w:space="0" w:color="auto"/>
              <w:right w:val="single" w:sz="4" w:space="0" w:color="auto"/>
            </w:tcBorders>
          </w:tcPr>
          <w:p w14:paraId="27364838" w14:textId="77777777" w:rsidR="00486F20" w:rsidRDefault="00486F20">
            <w:pPr>
              <w:rPr>
                <w:sz w:val="20"/>
              </w:rPr>
            </w:pPr>
          </w:p>
          <w:p w14:paraId="615CDA26" w14:textId="1DBE43A8" w:rsidR="00907C07" w:rsidRDefault="00907C07">
            <w:pPr>
              <w:rPr>
                <w:sz w:val="20"/>
              </w:rPr>
            </w:pPr>
            <w:r>
              <w:rPr>
                <w:sz w:val="20"/>
              </w:rPr>
              <w:t>The Contractor shall report against TNDS Information Assurance (IA) at the Quarterly Progress Meeting.</w:t>
            </w:r>
          </w:p>
        </w:tc>
      </w:tr>
      <w:tr w:rsidR="00CD505B" w14:paraId="4C4C9CDA" w14:textId="77777777" w:rsidTr="00907C07">
        <w:trPr>
          <w:trHeight w:val="1263"/>
        </w:trPr>
        <w:tc>
          <w:tcPr>
            <w:tcW w:w="675" w:type="dxa"/>
            <w:tcBorders>
              <w:top w:val="single" w:sz="4" w:space="0" w:color="auto"/>
              <w:left w:val="single" w:sz="4" w:space="0" w:color="auto"/>
              <w:bottom w:val="single" w:sz="4" w:space="0" w:color="auto"/>
              <w:right w:val="single" w:sz="4" w:space="0" w:color="auto"/>
            </w:tcBorders>
          </w:tcPr>
          <w:p w14:paraId="6121B39D" w14:textId="77777777" w:rsidR="00CD505B" w:rsidRDefault="00CD505B" w:rsidP="00CD505B">
            <w:pPr>
              <w:jc w:val="center"/>
              <w:rPr>
                <w:b/>
                <w:sz w:val="20"/>
              </w:rPr>
            </w:pPr>
          </w:p>
          <w:p w14:paraId="597119ED" w14:textId="3C0A0898" w:rsidR="00CD505B" w:rsidRDefault="00B5731C" w:rsidP="00CD505B">
            <w:pPr>
              <w:jc w:val="center"/>
              <w:rPr>
                <w:b/>
                <w:sz w:val="20"/>
              </w:rPr>
            </w:pPr>
            <w:r>
              <w:rPr>
                <w:b/>
                <w:sz w:val="20"/>
              </w:rPr>
              <w:t>3</w:t>
            </w:r>
          </w:p>
        </w:tc>
        <w:tc>
          <w:tcPr>
            <w:tcW w:w="1730" w:type="dxa"/>
            <w:tcBorders>
              <w:top w:val="single" w:sz="4" w:space="0" w:color="auto"/>
              <w:left w:val="single" w:sz="4" w:space="0" w:color="auto"/>
              <w:bottom w:val="single" w:sz="4" w:space="0" w:color="auto"/>
              <w:right w:val="single" w:sz="4" w:space="0" w:color="auto"/>
            </w:tcBorders>
          </w:tcPr>
          <w:p w14:paraId="13104235" w14:textId="77777777" w:rsidR="00CD505B" w:rsidRDefault="00CD505B" w:rsidP="00CD505B">
            <w:pPr>
              <w:rPr>
                <w:b/>
                <w:sz w:val="20"/>
              </w:rPr>
            </w:pPr>
          </w:p>
          <w:p w14:paraId="62FC7B7A" w14:textId="71C8B4AE" w:rsidR="00CD505B" w:rsidRPr="00907C07" w:rsidRDefault="00CD505B" w:rsidP="00CD505B">
            <w:pPr>
              <w:rPr>
                <w:b/>
                <w:sz w:val="20"/>
              </w:rPr>
            </w:pPr>
            <w:r>
              <w:rPr>
                <w:b/>
                <w:sz w:val="20"/>
              </w:rPr>
              <w:t>User Support Response (Technical Queries)</w:t>
            </w:r>
          </w:p>
        </w:tc>
        <w:tc>
          <w:tcPr>
            <w:tcW w:w="3402" w:type="dxa"/>
            <w:tcBorders>
              <w:top w:val="single" w:sz="4" w:space="0" w:color="auto"/>
              <w:left w:val="single" w:sz="4" w:space="0" w:color="auto"/>
              <w:bottom w:val="single" w:sz="4" w:space="0" w:color="auto"/>
              <w:right w:val="single" w:sz="4" w:space="0" w:color="auto"/>
            </w:tcBorders>
          </w:tcPr>
          <w:p w14:paraId="3BC877B7" w14:textId="77777777" w:rsidR="00CD505B" w:rsidRDefault="00CD505B" w:rsidP="00CD505B">
            <w:pPr>
              <w:rPr>
                <w:sz w:val="20"/>
              </w:rPr>
            </w:pPr>
          </w:p>
          <w:p w14:paraId="0B19E41F" w14:textId="14A56EBE" w:rsidR="00CD505B" w:rsidRPr="00907C07" w:rsidRDefault="00CD505B" w:rsidP="00CD505B">
            <w:pPr>
              <w:rPr>
                <w:sz w:val="20"/>
              </w:rPr>
            </w:pPr>
            <w:r>
              <w:rPr>
                <w:sz w:val="20"/>
              </w:rPr>
              <w:t xml:space="preserve">The Contractor shall provide an initial and final response to all Technical queries.   </w:t>
            </w:r>
          </w:p>
        </w:tc>
        <w:tc>
          <w:tcPr>
            <w:tcW w:w="4678" w:type="dxa"/>
            <w:tcBorders>
              <w:top w:val="single" w:sz="4" w:space="0" w:color="auto"/>
              <w:left w:val="single" w:sz="4" w:space="0" w:color="auto"/>
              <w:bottom w:val="single" w:sz="4" w:space="0" w:color="auto"/>
              <w:right w:val="single" w:sz="4" w:space="0" w:color="auto"/>
            </w:tcBorders>
          </w:tcPr>
          <w:p w14:paraId="29961889" w14:textId="77777777" w:rsidR="00CD505B" w:rsidRDefault="00CD505B" w:rsidP="00CD505B">
            <w:pPr>
              <w:rPr>
                <w:sz w:val="20"/>
              </w:rPr>
            </w:pPr>
          </w:p>
          <w:p w14:paraId="7E380B5E" w14:textId="1A50C674" w:rsidR="00CD505B" w:rsidRDefault="00CD505B" w:rsidP="00CD505B">
            <w:pPr>
              <w:rPr>
                <w:sz w:val="20"/>
              </w:rPr>
            </w:pPr>
            <w:r>
              <w:rPr>
                <w:sz w:val="20"/>
              </w:rPr>
              <w:t xml:space="preserve">The Contractor shall provide an initial response to all Technical queries within two (2) </w:t>
            </w:r>
            <w:r w:rsidR="000D78B9">
              <w:rPr>
                <w:sz w:val="20"/>
              </w:rPr>
              <w:t>working</w:t>
            </w:r>
            <w:r>
              <w:rPr>
                <w:sz w:val="20"/>
              </w:rPr>
              <w:t xml:space="preserve"> days unless an urgent response is requested in which case an initial response shall be provided within one (1) </w:t>
            </w:r>
            <w:r w:rsidR="000D78B9">
              <w:rPr>
                <w:sz w:val="20"/>
              </w:rPr>
              <w:t>working</w:t>
            </w:r>
            <w:r>
              <w:rPr>
                <w:sz w:val="20"/>
              </w:rPr>
              <w:t xml:space="preserve"> day. The initial response shall provide an estimate of the likely hours to resolve and estimate of the delivery date for final response.</w:t>
            </w:r>
          </w:p>
          <w:p w14:paraId="47191FEA" w14:textId="77777777" w:rsidR="00CD505B" w:rsidRDefault="00CD505B" w:rsidP="00CD505B">
            <w:pPr>
              <w:rPr>
                <w:sz w:val="20"/>
              </w:rPr>
            </w:pPr>
          </w:p>
          <w:p w14:paraId="29EA3D22" w14:textId="7F5BFF1A" w:rsidR="00CD505B" w:rsidRDefault="00CD505B" w:rsidP="00CD505B">
            <w:pPr>
              <w:rPr>
                <w:sz w:val="20"/>
              </w:rPr>
            </w:pPr>
            <w:r>
              <w:rPr>
                <w:sz w:val="20"/>
              </w:rPr>
              <w:t xml:space="preserve">The final response to all Technical queries shall be provided within ten (10) </w:t>
            </w:r>
            <w:r w:rsidR="000D78B9">
              <w:rPr>
                <w:sz w:val="20"/>
              </w:rPr>
              <w:t xml:space="preserve">working </w:t>
            </w:r>
            <w:r>
              <w:rPr>
                <w:sz w:val="20"/>
              </w:rPr>
              <w:t>days unless agreed otherwise with the Authority.</w:t>
            </w:r>
          </w:p>
          <w:p w14:paraId="7B5122D8" w14:textId="77777777" w:rsidR="00CD505B" w:rsidRPr="00907C07" w:rsidRDefault="00CD505B" w:rsidP="00CD505B">
            <w:pPr>
              <w:rPr>
                <w:sz w:val="20"/>
              </w:rPr>
            </w:pPr>
          </w:p>
        </w:tc>
        <w:tc>
          <w:tcPr>
            <w:tcW w:w="4111" w:type="dxa"/>
            <w:tcBorders>
              <w:top w:val="single" w:sz="4" w:space="0" w:color="auto"/>
              <w:left w:val="single" w:sz="4" w:space="0" w:color="auto"/>
              <w:bottom w:val="single" w:sz="4" w:space="0" w:color="auto"/>
              <w:right w:val="single" w:sz="4" w:space="0" w:color="auto"/>
            </w:tcBorders>
          </w:tcPr>
          <w:p w14:paraId="1A381520" w14:textId="77777777" w:rsidR="00CD505B" w:rsidRDefault="00CD505B" w:rsidP="00CD505B">
            <w:pPr>
              <w:rPr>
                <w:sz w:val="20"/>
              </w:rPr>
            </w:pPr>
          </w:p>
          <w:p w14:paraId="72B2B166" w14:textId="51858998" w:rsidR="00CD505B" w:rsidRDefault="00CD505B" w:rsidP="00CD505B">
            <w:pPr>
              <w:rPr>
                <w:sz w:val="20"/>
              </w:rPr>
            </w:pPr>
            <w:r>
              <w:rPr>
                <w:sz w:val="20"/>
              </w:rPr>
              <w:t xml:space="preserve">The Contractor shall report against this KPI at each Quarterly Progress Meeting. This will be cross checked with the Authority’s record of Contractor performance against this KPI. Where a discrepancy arises, the Authority’s record shall take precedence.  </w:t>
            </w:r>
          </w:p>
        </w:tc>
      </w:tr>
      <w:tr w:rsidR="00CD505B" w14:paraId="0E949195" w14:textId="77777777" w:rsidTr="000D78B9">
        <w:trPr>
          <w:trHeight w:val="554"/>
        </w:trPr>
        <w:tc>
          <w:tcPr>
            <w:tcW w:w="675" w:type="dxa"/>
            <w:tcBorders>
              <w:top w:val="single" w:sz="4" w:space="0" w:color="auto"/>
              <w:left w:val="single" w:sz="4" w:space="0" w:color="auto"/>
              <w:bottom w:val="single" w:sz="4" w:space="0" w:color="auto"/>
              <w:right w:val="single" w:sz="4" w:space="0" w:color="auto"/>
            </w:tcBorders>
          </w:tcPr>
          <w:p w14:paraId="4A629459" w14:textId="77777777" w:rsidR="00CD505B" w:rsidRDefault="00CD505B" w:rsidP="00CD505B">
            <w:pPr>
              <w:jc w:val="center"/>
              <w:rPr>
                <w:b/>
                <w:sz w:val="20"/>
              </w:rPr>
            </w:pPr>
          </w:p>
          <w:p w14:paraId="42E1F119" w14:textId="05BCB29A" w:rsidR="00CD505B" w:rsidRDefault="00B5731C" w:rsidP="00CD505B">
            <w:pPr>
              <w:jc w:val="center"/>
              <w:rPr>
                <w:b/>
                <w:sz w:val="20"/>
              </w:rPr>
            </w:pPr>
            <w:r>
              <w:rPr>
                <w:b/>
                <w:sz w:val="20"/>
              </w:rPr>
              <w:t>4</w:t>
            </w:r>
          </w:p>
        </w:tc>
        <w:tc>
          <w:tcPr>
            <w:tcW w:w="1730" w:type="dxa"/>
            <w:tcBorders>
              <w:top w:val="single" w:sz="4" w:space="0" w:color="auto"/>
              <w:left w:val="single" w:sz="4" w:space="0" w:color="auto"/>
              <w:bottom w:val="single" w:sz="4" w:space="0" w:color="auto"/>
              <w:right w:val="single" w:sz="4" w:space="0" w:color="auto"/>
            </w:tcBorders>
          </w:tcPr>
          <w:p w14:paraId="70EB32F5" w14:textId="77777777" w:rsidR="00CD505B" w:rsidRDefault="00CD505B" w:rsidP="00CD505B">
            <w:pPr>
              <w:rPr>
                <w:b/>
                <w:sz w:val="20"/>
              </w:rPr>
            </w:pPr>
          </w:p>
          <w:p w14:paraId="0A0EC9E8" w14:textId="77777777" w:rsidR="00CD505B" w:rsidRDefault="00CD505B" w:rsidP="00CD505B">
            <w:pPr>
              <w:rPr>
                <w:b/>
                <w:sz w:val="20"/>
              </w:rPr>
            </w:pPr>
            <w:r>
              <w:rPr>
                <w:b/>
                <w:sz w:val="20"/>
              </w:rPr>
              <w:t>Contractor Meeting Minutes and Action Logs</w:t>
            </w:r>
          </w:p>
        </w:tc>
        <w:tc>
          <w:tcPr>
            <w:tcW w:w="3402" w:type="dxa"/>
            <w:tcBorders>
              <w:top w:val="single" w:sz="4" w:space="0" w:color="auto"/>
              <w:left w:val="single" w:sz="4" w:space="0" w:color="auto"/>
              <w:bottom w:val="single" w:sz="4" w:space="0" w:color="auto"/>
              <w:right w:val="single" w:sz="4" w:space="0" w:color="auto"/>
            </w:tcBorders>
          </w:tcPr>
          <w:p w14:paraId="74648825" w14:textId="77777777" w:rsidR="00CD505B" w:rsidRDefault="00CD505B" w:rsidP="00CD505B">
            <w:pPr>
              <w:rPr>
                <w:sz w:val="20"/>
              </w:rPr>
            </w:pPr>
          </w:p>
          <w:p w14:paraId="4FC7DC7E" w14:textId="06C079F0" w:rsidR="00CD505B" w:rsidRDefault="00CD505B" w:rsidP="00CD505B">
            <w:pPr>
              <w:rPr>
                <w:sz w:val="20"/>
              </w:rPr>
            </w:pPr>
            <w:r>
              <w:rPr>
                <w:sz w:val="20"/>
              </w:rPr>
              <w:t xml:space="preserve">The Contractor shall provide the minutes and action logs from meetings where the Contractor is required to act as Secretary to the meeting within ten (10) </w:t>
            </w:r>
            <w:r w:rsidR="00BA55A5">
              <w:rPr>
                <w:sz w:val="20"/>
              </w:rPr>
              <w:t>working</w:t>
            </w:r>
            <w:r>
              <w:rPr>
                <w:sz w:val="20"/>
              </w:rPr>
              <w:t xml:space="preserve"> days of the meeting.</w:t>
            </w:r>
          </w:p>
          <w:p w14:paraId="41629ABA" w14:textId="77777777" w:rsidR="00CD505B" w:rsidRDefault="00CD505B" w:rsidP="00CD505B">
            <w:pPr>
              <w:rPr>
                <w:sz w:val="20"/>
              </w:rPr>
            </w:pPr>
          </w:p>
          <w:p w14:paraId="09DCEAF4" w14:textId="7ACB4DC7" w:rsidR="00CD505B" w:rsidRDefault="00CD505B" w:rsidP="00CD505B">
            <w:pPr>
              <w:rPr>
                <w:sz w:val="20"/>
              </w:rPr>
            </w:pPr>
            <w:r>
              <w:rPr>
                <w:sz w:val="20"/>
              </w:rPr>
              <w:t xml:space="preserve">The minutes shall be of the required format and quality as defined in the Statement of Requirement </w:t>
            </w:r>
          </w:p>
        </w:tc>
        <w:tc>
          <w:tcPr>
            <w:tcW w:w="4678" w:type="dxa"/>
            <w:tcBorders>
              <w:top w:val="single" w:sz="4" w:space="0" w:color="auto"/>
              <w:left w:val="single" w:sz="4" w:space="0" w:color="auto"/>
              <w:bottom w:val="single" w:sz="4" w:space="0" w:color="auto"/>
              <w:right w:val="single" w:sz="4" w:space="0" w:color="auto"/>
            </w:tcBorders>
          </w:tcPr>
          <w:p w14:paraId="7B2E46DD" w14:textId="77777777" w:rsidR="00CD505B" w:rsidRDefault="00CD505B" w:rsidP="00CD505B">
            <w:pPr>
              <w:rPr>
                <w:sz w:val="20"/>
              </w:rPr>
            </w:pPr>
          </w:p>
          <w:p w14:paraId="39617D47" w14:textId="0D3D7BF0" w:rsidR="00CD505B" w:rsidRDefault="00CD505B" w:rsidP="00CD505B">
            <w:pPr>
              <w:rPr>
                <w:sz w:val="20"/>
              </w:rPr>
            </w:pPr>
            <w:r>
              <w:rPr>
                <w:sz w:val="20"/>
              </w:rPr>
              <w:t xml:space="preserve">100% of meeting minutes and action logs shall be provided within ten (10) </w:t>
            </w:r>
            <w:r w:rsidR="00BA55A5">
              <w:rPr>
                <w:sz w:val="20"/>
              </w:rPr>
              <w:t>working</w:t>
            </w:r>
            <w:r>
              <w:rPr>
                <w:sz w:val="20"/>
              </w:rPr>
              <w:t xml:space="preserve"> days of completion of the meeting.</w:t>
            </w:r>
          </w:p>
          <w:p w14:paraId="6C0FE355" w14:textId="77777777" w:rsidR="00CD505B" w:rsidRDefault="00CD505B" w:rsidP="00CD505B">
            <w:pPr>
              <w:rPr>
                <w:sz w:val="20"/>
              </w:rPr>
            </w:pPr>
          </w:p>
          <w:p w14:paraId="38912C37" w14:textId="55BF2FB2" w:rsidR="00CD505B" w:rsidRDefault="00CD505B" w:rsidP="00CD505B">
            <w:pPr>
              <w:rPr>
                <w:sz w:val="20"/>
              </w:rPr>
            </w:pPr>
            <w:r>
              <w:rPr>
                <w:sz w:val="20"/>
              </w:rPr>
              <w:t xml:space="preserve">100% of returned comment(s) from the Authority shall be amended by the Contractor and returned to the Authority within five (5) </w:t>
            </w:r>
            <w:r w:rsidR="000D78B9">
              <w:rPr>
                <w:sz w:val="20"/>
              </w:rPr>
              <w:t>working</w:t>
            </w:r>
            <w:r>
              <w:rPr>
                <w:sz w:val="20"/>
              </w:rPr>
              <w:t xml:space="preserve"> days.</w:t>
            </w:r>
          </w:p>
          <w:p w14:paraId="345A0908" w14:textId="77777777" w:rsidR="00CD505B" w:rsidRDefault="00CD505B" w:rsidP="00CD505B">
            <w:pPr>
              <w:rPr>
                <w:sz w:val="20"/>
              </w:rPr>
            </w:pPr>
          </w:p>
        </w:tc>
        <w:tc>
          <w:tcPr>
            <w:tcW w:w="4111" w:type="dxa"/>
            <w:tcBorders>
              <w:top w:val="single" w:sz="4" w:space="0" w:color="auto"/>
              <w:left w:val="single" w:sz="4" w:space="0" w:color="auto"/>
              <w:bottom w:val="single" w:sz="4" w:space="0" w:color="auto"/>
              <w:right w:val="single" w:sz="4" w:space="0" w:color="auto"/>
            </w:tcBorders>
          </w:tcPr>
          <w:p w14:paraId="7D194395" w14:textId="77777777" w:rsidR="00CD505B" w:rsidRDefault="00CD505B" w:rsidP="00CD505B">
            <w:pPr>
              <w:rPr>
                <w:sz w:val="20"/>
              </w:rPr>
            </w:pPr>
          </w:p>
          <w:p w14:paraId="4D429680" w14:textId="4216ECE5" w:rsidR="00CD505B" w:rsidRDefault="00CD505B" w:rsidP="00CD505B">
            <w:pPr>
              <w:rPr>
                <w:sz w:val="20"/>
              </w:rPr>
            </w:pPr>
            <w:r>
              <w:rPr>
                <w:sz w:val="20"/>
              </w:rPr>
              <w:t xml:space="preserve">The Contractor shall report against this KPI at the Quarterly Progress Meeting. This will be cross checked with the Authority’s record of Contractor performance against this KPI. Where a discrepancy arises, the Authority’s record shall take precedence.  </w:t>
            </w:r>
          </w:p>
        </w:tc>
      </w:tr>
    </w:tbl>
    <w:p w14:paraId="3491CECE" w14:textId="77777777" w:rsidR="000D1CEE" w:rsidRPr="00374332" w:rsidRDefault="000D1CEE" w:rsidP="000D1CEE">
      <w:pPr>
        <w:jc w:val="center"/>
        <w:rPr>
          <w:rFonts w:cs="Arial"/>
          <w:b/>
        </w:rPr>
      </w:pPr>
    </w:p>
    <w:p w14:paraId="6B582214" w14:textId="77777777" w:rsidR="00467E30" w:rsidRDefault="00467E30" w:rsidP="00C262C4">
      <w:pPr>
        <w:jc w:val="both"/>
        <w:rPr>
          <w:rFonts w:cs="Arial"/>
          <w:b/>
          <w:sz w:val="20"/>
        </w:rPr>
      </w:pPr>
    </w:p>
    <w:p w14:paraId="24D8CF44" w14:textId="77777777" w:rsidR="000D78B9" w:rsidRDefault="000D78B9" w:rsidP="00C262C4">
      <w:pPr>
        <w:jc w:val="both"/>
        <w:rPr>
          <w:rFonts w:cs="Arial"/>
          <w:b/>
          <w:sz w:val="20"/>
        </w:rPr>
      </w:pPr>
    </w:p>
    <w:p w14:paraId="41737EEF" w14:textId="317D0941" w:rsidR="00C262C4" w:rsidRDefault="00C262C4" w:rsidP="00C262C4">
      <w:pPr>
        <w:jc w:val="both"/>
        <w:rPr>
          <w:rFonts w:cs="Arial"/>
          <w:b/>
          <w:sz w:val="20"/>
        </w:rPr>
      </w:pPr>
      <w:r>
        <w:rPr>
          <w:rFonts w:cs="Arial"/>
          <w:b/>
          <w:sz w:val="20"/>
        </w:rPr>
        <w:t>Table 2 - Payment Deductions against Table 1</w:t>
      </w:r>
    </w:p>
    <w:p w14:paraId="7F2CA7C8" w14:textId="36200DCF" w:rsidR="004E0A84" w:rsidRDefault="004E0A84" w:rsidP="00C262C4">
      <w:pPr>
        <w:jc w:val="both"/>
        <w:rPr>
          <w:rFonts w:cs="Arial"/>
          <w:b/>
          <w:kern w:val="0"/>
          <w:sz w:val="20"/>
          <w:lang w:eastAsia="en-GB"/>
        </w:rPr>
      </w:pPr>
    </w:p>
    <w:tbl>
      <w:tblPr>
        <w:tblStyle w:val="TableGrid"/>
        <w:tblpPr w:leftFromText="180" w:rightFromText="180" w:vertAnchor="text" w:tblpY="1"/>
        <w:tblOverlap w:val="never"/>
        <w:tblW w:w="14596" w:type="dxa"/>
        <w:tblLook w:val="04A0" w:firstRow="1" w:lastRow="0" w:firstColumn="1" w:lastColumn="0" w:noHBand="0" w:noVBand="1"/>
      </w:tblPr>
      <w:tblGrid>
        <w:gridCol w:w="551"/>
        <w:gridCol w:w="1854"/>
        <w:gridCol w:w="2977"/>
        <w:gridCol w:w="2977"/>
        <w:gridCol w:w="2976"/>
        <w:gridCol w:w="3261"/>
      </w:tblGrid>
      <w:tr w:rsidR="00EE6815" w14:paraId="39E15D7C" w14:textId="77777777" w:rsidTr="009720E0">
        <w:trPr>
          <w:trHeight w:val="315"/>
        </w:trPr>
        <w:tc>
          <w:tcPr>
            <w:tcW w:w="5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06360C" w14:textId="77777777" w:rsidR="00EE6815" w:rsidRDefault="00EE6815" w:rsidP="009720E0">
            <w:pPr>
              <w:jc w:val="center"/>
              <w:rPr>
                <w:rFonts w:cs="Arial"/>
                <w:b/>
                <w:sz w:val="20"/>
              </w:rPr>
            </w:pPr>
            <w:r>
              <w:rPr>
                <w:rFonts w:cs="Arial"/>
                <w:b/>
                <w:sz w:val="20"/>
              </w:rPr>
              <w:t>KPI</w:t>
            </w:r>
          </w:p>
        </w:tc>
        <w:tc>
          <w:tcPr>
            <w:tcW w:w="18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A544998" w14:textId="77777777" w:rsidR="00EE6815" w:rsidRDefault="00EE6815" w:rsidP="009720E0">
            <w:pPr>
              <w:jc w:val="center"/>
              <w:rPr>
                <w:rFonts w:cs="Arial"/>
                <w:b/>
                <w:sz w:val="20"/>
              </w:rPr>
            </w:pPr>
            <w:r>
              <w:rPr>
                <w:rFonts w:cs="Arial"/>
                <w:b/>
                <w:sz w:val="20"/>
              </w:rPr>
              <w:t>Metric</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E9820E4" w14:textId="77777777" w:rsidR="00EE6815" w:rsidRDefault="00EE6815" w:rsidP="009720E0">
            <w:pPr>
              <w:jc w:val="center"/>
              <w:rPr>
                <w:rFonts w:cs="Arial"/>
                <w:b/>
                <w:sz w:val="20"/>
              </w:rPr>
            </w:pPr>
            <w:r>
              <w:rPr>
                <w:rFonts w:cs="Arial"/>
                <w:b/>
                <w:sz w:val="20"/>
              </w:rPr>
              <w:t>Metric</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D32880B" w14:textId="77777777" w:rsidR="00EE6815" w:rsidRDefault="00EE6815" w:rsidP="009720E0">
            <w:pPr>
              <w:jc w:val="center"/>
              <w:rPr>
                <w:rFonts w:cs="Arial"/>
                <w:b/>
                <w:sz w:val="20"/>
              </w:rPr>
            </w:pPr>
            <w:r>
              <w:rPr>
                <w:rFonts w:cs="Arial"/>
                <w:b/>
                <w:sz w:val="20"/>
              </w:rPr>
              <w:t>Metric</w:t>
            </w:r>
          </w:p>
        </w:tc>
        <w:tc>
          <w:tcPr>
            <w:tcW w:w="29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99F733" w14:textId="77777777" w:rsidR="00EE6815" w:rsidRDefault="00EE6815" w:rsidP="009720E0">
            <w:pPr>
              <w:jc w:val="center"/>
              <w:rPr>
                <w:rFonts w:cs="Arial"/>
                <w:b/>
                <w:sz w:val="20"/>
              </w:rPr>
            </w:pPr>
            <w:r>
              <w:rPr>
                <w:rFonts w:cs="Arial"/>
                <w:b/>
                <w:sz w:val="20"/>
              </w:rPr>
              <w:t>Metric</w:t>
            </w:r>
          </w:p>
        </w:tc>
        <w:tc>
          <w:tcPr>
            <w:tcW w:w="326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AD13E6" w14:textId="77777777" w:rsidR="00EE6815" w:rsidRDefault="00EE6815" w:rsidP="009720E0">
            <w:pPr>
              <w:jc w:val="center"/>
              <w:rPr>
                <w:rFonts w:cs="Arial"/>
                <w:b/>
                <w:sz w:val="20"/>
              </w:rPr>
            </w:pPr>
            <w:r>
              <w:rPr>
                <w:rFonts w:cs="Arial"/>
                <w:b/>
                <w:sz w:val="20"/>
              </w:rPr>
              <w:t>Metric</w:t>
            </w:r>
          </w:p>
        </w:tc>
      </w:tr>
      <w:tr w:rsidR="00EE6815" w14:paraId="12C9D5F0" w14:textId="77777777" w:rsidTr="009720E0">
        <w:trPr>
          <w:trHeight w:val="470"/>
        </w:trPr>
        <w:tc>
          <w:tcPr>
            <w:tcW w:w="551" w:type="dxa"/>
            <w:vMerge w:val="restart"/>
            <w:tcBorders>
              <w:top w:val="single" w:sz="4" w:space="0" w:color="auto"/>
              <w:left w:val="single" w:sz="4" w:space="0" w:color="auto"/>
              <w:bottom w:val="single" w:sz="4" w:space="0" w:color="auto"/>
              <w:right w:val="single" w:sz="4" w:space="0" w:color="auto"/>
            </w:tcBorders>
            <w:hideMark/>
          </w:tcPr>
          <w:p w14:paraId="15CC2C80" w14:textId="68488351" w:rsidR="00EE6815" w:rsidRDefault="00EE6815" w:rsidP="009720E0">
            <w:pPr>
              <w:jc w:val="center"/>
              <w:rPr>
                <w:rFonts w:cs="Arial"/>
                <w:sz w:val="20"/>
              </w:rPr>
            </w:pPr>
            <w:r>
              <w:rPr>
                <w:rFonts w:cs="Arial"/>
                <w:sz w:val="20"/>
              </w:rPr>
              <w:t>1</w:t>
            </w:r>
          </w:p>
        </w:tc>
        <w:tc>
          <w:tcPr>
            <w:tcW w:w="1854" w:type="dxa"/>
            <w:tcBorders>
              <w:top w:val="single" w:sz="4" w:space="0" w:color="auto"/>
              <w:left w:val="single" w:sz="4" w:space="0" w:color="auto"/>
              <w:bottom w:val="single" w:sz="4" w:space="0" w:color="auto"/>
              <w:right w:val="single" w:sz="4" w:space="0" w:color="auto"/>
            </w:tcBorders>
            <w:shd w:val="clear" w:color="auto" w:fill="00B050"/>
            <w:hideMark/>
          </w:tcPr>
          <w:p w14:paraId="54D3E4CB" w14:textId="77777777" w:rsidR="00EE6815" w:rsidRDefault="00EE6815" w:rsidP="009720E0">
            <w:pPr>
              <w:jc w:val="center"/>
              <w:rPr>
                <w:rFonts w:cs="Arial"/>
                <w:sz w:val="20"/>
              </w:rPr>
            </w:pPr>
            <w:r>
              <w:rPr>
                <w:rFonts w:cs="Arial"/>
                <w:sz w:val="20"/>
              </w:rPr>
              <w:t>GREEN</w:t>
            </w:r>
          </w:p>
        </w:tc>
        <w:tc>
          <w:tcPr>
            <w:tcW w:w="2977" w:type="dxa"/>
            <w:tcBorders>
              <w:top w:val="single" w:sz="4" w:space="0" w:color="auto"/>
              <w:left w:val="single" w:sz="4" w:space="0" w:color="auto"/>
              <w:bottom w:val="single" w:sz="4" w:space="0" w:color="auto"/>
              <w:right w:val="single" w:sz="4" w:space="0" w:color="auto"/>
            </w:tcBorders>
            <w:shd w:val="clear" w:color="auto" w:fill="FFFF00"/>
            <w:hideMark/>
          </w:tcPr>
          <w:p w14:paraId="5FFD25B9" w14:textId="77777777" w:rsidR="00EE6815" w:rsidRDefault="00EE6815" w:rsidP="009720E0">
            <w:pPr>
              <w:jc w:val="center"/>
              <w:rPr>
                <w:rFonts w:cs="Arial"/>
                <w:sz w:val="20"/>
              </w:rPr>
            </w:pPr>
            <w:r>
              <w:rPr>
                <w:rFonts w:cs="Arial"/>
                <w:sz w:val="20"/>
              </w:rPr>
              <w:t>YELLOW</w:t>
            </w:r>
          </w:p>
        </w:tc>
        <w:tc>
          <w:tcPr>
            <w:tcW w:w="2977" w:type="dxa"/>
            <w:tcBorders>
              <w:top w:val="single" w:sz="4" w:space="0" w:color="auto"/>
              <w:left w:val="single" w:sz="4" w:space="0" w:color="auto"/>
              <w:bottom w:val="single" w:sz="4" w:space="0" w:color="auto"/>
              <w:right w:val="single" w:sz="4" w:space="0" w:color="auto"/>
            </w:tcBorders>
            <w:shd w:val="clear" w:color="auto" w:fill="FFC000"/>
            <w:hideMark/>
          </w:tcPr>
          <w:p w14:paraId="0D9D0C37" w14:textId="77777777" w:rsidR="00EE6815" w:rsidRDefault="00EE6815" w:rsidP="009720E0">
            <w:pPr>
              <w:jc w:val="center"/>
              <w:rPr>
                <w:rFonts w:cs="Arial"/>
                <w:sz w:val="20"/>
              </w:rPr>
            </w:pPr>
            <w:r>
              <w:rPr>
                <w:rFonts w:cs="Arial"/>
                <w:sz w:val="20"/>
              </w:rPr>
              <w:t>AMBER</w:t>
            </w:r>
          </w:p>
        </w:tc>
        <w:tc>
          <w:tcPr>
            <w:tcW w:w="2976" w:type="dxa"/>
            <w:tcBorders>
              <w:top w:val="single" w:sz="4" w:space="0" w:color="auto"/>
              <w:left w:val="single" w:sz="4" w:space="0" w:color="auto"/>
              <w:bottom w:val="single" w:sz="4" w:space="0" w:color="auto"/>
              <w:right w:val="single" w:sz="4" w:space="0" w:color="auto"/>
            </w:tcBorders>
            <w:shd w:val="clear" w:color="auto" w:fill="FF0000"/>
            <w:hideMark/>
          </w:tcPr>
          <w:p w14:paraId="5CEA63EF" w14:textId="77777777" w:rsidR="00EE6815" w:rsidRDefault="00EE6815" w:rsidP="009720E0">
            <w:pPr>
              <w:jc w:val="center"/>
              <w:rPr>
                <w:rFonts w:cs="Arial"/>
                <w:sz w:val="20"/>
              </w:rPr>
            </w:pPr>
            <w:r>
              <w:rPr>
                <w:rFonts w:cs="Arial"/>
                <w:sz w:val="20"/>
              </w:rPr>
              <w:t>RED</w:t>
            </w:r>
          </w:p>
        </w:tc>
        <w:tc>
          <w:tcPr>
            <w:tcW w:w="3261" w:type="dxa"/>
            <w:tcBorders>
              <w:top w:val="single" w:sz="4" w:space="0" w:color="auto"/>
              <w:left w:val="single" w:sz="4" w:space="0" w:color="auto"/>
              <w:bottom w:val="single" w:sz="4" w:space="0" w:color="auto"/>
              <w:right w:val="single" w:sz="4" w:space="0" w:color="auto"/>
            </w:tcBorders>
            <w:shd w:val="clear" w:color="auto" w:fill="00B0F0"/>
            <w:hideMark/>
          </w:tcPr>
          <w:p w14:paraId="2708AC61" w14:textId="77777777" w:rsidR="00EE6815" w:rsidRDefault="00EE6815" w:rsidP="009720E0">
            <w:pPr>
              <w:jc w:val="center"/>
              <w:rPr>
                <w:rFonts w:cs="Arial"/>
                <w:sz w:val="20"/>
              </w:rPr>
            </w:pPr>
            <w:r>
              <w:rPr>
                <w:rFonts w:cs="Arial"/>
                <w:sz w:val="20"/>
              </w:rPr>
              <w:t>CRITICAL FAILURE</w:t>
            </w:r>
          </w:p>
        </w:tc>
      </w:tr>
      <w:tr w:rsidR="00EE6815" w14:paraId="28DE3D6E" w14:textId="77777777" w:rsidTr="00BA55A5">
        <w:trPr>
          <w:trHeight w:val="470"/>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42123B7" w14:textId="77777777" w:rsidR="00EE6815" w:rsidRDefault="00EE6815" w:rsidP="009720E0">
            <w:pPr>
              <w:rPr>
                <w:rFonts w:cs="Arial"/>
                <w:sz w:val="20"/>
              </w:rPr>
            </w:pPr>
          </w:p>
        </w:tc>
        <w:tc>
          <w:tcPr>
            <w:tcW w:w="1854" w:type="dxa"/>
            <w:tcBorders>
              <w:top w:val="single" w:sz="4" w:space="0" w:color="auto"/>
              <w:left w:val="single" w:sz="4" w:space="0" w:color="auto"/>
              <w:bottom w:val="single" w:sz="4" w:space="0" w:color="auto"/>
              <w:right w:val="single" w:sz="4" w:space="0" w:color="auto"/>
            </w:tcBorders>
          </w:tcPr>
          <w:p w14:paraId="666400EA" w14:textId="2DA908BF" w:rsidR="00EE6815" w:rsidRDefault="00E92CA0" w:rsidP="009720E0">
            <w:pPr>
              <w:jc w:val="center"/>
              <w:rPr>
                <w:rFonts w:cs="Arial"/>
                <w:sz w:val="20"/>
              </w:rPr>
            </w:pPr>
            <w:r>
              <w:rPr>
                <w:rFonts w:cs="Arial"/>
                <w:sz w:val="20"/>
              </w:rPr>
              <w:t>100%</w:t>
            </w:r>
          </w:p>
        </w:tc>
        <w:tc>
          <w:tcPr>
            <w:tcW w:w="2977" w:type="dxa"/>
            <w:tcBorders>
              <w:top w:val="single" w:sz="4" w:space="0" w:color="auto"/>
              <w:left w:val="single" w:sz="4" w:space="0" w:color="auto"/>
              <w:bottom w:val="single" w:sz="4" w:space="0" w:color="auto"/>
              <w:right w:val="single" w:sz="4" w:space="0" w:color="auto"/>
            </w:tcBorders>
          </w:tcPr>
          <w:p w14:paraId="2583FE41" w14:textId="5769F0CC" w:rsidR="00EE6815" w:rsidRDefault="00597D76" w:rsidP="009720E0">
            <w:pPr>
              <w:jc w:val="center"/>
              <w:rPr>
                <w:rFonts w:cs="Arial"/>
                <w:sz w:val="20"/>
              </w:rPr>
            </w:pPr>
            <w:r>
              <w:rPr>
                <w:rFonts w:cs="Arial"/>
                <w:sz w:val="20"/>
              </w:rPr>
              <w:t>99.9%</w:t>
            </w:r>
            <w:r w:rsidR="00CA739D">
              <w:rPr>
                <w:rFonts w:cs="Arial"/>
                <w:sz w:val="20"/>
              </w:rPr>
              <w:t xml:space="preserve"> </w:t>
            </w:r>
            <w:r>
              <w:rPr>
                <w:rFonts w:cs="Arial"/>
                <w:sz w:val="20"/>
              </w:rPr>
              <w:t>-</w:t>
            </w:r>
            <w:r w:rsidR="00CA739D">
              <w:rPr>
                <w:rFonts w:cs="Arial"/>
                <w:sz w:val="20"/>
              </w:rPr>
              <w:t xml:space="preserve"> </w:t>
            </w:r>
            <w:r>
              <w:rPr>
                <w:rFonts w:cs="Arial"/>
                <w:sz w:val="20"/>
              </w:rPr>
              <w:t>9</w:t>
            </w:r>
            <w:r w:rsidR="00CA739D">
              <w:rPr>
                <w:rFonts w:cs="Arial"/>
                <w:sz w:val="20"/>
              </w:rPr>
              <w:t>8</w:t>
            </w:r>
            <w:r>
              <w:rPr>
                <w:rFonts w:cs="Arial"/>
                <w:sz w:val="20"/>
              </w:rPr>
              <w:t>%</w:t>
            </w:r>
          </w:p>
        </w:tc>
        <w:tc>
          <w:tcPr>
            <w:tcW w:w="2977" w:type="dxa"/>
            <w:tcBorders>
              <w:top w:val="single" w:sz="4" w:space="0" w:color="auto"/>
              <w:left w:val="single" w:sz="4" w:space="0" w:color="auto"/>
              <w:bottom w:val="single" w:sz="4" w:space="0" w:color="auto"/>
              <w:right w:val="single" w:sz="4" w:space="0" w:color="auto"/>
            </w:tcBorders>
          </w:tcPr>
          <w:p w14:paraId="53BDD702" w14:textId="7A96CC97" w:rsidR="00EE6815" w:rsidRDefault="00597D76" w:rsidP="009720E0">
            <w:pPr>
              <w:jc w:val="center"/>
              <w:rPr>
                <w:rFonts w:cs="Arial"/>
                <w:sz w:val="20"/>
              </w:rPr>
            </w:pPr>
            <w:r>
              <w:rPr>
                <w:rFonts w:cs="Arial"/>
                <w:sz w:val="20"/>
              </w:rPr>
              <w:t>9</w:t>
            </w:r>
            <w:r w:rsidR="00CA739D">
              <w:rPr>
                <w:rFonts w:cs="Arial"/>
                <w:sz w:val="20"/>
              </w:rPr>
              <w:t>7.9</w:t>
            </w:r>
            <w:r>
              <w:rPr>
                <w:rFonts w:cs="Arial"/>
                <w:sz w:val="20"/>
              </w:rPr>
              <w:t>%</w:t>
            </w:r>
            <w:r w:rsidR="00CA739D">
              <w:rPr>
                <w:rFonts w:cs="Arial"/>
                <w:sz w:val="20"/>
              </w:rPr>
              <w:t xml:space="preserve"> - 75</w:t>
            </w:r>
            <w:r>
              <w:rPr>
                <w:rFonts w:cs="Arial"/>
                <w:sz w:val="20"/>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4EE47EF" w14:textId="2B5E1300" w:rsidR="00EE6815" w:rsidRDefault="00CA739D" w:rsidP="009720E0">
            <w:pPr>
              <w:jc w:val="center"/>
              <w:rPr>
                <w:rFonts w:cs="Arial"/>
                <w:sz w:val="20"/>
              </w:rPr>
            </w:pPr>
            <w:r>
              <w:rPr>
                <w:rFonts w:cs="Arial"/>
                <w:sz w:val="20"/>
              </w:rPr>
              <w:t>74</w:t>
            </w:r>
            <w:r w:rsidR="00597D76">
              <w:rPr>
                <w:rFonts w:cs="Arial"/>
                <w:sz w:val="20"/>
              </w:rPr>
              <w:t>.9%</w:t>
            </w:r>
            <w:r>
              <w:rPr>
                <w:rFonts w:cs="Arial"/>
                <w:sz w:val="20"/>
              </w:rPr>
              <w:t xml:space="preserve"> </w:t>
            </w:r>
            <w:r w:rsidR="00597D76">
              <w:rPr>
                <w:rFonts w:cs="Arial"/>
                <w:sz w:val="20"/>
              </w:rPr>
              <w:t>-</w:t>
            </w:r>
            <w:r>
              <w:rPr>
                <w:rFonts w:cs="Arial"/>
                <w:sz w:val="20"/>
              </w:rPr>
              <w:t xml:space="preserve"> 60</w:t>
            </w:r>
            <w:r w:rsidR="00597D76">
              <w:rPr>
                <w:rFonts w:cs="Arial"/>
                <w:sz w:val="20"/>
              </w:rPr>
              <w:t>%</w:t>
            </w:r>
          </w:p>
        </w:tc>
        <w:tc>
          <w:tcPr>
            <w:tcW w:w="3261" w:type="dxa"/>
            <w:tcBorders>
              <w:top w:val="single" w:sz="4" w:space="0" w:color="auto"/>
              <w:left w:val="single" w:sz="4" w:space="0" w:color="auto"/>
              <w:bottom w:val="single" w:sz="4" w:space="0" w:color="auto"/>
              <w:right w:val="single" w:sz="4" w:space="0" w:color="auto"/>
            </w:tcBorders>
          </w:tcPr>
          <w:p w14:paraId="344A7E5B" w14:textId="36848613" w:rsidR="00EE6815" w:rsidRDefault="00597D76" w:rsidP="009720E0">
            <w:pPr>
              <w:jc w:val="center"/>
              <w:rPr>
                <w:rFonts w:cs="Arial"/>
                <w:sz w:val="20"/>
              </w:rPr>
            </w:pPr>
            <w:r>
              <w:rPr>
                <w:rFonts w:cs="Arial"/>
                <w:sz w:val="20"/>
              </w:rPr>
              <w:t xml:space="preserve">Below </w:t>
            </w:r>
            <w:r w:rsidR="00CA739D">
              <w:rPr>
                <w:rFonts w:cs="Arial"/>
                <w:sz w:val="20"/>
              </w:rPr>
              <w:t>60</w:t>
            </w:r>
            <w:r>
              <w:rPr>
                <w:rFonts w:cs="Arial"/>
                <w:sz w:val="20"/>
              </w:rPr>
              <w:t>%</w:t>
            </w:r>
          </w:p>
        </w:tc>
      </w:tr>
      <w:tr w:rsidR="00EE6815" w14:paraId="2FA4A517" w14:textId="77777777" w:rsidTr="009720E0">
        <w:tc>
          <w:tcPr>
            <w:tcW w:w="551" w:type="dxa"/>
            <w:vMerge/>
            <w:tcBorders>
              <w:top w:val="single" w:sz="4" w:space="0" w:color="auto"/>
              <w:left w:val="single" w:sz="4" w:space="0" w:color="auto"/>
              <w:bottom w:val="single" w:sz="4" w:space="0" w:color="auto"/>
              <w:right w:val="single" w:sz="4" w:space="0" w:color="auto"/>
            </w:tcBorders>
            <w:vAlign w:val="center"/>
            <w:hideMark/>
          </w:tcPr>
          <w:p w14:paraId="70E76CAA" w14:textId="77777777" w:rsidR="00EE6815" w:rsidRDefault="00EE6815" w:rsidP="009720E0">
            <w:pPr>
              <w:rPr>
                <w:rFonts w:cs="Arial"/>
                <w:sz w:val="20"/>
              </w:rPr>
            </w:pPr>
          </w:p>
        </w:tc>
        <w:tc>
          <w:tcPr>
            <w:tcW w:w="1854" w:type="dxa"/>
            <w:tcBorders>
              <w:top w:val="single" w:sz="4" w:space="0" w:color="auto"/>
              <w:left w:val="single" w:sz="4" w:space="0" w:color="auto"/>
              <w:bottom w:val="single" w:sz="4" w:space="0" w:color="auto"/>
              <w:right w:val="single" w:sz="4" w:space="0" w:color="auto"/>
            </w:tcBorders>
            <w:hideMark/>
          </w:tcPr>
          <w:p w14:paraId="7940AF70" w14:textId="77777777" w:rsidR="00EE6815" w:rsidRDefault="00EE6815" w:rsidP="009720E0">
            <w:pPr>
              <w:jc w:val="center"/>
              <w:rPr>
                <w:rFonts w:cs="Arial"/>
                <w:sz w:val="20"/>
              </w:rPr>
            </w:pPr>
            <w:r>
              <w:rPr>
                <w:rFonts w:cs="Arial"/>
                <w:sz w:val="20"/>
              </w:rPr>
              <w:t>0% - No deductions</w:t>
            </w:r>
          </w:p>
        </w:tc>
        <w:tc>
          <w:tcPr>
            <w:tcW w:w="2977" w:type="dxa"/>
            <w:tcBorders>
              <w:top w:val="single" w:sz="4" w:space="0" w:color="auto"/>
              <w:left w:val="single" w:sz="4" w:space="0" w:color="auto"/>
              <w:bottom w:val="single" w:sz="4" w:space="0" w:color="auto"/>
              <w:right w:val="single" w:sz="4" w:space="0" w:color="auto"/>
            </w:tcBorders>
            <w:hideMark/>
          </w:tcPr>
          <w:p w14:paraId="41975B4A" w14:textId="77777777" w:rsidR="00EE6815" w:rsidRDefault="00EE6815" w:rsidP="009720E0">
            <w:pPr>
              <w:jc w:val="center"/>
              <w:rPr>
                <w:rFonts w:cs="Arial"/>
                <w:sz w:val="20"/>
              </w:rPr>
            </w:pPr>
            <w:r>
              <w:rPr>
                <w:rFonts w:cs="Arial"/>
                <w:sz w:val="20"/>
              </w:rPr>
              <w:t xml:space="preserve">A deduction of 1% will be made to the quarterly payment </w:t>
            </w:r>
          </w:p>
        </w:tc>
        <w:tc>
          <w:tcPr>
            <w:tcW w:w="2977" w:type="dxa"/>
            <w:tcBorders>
              <w:top w:val="single" w:sz="4" w:space="0" w:color="auto"/>
              <w:left w:val="single" w:sz="4" w:space="0" w:color="auto"/>
              <w:bottom w:val="single" w:sz="4" w:space="0" w:color="auto"/>
              <w:right w:val="single" w:sz="4" w:space="0" w:color="auto"/>
            </w:tcBorders>
            <w:hideMark/>
          </w:tcPr>
          <w:p w14:paraId="66960C9C" w14:textId="77777777" w:rsidR="00EE6815" w:rsidRDefault="00EE6815" w:rsidP="009720E0">
            <w:pPr>
              <w:jc w:val="center"/>
              <w:rPr>
                <w:rFonts w:cs="Arial"/>
                <w:sz w:val="20"/>
              </w:rPr>
            </w:pPr>
            <w:r>
              <w:rPr>
                <w:rFonts w:cs="Arial"/>
                <w:sz w:val="20"/>
              </w:rPr>
              <w:t xml:space="preserve">A deduction of 2.5% will be made to the quarterly payment </w:t>
            </w:r>
          </w:p>
        </w:tc>
        <w:tc>
          <w:tcPr>
            <w:tcW w:w="2976" w:type="dxa"/>
            <w:tcBorders>
              <w:top w:val="single" w:sz="4" w:space="0" w:color="auto"/>
              <w:left w:val="single" w:sz="4" w:space="0" w:color="auto"/>
              <w:bottom w:val="single" w:sz="4" w:space="0" w:color="auto"/>
              <w:right w:val="single" w:sz="4" w:space="0" w:color="auto"/>
            </w:tcBorders>
            <w:hideMark/>
          </w:tcPr>
          <w:p w14:paraId="256E97A3" w14:textId="77777777" w:rsidR="00EE6815" w:rsidRDefault="00EE6815" w:rsidP="009720E0">
            <w:pPr>
              <w:jc w:val="center"/>
              <w:rPr>
                <w:rFonts w:cs="Arial"/>
                <w:sz w:val="20"/>
              </w:rPr>
            </w:pPr>
            <w:r>
              <w:rPr>
                <w:rFonts w:cs="Arial"/>
                <w:sz w:val="20"/>
              </w:rPr>
              <w:t xml:space="preserve">A deduction of 5% will be made to the quarterly payment </w:t>
            </w:r>
          </w:p>
        </w:tc>
        <w:tc>
          <w:tcPr>
            <w:tcW w:w="3261" w:type="dxa"/>
            <w:tcBorders>
              <w:top w:val="single" w:sz="4" w:space="0" w:color="auto"/>
              <w:left w:val="single" w:sz="4" w:space="0" w:color="auto"/>
              <w:bottom w:val="single" w:sz="4" w:space="0" w:color="auto"/>
              <w:right w:val="single" w:sz="4" w:space="0" w:color="auto"/>
            </w:tcBorders>
            <w:hideMark/>
          </w:tcPr>
          <w:p w14:paraId="1EBC0F53" w14:textId="77777777" w:rsidR="00EE6815" w:rsidRDefault="00EE6815" w:rsidP="009720E0">
            <w:pPr>
              <w:jc w:val="center"/>
              <w:rPr>
                <w:rFonts w:cs="Arial"/>
                <w:sz w:val="20"/>
              </w:rPr>
            </w:pPr>
            <w:r>
              <w:rPr>
                <w:rFonts w:cs="Arial"/>
                <w:sz w:val="20"/>
              </w:rPr>
              <w:t>A deduction of 7.5% will be made to the quarterly payment or Termination due to Material Breach, under Section 43 of the SC2 Terms and Conditions</w:t>
            </w:r>
          </w:p>
        </w:tc>
      </w:tr>
    </w:tbl>
    <w:p w14:paraId="24D99CBC" w14:textId="0D3C9977" w:rsidR="00EE6815" w:rsidRDefault="00EE6815" w:rsidP="00C262C4">
      <w:pPr>
        <w:jc w:val="both"/>
        <w:rPr>
          <w:rFonts w:cs="Arial"/>
          <w:b/>
          <w:kern w:val="0"/>
          <w:sz w:val="20"/>
          <w:lang w:eastAsia="en-GB"/>
        </w:rPr>
      </w:pPr>
    </w:p>
    <w:p w14:paraId="02D0C228" w14:textId="420B34BA" w:rsidR="00E73F9A" w:rsidRDefault="00E73F9A" w:rsidP="00907C07">
      <w:pPr>
        <w:jc w:val="both"/>
        <w:rPr>
          <w:rFonts w:cs="Arial"/>
          <w:sz w:val="20"/>
        </w:rPr>
      </w:pPr>
    </w:p>
    <w:tbl>
      <w:tblPr>
        <w:tblStyle w:val="TableGrid"/>
        <w:tblpPr w:leftFromText="180" w:rightFromText="180" w:vertAnchor="text" w:tblpY="1"/>
        <w:tblOverlap w:val="never"/>
        <w:tblW w:w="14596" w:type="dxa"/>
        <w:tblLook w:val="04A0" w:firstRow="1" w:lastRow="0" w:firstColumn="1" w:lastColumn="0" w:noHBand="0" w:noVBand="1"/>
      </w:tblPr>
      <w:tblGrid>
        <w:gridCol w:w="551"/>
        <w:gridCol w:w="1854"/>
        <w:gridCol w:w="2977"/>
        <w:gridCol w:w="2977"/>
        <w:gridCol w:w="2976"/>
        <w:gridCol w:w="3261"/>
      </w:tblGrid>
      <w:tr w:rsidR="009720E0" w14:paraId="307647F3" w14:textId="77777777" w:rsidTr="009720E0">
        <w:trPr>
          <w:trHeight w:val="315"/>
        </w:trPr>
        <w:tc>
          <w:tcPr>
            <w:tcW w:w="5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A103A2" w14:textId="77777777" w:rsidR="009720E0" w:rsidRDefault="009720E0" w:rsidP="009720E0">
            <w:pPr>
              <w:jc w:val="center"/>
              <w:rPr>
                <w:rFonts w:cs="Arial"/>
                <w:b/>
                <w:sz w:val="20"/>
              </w:rPr>
            </w:pPr>
            <w:r>
              <w:rPr>
                <w:rFonts w:cs="Arial"/>
                <w:b/>
                <w:sz w:val="20"/>
              </w:rPr>
              <w:t>KPI</w:t>
            </w:r>
          </w:p>
        </w:tc>
        <w:tc>
          <w:tcPr>
            <w:tcW w:w="18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D1521BC" w14:textId="77777777" w:rsidR="009720E0" w:rsidRDefault="009720E0" w:rsidP="009720E0">
            <w:pPr>
              <w:jc w:val="center"/>
              <w:rPr>
                <w:rFonts w:cs="Arial"/>
                <w:b/>
                <w:sz w:val="20"/>
              </w:rPr>
            </w:pPr>
            <w:r>
              <w:rPr>
                <w:rFonts w:cs="Arial"/>
                <w:b/>
                <w:sz w:val="20"/>
              </w:rPr>
              <w:t>Metric</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BC18DE" w14:textId="77777777" w:rsidR="009720E0" w:rsidRDefault="009720E0" w:rsidP="009720E0">
            <w:pPr>
              <w:jc w:val="center"/>
              <w:rPr>
                <w:rFonts w:cs="Arial"/>
                <w:b/>
                <w:sz w:val="20"/>
              </w:rPr>
            </w:pPr>
            <w:r>
              <w:rPr>
                <w:rFonts w:cs="Arial"/>
                <w:b/>
                <w:sz w:val="20"/>
              </w:rPr>
              <w:t>Metric</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112C1F6" w14:textId="77777777" w:rsidR="009720E0" w:rsidRDefault="009720E0" w:rsidP="009720E0">
            <w:pPr>
              <w:jc w:val="center"/>
              <w:rPr>
                <w:rFonts w:cs="Arial"/>
                <w:b/>
                <w:sz w:val="20"/>
              </w:rPr>
            </w:pPr>
            <w:r>
              <w:rPr>
                <w:rFonts w:cs="Arial"/>
                <w:b/>
                <w:sz w:val="20"/>
              </w:rPr>
              <w:t>Metric</w:t>
            </w:r>
          </w:p>
        </w:tc>
        <w:tc>
          <w:tcPr>
            <w:tcW w:w="29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A7AE84" w14:textId="77777777" w:rsidR="009720E0" w:rsidRDefault="009720E0" w:rsidP="009720E0">
            <w:pPr>
              <w:jc w:val="center"/>
              <w:rPr>
                <w:rFonts w:cs="Arial"/>
                <w:b/>
                <w:sz w:val="20"/>
              </w:rPr>
            </w:pPr>
            <w:r>
              <w:rPr>
                <w:rFonts w:cs="Arial"/>
                <w:b/>
                <w:sz w:val="20"/>
              </w:rPr>
              <w:t>Metric</w:t>
            </w:r>
          </w:p>
        </w:tc>
        <w:tc>
          <w:tcPr>
            <w:tcW w:w="326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DEE7FB" w14:textId="77777777" w:rsidR="009720E0" w:rsidRDefault="009720E0" w:rsidP="009720E0">
            <w:pPr>
              <w:jc w:val="center"/>
              <w:rPr>
                <w:rFonts w:cs="Arial"/>
                <w:b/>
                <w:sz w:val="20"/>
              </w:rPr>
            </w:pPr>
            <w:r>
              <w:rPr>
                <w:rFonts w:cs="Arial"/>
                <w:b/>
                <w:sz w:val="20"/>
              </w:rPr>
              <w:t>Metric</w:t>
            </w:r>
          </w:p>
        </w:tc>
      </w:tr>
      <w:tr w:rsidR="009720E0" w14:paraId="4B9700A8" w14:textId="77777777" w:rsidTr="009720E0">
        <w:trPr>
          <w:trHeight w:val="470"/>
        </w:trPr>
        <w:tc>
          <w:tcPr>
            <w:tcW w:w="551" w:type="dxa"/>
            <w:vMerge w:val="restart"/>
            <w:tcBorders>
              <w:top w:val="single" w:sz="4" w:space="0" w:color="auto"/>
              <w:left w:val="single" w:sz="4" w:space="0" w:color="auto"/>
              <w:bottom w:val="single" w:sz="4" w:space="0" w:color="auto"/>
              <w:right w:val="single" w:sz="4" w:space="0" w:color="auto"/>
            </w:tcBorders>
            <w:hideMark/>
          </w:tcPr>
          <w:p w14:paraId="44B2FEDB" w14:textId="012DFCDF" w:rsidR="009720E0" w:rsidRDefault="00B5731C" w:rsidP="009720E0">
            <w:pPr>
              <w:jc w:val="center"/>
              <w:rPr>
                <w:rFonts w:cs="Arial"/>
                <w:sz w:val="20"/>
              </w:rPr>
            </w:pPr>
            <w:r>
              <w:rPr>
                <w:rFonts w:cs="Arial"/>
                <w:sz w:val="20"/>
              </w:rPr>
              <w:t>2</w:t>
            </w:r>
          </w:p>
        </w:tc>
        <w:tc>
          <w:tcPr>
            <w:tcW w:w="1854" w:type="dxa"/>
            <w:tcBorders>
              <w:top w:val="single" w:sz="4" w:space="0" w:color="auto"/>
              <w:left w:val="single" w:sz="4" w:space="0" w:color="auto"/>
              <w:bottom w:val="single" w:sz="4" w:space="0" w:color="auto"/>
              <w:right w:val="single" w:sz="4" w:space="0" w:color="auto"/>
            </w:tcBorders>
            <w:shd w:val="clear" w:color="auto" w:fill="00B050"/>
            <w:hideMark/>
          </w:tcPr>
          <w:p w14:paraId="21E7FFA3" w14:textId="77777777" w:rsidR="009720E0" w:rsidRDefault="009720E0" w:rsidP="009720E0">
            <w:pPr>
              <w:jc w:val="center"/>
              <w:rPr>
                <w:rFonts w:cs="Arial"/>
                <w:sz w:val="20"/>
              </w:rPr>
            </w:pPr>
            <w:r>
              <w:rPr>
                <w:rFonts w:cs="Arial"/>
                <w:sz w:val="20"/>
              </w:rPr>
              <w:t>GREEN</w:t>
            </w:r>
          </w:p>
        </w:tc>
        <w:tc>
          <w:tcPr>
            <w:tcW w:w="2977" w:type="dxa"/>
            <w:tcBorders>
              <w:top w:val="single" w:sz="4" w:space="0" w:color="auto"/>
              <w:left w:val="single" w:sz="4" w:space="0" w:color="auto"/>
              <w:bottom w:val="single" w:sz="4" w:space="0" w:color="auto"/>
              <w:right w:val="single" w:sz="4" w:space="0" w:color="auto"/>
            </w:tcBorders>
            <w:shd w:val="clear" w:color="auto" w:fill="FFFF00"/>
            <w:hideMark/>
          </w:tcPr>
          <w:p w14:paraId="5C46CF27" w14:textId="77777777" w:rsidR="009720E0" w:rsidRDefault="009720E0" w:rsidP="009720E0">
            <w:pPr>
              <w:jc w:val="center"/>
              <w:rPr>
                <w:rFonts w:cs="Arial"/>
                <w:sz w:val="20"/>
              </w:rPr>
            </w:pPr>
            <w:r>
              <w:rPr>
                <w:rFonts w:cs="Arial"/>
                <w:sz w:val="20"/>
              </w:rPr>
              <w:t>YELLOW</w:t>
            </w:r>
          </w:p>
        </w:tc>
        <w:tc>
          <w:tcPr>
            <w:tcW w:w="2977" w:type="dxa"/>
            <w:tcBorders>
              <w:top w:val="single" w:sz="4" w:space="0" w:color="auto"/>
              <w:left w:val="single" w:sz="4" w:space="0" w:color="auto"/>
              <w:bottom w:val="single" w:sz="4" w:space="0" w:color="auto"/>
              <w:right w:val="single" w:sz="4" w:space="0" w:color="auto"/>
            </w:tcBorders>
            <w:shd w:val="clear" w:color="auto" w:fill="FFC000"/>
            <w:hideMark/>
          </w:tcPr>
          <w:p w14:paraId="2385FB30" w14:textId="77777777" w:rsidR="009720E0" w:rsidRDefault="009720E0" w:rsidP="009720E0">
            <w:pPr>
              <w:jc w:val="center"/>
              <w:rPr>
                <w:rFonts w:cs="Arial"/>
                <w:sz w:val="20"/>
              </w:rPr>
            </w:pPr>
            <w:r>
              <w:rPr>
                <w:rFonts w:cs="Arial"/>
                <w:sz w:val="20"/>
              </w:rPr>
              <w:t>AMBER</w:t>
            </w:r>
          </w:p>
        </w:tc>
        <w:tc>
          <w:tcPr>
            <w:tcW w:w="2976" w:type="dxa"/>
            <w:tcBorders>
              <w:top w:val="single" w:sz="4" w:space="0" w:color="auto"/>
              <w:left w:val="single" w:sz="4" w:space="0" w:color="auto"/>
              <w:bottom w:val="single" w:sz="4" w:space="0" w:color="auto"/>
              <w:right w:val="single" w:sz="4" w:space="0" w:color="auto"/>
            </w:tcBorders>
            <w:shd w:val="clear" w:color="auto" w:fill="FF0000"/>
            <w:hideMark/>
          </w:tcPr>
          <w:p w14:paraId="6602291E" w14:textId="77777777" w:rsidR="009720E0" w:rsidRDefault="009720E0" w:rsidP="009720E0">
            <w:pPr>
              <w:jc w:val="center"/>
              <w:rPr>
                <w:rFonts w:cs="Arial"/>
                <w:sz w:val="20"/>
              </w:rPr>
            </w:pPr>
            <w:r>
              <w:rPr>
                <w:rFonts w:cs="Arial"/>
                <w:sz w:val="20"/>
              </w:rPr>
              <w:t>RED</w:t>
            </w:r>
          </w:p>
        </w:tc>
        <w:tc>
          <w:tcPr>
            <w:tcW w:w="3261" w:type="dxa"/>
            <w:tcBorders>
              <w:top w:val="single" w:sz="4" w:space="0" w:color="auto"/>
              <w:left w:val="single" w:sz="4" w:space="0" w:color="auto"/>
              <w:bottom w:val="single" w:sz="4" w:space="0" w:color="auto"/>
              <w:right w:val="single" w:sz="4" w:space="0" w:color="auto"/>
            </w:tcBorders>
            <w:shd w:val="clear" w:color="auto" w:fill="00B0F0"/>
            <w:hideMark/>
          </w:tcPr>
          <w:p w14:paraId="7BF04514" w14:textId="77777777" w:rsidR="009720E0" w:rsidRDefault="009720E0" w:rsidP="009720E0">
            <w:pPr>
              <w:jc w:val="center"/>
              <w:rPr>
                <w:rFonts w:cs="Arial"/>
                <w:sz w:val="20"/>
              </w:rPr>
            </w:pPr>
            <w:r>
              <w:rPr>
                <w:rFonts w:cs="Arial"/>
                <w:sz w:val="20"/>
              </w:rPr>
              <w:t>CRITICAL FAILURE</w:t>
            </w:r>
          </w:p>
        </w:tc>
      </w:tr>
      <w:tr w:rsidR="009720E0" w14:paraId="520C076A" w14:textId="77777777" w:rsidTr="009720E0">
        <w:trPr>
          <w:trHeight w:val="470"/>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7B01188D" w14:textId="77777777" w:rsidR="009720E0" w:rsidRDefault="009720E0" w:rsidP="009720E0">
            <w:pPr>
              <w:rPr>
                <w:rFonts w:cs="Arial"/>
                <w:sz w:val="20"/>
              </w:rPr>
            </w:pPr>
          </w:p>
        </w:tc>
        <w:tc>
          <w:tcPr>
            <w:tcW w:w="1854" w:type="dxa"/>
            <w:tcBorders>
              <w:top w:val="single" w:sz="4" w:space="0" w:color="auto"/>
              <w:left w:val="single" w:sz="4" w:space="0" w:color="auto"/>
              <w:bottom w:val="single" w:sz="4" w:space="0" w:color="auto"/>
              <w:right w:val="single" w:sz="4" w:space="0" w:color="auto"/>
            </w:tcBorders>
            <w:hideMark/>
          </w:tcPr>
          <w:p w14:paraId="7417CC29" w14:textId="2AD5E460" w:rsidR="009720E0" w:rsidRDefault="009720E0" w:rsidP="009720E0">
            <w:pPr>
              <w:jc w:val="center"/>
              <w:rPr>
                <w:rFonts w:cs="Arial"/>
                <w:sz w:val="20"/>
              </w:rPr>
            </w:pPr>
            <w:r>
              <w:rPr>
                <w:rFonts w:cs="Arial"/>
                <w:sz w:val="20"/>
              </w:rPr>
              <w:t xml:space="preserve"> </w:t>
            </w:r>
            <w:r>
              <w:t xml:space="preserve"> </w:t>
            </w:r>
            <w:r w:rsidRPr="009720E0">
              <w:rPr>
                <w:rFonts w:cs="Arial"/>
                <w:sz w:val="20"/>
              </w:rPr>
              <w:t>No IA issues or risks</w:t>
            </w:r>
          </w:p>
        </w:tc>
        <w:tc>
          <w:tcPr>
            <w:tcW w:w="2977" w:type="dxa"/>
            <w:tcBorders>
              <w:top w:val="single" w:sz="4" w:space="0" w:color="auto"/>
              <w:left w:val="single" w:sz="4" w:space="0" w:color="auto"/>
              <w:bottom w:val="single" w:sz="4" w:space="0" w:color="auto"/>
              <w:right w:val="single" w:sz="4" w:space="0" w:color="auto"/>
            </w:tcBorders>
            <w:hideMark/>
          </w:tcPr>
          <w:p w14:paraId="5000334F" w14:textId="2F16A048" w:rsidR="009720E0" w:rsidRDefault="009720E0" w:rsidP="009720E0">
            <w:pPr>
              <w:jc w:val="center"/>
              <w:rPr>
                <w:rFonts w:cs="Arial"/>
                <w:sz w:val="20"/>
              </w:rPr>
            </w:pPr>
            <w:r w:rsidRPr="009720E0">
              <w:rPr>
                <w:rFonts w:cs="Arial"/>
                <w:sz w:val="20"/>
              </w:rPr>
              <w:t>Minor IA risk evident</w:t>
            </w:r>
          </w:p>
        </w:tc>
        <w:tc>
          <w:tcPr>
            <w:tcW w:w="2977" w:type="dxa"/>
            <w:tcBorders>
              <w:top w:val="single" w:sz="4" w:space="0" w:color="auto"/>
              <w:left w:val="single" w:sz="4" w:space="0" w:color="auto"/>
              <w:bottom w:val="single" w:sz="4" w:space="0" w:color="auto"/>
              <w:right w:val="single" w:sz="4" w:space="0" w:color="auto"/>
            </w:tcBorders>
            <w:hideMark/>
          </w:tcPr>
          <w:p w14:paraId="32BD45A0" w14:textId="38EC67B7" w:rsidR="009720E0" w:rsidRDefault="009720E0" w:rsidP="009720E0">
            <w:pPr>
              <w:jc w:val="center"/>
              <w:rPr>
                <w:rFonts w:cs="Arial"/>
                <w:sz w:val="20"/>
              </w:rPr>
            </w:pPr>
            <w:r w:rsidRPr="009720E0">
              <w:rPr>
                <w:rFonts w:cs="Arial"/>
                <w:sz w:val="20"/>
              </w:rPr>
              <w:t>Minor IA issue or major IA risk</w:t>
            </w:r>
          </w:p>
        </w:tc>
        <w:tc>
          <w:tcPr>
            <w:tcW w:w="2976" w:type="dxa"/>
            <w:tcBorders>
              <w:top w:val="single" w:sz="4" w:space="0" w:color="auto"/>
              <w:left w:val="single" w:sz="4" w:space="0" w:color="auto"/>
              <w:bottom w:val="single" w:sz="4" w:space="0" w:color="auto"/>
              <w:right w:val="single" w:sz="4" w:space="0" w:color="auto"/>
            </w:tcBorders>
            <w:hideMark/>
          </w:tcPr>
          <w:p w14:paraId="2224E27E" w14:textId="57B6F54B" w:rsidR="009720E0" w:rsidRDefault="009720E0" w:rsidP="009720E0">
            <w:pPr>
              <w:jc w:val="center"/>
              <w:rPr>
                <w:rFonts w:cs="Arial"/>
                <w:sz w:val="20"/>
              </w:rPr>
            </w:pPr>
            <w:r w:rsidRPr="009720E0">
              <w:rPr>
                <w:rFonts w:cs="Arial"/>
                <w:sz w:val="20"/>
              </w:rPr>
              <w:t>Major IA issue or incident</w:t>
            </w:r>
          </w:p>
        </w:tc>
        <w:tc>
          <w:tcPr>
            <w:tcW w:w="3261" w:type="dxa"/>
            <w:tcBorders>
              <w:top w:val="single" w:sz="4" w:space="0" w:color="auto"/>
              <w:left w:val="single" w:sz="4" w:space="0" w:color="auto"/>
              <w:bottom w:val="single" w:sz="4" w:space="0" w:color="auto"/>
              <w:right w:val="single" w:sz="4" w:space="0" w:color="auto"/>
            </w:tcBorders>
            <w:hideMark/>
          </w:tcPr>
          <w:p w14:paraId="7C11CDAB" w14:textId="77777777" w:rsidR="009720E0" w:rsidRDefault="009720E0" w:rsidP="009720E0">
            <w:pPr>
              <w:jc w:val="center"/>
              <w:rPr>
                <w:rFonts w:cs="Arial"/>
                <w:sz w:val="20"/>
              </w:rPr>
            </w:pPr>
            <w:r>
              <w:rPr>
                <w:rFonts w:cs="Arial"/>
                <w:sz w:val="20"/>
              </w:rPr>
              <w:t>AMJ</w:t>
            </w:r>
          </w:p>
        </w:tc>
      </w:tr>
      <w:tr w:rsidR="009720E0" w14:paraId="319C6D98" w14:textId="77777777" w:rsidTr="009720E0">
        <w:tc>
          <w:tcPr>
            <w:tcW w:w="551" w:type="dxa"/>
            <w:vMerge/>
            <w:tcBorders>
              <w:top w:val="single" w:sz="4" w:space="0" w:color="auto"/>
              <w:left w:val="single" w:sz="4" w:space="0" w:color="auto"/>
              <w:bottom w:val="single" w:sz="4" w:space="0" w:color="auto"/>
              <w:right w:val="single" w:sz="4" w:space="0" w:color="auto"/>
            </w:tcBorders>
            <w:vAlign w:val="center"/>
            <w:hideMark/>
          </w:tcPr>
          <w:p w14:paraId="328555BC" w14:textId="77777777" w:rsidR="009720E0" w:rsidRDefault="009720E0" w:rsidP="009720E0">
            <w:pPr>
              <w:rPr>
                <w:rFonts w:cs="Arial"/>
                <w:sz w:val="20"/>
              </w:rPr>
            </w:pPr>
          </w:p>
        </w:tc>
        <w:tc>
          <w:tcPr>
            <w:tcW w:w="1854" w:type="dxa"/>
            <w:tcBorders>
              <w:top w:val="single" w:sz="4" w:space="0" w:color="auto"/>
              <w:left w:val="single" w:sz="4" w:space="0" w:color="auto"/>
              <w:bottom w:val="single" w:sz="4" w:space="0" w:color="auto"/>
              <w:right w:val="single" w:sz="4" w:space="0" w:color="auto"/>
            </w:tcBorders>
            <w:hideMark/>
          </w:tcPr>
          <w:p w14:paraId="4036DA2C" w14:textId="77777777" w:rsidR="009720E0" w:rsidRDefault="009720E0" w:rsidP="009720E0">
            <w:pPr>
              <w:jc w:val="center"/>
              <w:rPr>
                <w:rFonts w:cs="Arial"/>
                <w:sz w:val="20"/>
              </w:rPr>
            </w:pPr>
            <w:r>
              <w:rPr>
                <w:rFonts w:cs="Arial"/>
                <w:sz w:val="20"/>
              </w:rPr>
              <w:t>0% - No deductions</w:t>
            </w:r>
          </w:p>
        </w:tc>
        <w:tc>
          <w:tcPr>
            <w:tcW w:w="2977" w:type="dxa"/>
            <w:tcBorders>
              <w:top w:val="single" w:sz="4" w:space="0" w:color="auto"/>
              <w:left w:val="single" w:sz="4" w:space="0" w:color="auto"/>
              <w:bottom w:val="single" w:sz="4" w:space="0" w:color="auto"/>
              <w:right w:val="single" w:sz="4" w:space="0" w:color="auto"/>
            </w:tcBorders>
            <w:hideMark/>
          </w:tcPr>
          <w:p w14:paraId="135CB1C3" w14:textId="77777777" w:rsidR="009720E0" w:rsidRDefault="009720E0" w:rsidP="009720E0">
            <w:pPr>
              <w:jc w:val="center"/>
              <w:rPr>
                <w:rFonts w:cs="Arial"/>
                <w:sz w:val="20"/>
              </w:rPr>
            </w:pPr>
            <w:r>
              <w:rPr>
                <w:rFonts w:cs="Arial"/>
                <w:sz w:val="20"/>
              </w:rPr>
              <w:t xml:space="preserve">A deduction of 1% will be made to the quarterly payment </w:t>
            </w:r>
          </w:p>
        </w:tc>
        <w:tc>
          <w:tcPr>
            <w:tcW w:w="2977" w:type="dxa"/>
            <w:tcBorders>
              <w:top w:val="single" w:sz="4" w:space="0" w:color="auto"/>
              <w:left w:val="single" w:sz="4" w:space="0" w:color="auto"/>
              <w:bottom w:val="single" w:sz="4" w:space="0" w:color="auto"/>
              <w:right w:val="single" w:sz="4" w:space="0" w:color="auto"/>
            </w:tcBorders>
            <w:hideMark/>
          </w:tcPr>
          <w:p w14:paraId="661C4F44" w14:textId="77777777" w:rsidR="009720E0" w:rsidRDefault="009720E0" w:rsidP="009720E0">
            <w:pPr>
              <w:jc w:val="center"/>
              <w:rPr>
                <w:rFonts w:cs="Arial"/>
                <w:sz w:val="20"/>
              </w:rPr>
            </w:pPr>
            <w:r>
              <w:rPr>
                <w:rFonts w:cs="Arial"/>
                <w:sz w:val="20"/>
              </w:rPr>
              <w:t xml:space="preserve">A deduction of 2.5% will be made to the quarterly payment </w:t>
            </w:r>
          </w:p>
        </w:tc>
        <w:tc>
          <w:tcPr>
            <w:tcW w:w="2976" w:type="dxa"/>
            <w:tcBorders>
              <w:top w:val="single" w:sz="4" w:space="0" w:color="auto"/>
              <w:left w:val="single" w:sz="4" w:space="0" w:color="auto"/>
              <w:bottom w:val="single" w:sz="4" w:space="0" w:color="auto"/>
              <w:right w:val="single" w:sz="4" w:space="0" w:color="auto"/>
            </w:tcBorders>
            <w:hideMark/>
          </w:tcPr>
          <w:p w14:paraId="6719E434" w14:textId="77777777" w:rsidR="009720E0" w:rsidRDefault="009720E0" w:rsidP="009720E0">
            <w:pPr>
              <w:jc w:val="center"/>
              <w:rPr>
                <w:rFonts w:cs="Arial"/>
                <w:sz w:val="20"/>
              </w:rPr>
            </w:pPr>
            <w:r>
              <w:rPr>
                <w:rFonts w:cs="Arial"/>
                <w:sz w:val="20"/>
              </w:rPr>
              <w:t xml:space="preserve">A deduction of 5% will be made to the quarterly payment </w:t>
            </w:r>
          </w:p>
        </w:tc>
        <w:tc>
          <w:tcPr>
            <w:tcW w:w="3261" w:type="dxa"/>
            <w:tcBorders>
              <w:top w:val="single" w:sz="4" w:space="0" w:color="auto"/>
              <w:left w:val="single" w:sz="4" w:space="0" w:color="auto"/>
              <w:bottom w:val="single" w:sz="4" w:space="0" w:color="auto"/>
              <w:right w:val="single" w:sz="4" w:space="0" w:color="auto"/>
            </w:tcBorders>
            <w:hideMark/>
          </w:tcPr>
          <w:p w14:paraId="67548C6F" w14:textId="77777777" w:rsidR="009720E0" w:rsidRDefault="009720E0" w:rsidP="009720E0">
            <w:pPr>
              <w:jc w:val="center"/>
              <w:rPr>
                <w:rFonts w:cs="Arial"/>
                <w:sz w:val="20"/>
              </w:rPr>
            </w:pPr>
            <w:r>
              <w:rPr>
                <w:rFonts w:cs="Arial"/>
                <w:sz w:val="20"/>
              </w:rPr>
              <w:t>A deduction of 7.5% will be made to the quarterly payment or Termination due to Material Breach, under Section 43 of the SC2 Terms and Conditions</w:t>
            </w:r>
          </w:p>
        </w:tc>
      </w:tr>
    </w:tbl>
    <w:p w14:paraId="1C89C019" w14:textId="6ED65118" w:rsidR="009720E0" w:rsidRDefault="009720E0" w:rsidP="00907C07">
      <w:pPr>
        <w:jc w:val="both"/>
        <w:rPr>
          <w:rFonts w:cs="Arial"/>
          <w:sz w:val="20"/>
        </w:rPr>
      </w:pPr>
    </w:p>
    <w:p w14:paraId="2EF20732" w14:textId="77777777" w:rsidR="000C4849" w:rsidRDefault="000C4849" w:rsidP="00907C07">
      <w:pPr>
        <w:jc w:val="both"/>
        <w:rPr>
          <w:rFonts w:cs="Arial"/>
          <w:sz w:val="20"/>
        </w:rPr>
      </w:pPr>
      <w:bookmarkStart w:id="0" w:name="_GoBack"/>
      <w:bookmarkEnd w:id="0"/>
    </w:p>
    <w:tbl>
      <w:tblPr>
        <w:tblStyle w:val="TableGrid"/>
        <w:tblpPr w:leftFromText="180" w:rightFromText="180" w:vertAnchor="text" w:tblpY="1"/>
        <w:tblOverlap w:val="never"/>
        <w:tblW w:w="14596" w:type="dxa"/>
        <w:tblLook w:val="04A0" w:firstRow="1" w:lastRow="0" w:firstColumn="1" w:lastColumn="0" w:noHBand="0" w:noVBand="1"/>
      </w:tblPr>
      <w:tblGrid>
        <w:gridCol w:w="551"/>
        <w:gridCol w:w="1854"/>
        <w:gridCol w:w="2977"/>
        <w:gridCol w:w="2977"/>
        <w:gridCol w:w="2976"/>
        <w:gridCol w:w="3261"/>
      </w:tblGrid>
      <w:tr w:rsidR="009720E0" w14:paraId="29F170A3" w14:textId="77777777" w:rsidTr="009720E0">
        <w:trPr>
          <w:trHeight w:val="315"/>
        </w:trPr>
        <w:tc>
          <w:tcPr>
            <w:tcW w:w="5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B865AA4" w14:textId="77777777" w:rsidR="009720E0" w:rsidRDefault="009720E0" w:rsidP="009720E0">
            <w:pPr>
              <w:jc w:val="center"/>
              <w:rPr>
                <w:rFonts w:cs="Arial"/>
                <w:b/>
                <w:sz w:val="20"/>
              </w:rPr>
            </w:pPr>
            <w:r>
              <w:rPr>
                <w:rFonts w:cs="Arial"/>
                <w:b/>
                <w:sz w:val="20"/>
              </w:rPr>
              <w:t>KPI</w:t>
            </w:r>
          </w:p>
        </w:tc>
        <w:tc>
          <w:tcPr>
            <w:tcW w:w="18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501E38" w14:textId="77777777" w:rsidR="009720E0" w:rsidRDefault="009720E0" w:rsidP="009720E0">
            <w:pPr>
              <w:jc w:val="center"/>
              <w:rPr>
                <w:rFonts w:cs="Arial"/>
                <w:b/>
                <w:sz w:val="20"/>
              </w:rPr>
            </w:pPr>
            <w:r>
              <w:rPr>
                <w:rFonts w:cs="Arial"/>
                <w:b/>
                <w:sz w:val="20"/>
              </w:rPr>
              <w:t>Metric</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8A41F9E" w14:textId="77777777" w:rsidR="009720E0" w:rsidRDefault="009720E0" w:rsidP="009720E0">
            <w:pPr>
              <w:jc w:val="center"/>
              <w:rPr>
                <w:rFonts w:cs="Arial"/>
                <w:b/>
                <w:sz w:val="20"/>
              </w:rPr>
            </w:pPr>
            <w:r>
              <w:rPr>
                <w:rFonts w:cs="Arial"/>
                <w:b/>
                <w:sz w:val="20"/>
              </w:rPr>
              <w:t>Metric</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5D98A3" w14:textId="77777777" w:rsidR="009720E0" w:rsidRDefault="009720E0" w:rsidP="009720E0">
            <w:pPr>
              <w:jc w:val="center"/>
              <w:rPr>
                <w:rFonts w:cs="Arial"/>
                <w:b/>
                <w:sz w:val="20"/>
              </w:rPr>
            </w:pPr>
            <w:r>
              <w:rPr>
                <w:rFonts w:cs="Arial"/>
                <w:b/>
                <w:sz w:val="20"/>
              </w:rPr>
              <w:t>Metric</w:t>
            </w:r>
          </w:p>
        </w:tc>
        <w:tc>
          <w:tcPr>
            <w:tcW w:w="29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0B56D71" w14:textId="77777777" w:rsidR="009720E0" w:rsidRDefault="009720E0" w:rsidP="009720E0">
            <w:pPr>
              <w:jc w:val="center"/>
              <w:rPr>
                <w:rFonts w:cs="Arial"/>
                <w:b/>
                <w:sz w:val="20"/>
              </w:rPr>
            </w:pPr>
            <w:r>
              <w:rPr>
                <w:rFonts w:cs="Arial"/>
                <w:b/>
                <w:sz w:val="20"/>
              </w:rPr>
              <w:t>Metric</w:t>
            </w:r>
          </w:p>
        </w:tc>
        <w:tc>
          <w:tcPr>
            <w:tcW w:w="326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348C25" w14:textId="77777777" w:rsidR="009720E0" w:rsidRDefault="009720E0" w:rsidP="009720E0">
            <w:pPr>
              <w:jc w:val="center"/>
              <w:rPr>
                <w:rFonts w:cs="Arial"/>
                <w:b/>
                <w:sz w:val="20"/>
              </w:rPr>
            </w:pPr>
            <w:r>
              <w:rPr>
                <w:rFonts w:cs="Arial"/>
                <w:b/>
                <w:sz w:val="20"/>
              </w:rPr>
              <w:t>Metric</w:t>
            </w:r>
          </w:p>
        </w:tc>
      </w:tr>
      <w:tr w:rsidR="009720E0" w14:paraId="33A767DE" w14:textId="77777777" w:rsidTr="009720E0">
        <w:trPr>
          <w:trHeight w:val="470"/>
        </w:trPr>
        <w:tc>
          <w:tcPr>
            <w:tcW w:w="551" w:type="dxa"/>
            <w:vMerge w:val="restart"/>
            <w:tcBorders>
              <w:top w:val="single" w:sz="4" w:space="0" w:color="auto"/>
              <w:left w:val="single" w:sz="4" w:space="0" w:color="auto"/>
              <w:bottom w:val="single" w:sz="4" w:space="0" w:color="auto"/>
              <w:right w:val="single" w:sz="4" w:space="0" w:color="auto"/>
            </w:tcBorders>
            <w:hideMark/>
          </w:tcPr>
          <w:p w14:paraId="2E7AE72C" w14:textId="45AB7042" w:rsidR="009720E0" w:rsidRDefault="00B5731C" w:rsidP="009720E0">
            <w:pPr>
              <w:jc w:val="center"/>
              <w:rPr>
                <w:rFonts w:cs="Arial"/>
                <w:sz w:val="20"/>
              </w:rPr>
            </w:pPr>
            <w:r>
              <w:rPr>
                <w:rFonts w:cs="Arial"/>
                <w:sz w:val="20"/>
              </w:rPr>
              <w:t>3</w:t>
            </w:r>
          </w:p>
        </w:tc>
        <w:tc>
          <w:tcPr>
            <w:tcW w:w="1854" w:type="dxa"/>
            <w:tcBorders>
              <w:top w:val="single" w:sz="4" w:space="0" w:color="auto"/>
              <w:left w:val="single" w:sz="4" w:space="0" w:color="auto"/>
              <w:bottom w:val="single" w:sz="4" w:space="0" w:color="auto"/>
              <w:right w:val="single" w:sz="4" w:space="0" w:color="auto"/>
            </w:tcBorders>
            <w:shd w:val="clear" w:color="auto" w:fill="00B050"/>
            <w:hideMark/>
          </w:tcPr>
          <w:p w14:paraId="3C03412D" w14:textId="77777777" w:rsidR="009720E0" w:rsidRDefault="009720E0" w:rsidP="009720E0">
            <w:pPr>
              <w:jc w:val="center"/>
              <w:rPr>
                <w:rFonts w:cs="Arial"/>
                <w:sz w:val="20"/>
              </w:rPr>
            </w:pPr>
            <w:r>
              <w:rPr>
                <w:rFonts w:cs="Arial"/>
                <w:sz w:val="20"/>
              </w:rPr>
              <w:t>GREEN</w:t>
            </w:r>
          </w:p>
        </w:tc>
        <w:tc>
          <w:tcPr>
            <w:tcW w:w="2977" w:type="dxa"/>
            <w:tcBorders>
              <w:top w:val="single" w:sz="4" w:space="0" w:color="auto"/>
              <w:left w:val="single" w:sz="4" w:space="0" w:color="auto"/>
              <w:bottom w:val="single" w:sz="4" w:space="0" w:color="auto"/>
              <w:right w:val="single" w:sz="4" w:space="0" w:color="auto"/>
            </w:tcBorders>
            <w:shd w:val="clear" w:color="auto" w:fill="FFFF00"/>
            <w:hideMark/>
          </w:tcPr>
          <w:p w14:paraId="63E82C0B" w14:textId="77777777" w:rsidR="009720E0" w:rsidRDefault="009720E0" w:rsidP="009720E0">
            <w:pPr>
              <w:jc w:val="center"/>
              <w:rPr>
                <w:rFonts w:cs="Arial"/>
                <w:sz w:val="20"/>
              </w:rPr>
            </w:pPr>
            <w:r>
              <w:rPr>
                <w:rFonts w:cs="Arial"/>
                <w:sz w:val="20"/>
              </w:rPr>
              <w:t>YELLOW</w:t>
            </w:r>
          </w:p>
        </w:tc>
        <w:tc>
          <w:tcPr>
            <w:tcW w:w="2977" w:type="dxa"/>
            <w:tcBorders>
              <w:top w:val="single" w:sz="4" w:space="0" w:color="auto"/>
              <w:left w:val="single" w:sz="4" w:space="0" w:color="auto"/>
              <w:bottom w:val="single" w:sz="4" w:space="0" w:color="auto"/>
              <w:right w:val="single" w:sz="4" w:space="0" w:color="auto"/>
            </w:tcBorders>
            <w:shd w:val="clear" w:color="auto" w:fill="FFC000"/>
            <w:hideMark/>
          </w:tcPr>
          <w:p w14:paraId="5CEE93E3" w14:textId="77777777" w:rsidR="009720E0" w:rsidRDefault="009720E0" w:rsidP="009720E0">
            <w:pPr>
              <w:jc w:val="center"/>
              <w:rPr>
                <w:rFonts w:cs="Arial"/>
                <w:sz w:val="20"/>
              </w:rPr>
            </w:pPr>
            <w:r>
              <w:rPr>
                <w:rFonts w:cs="Arial"/>
                <w:sz w:val="20"/>
              </w:rPr>
              <w:t>AMBER</w:t>
            </w:r>
          </w:p>
        </w:tc>
        <w:tc>
          <w:tcPr>
            <w:tcW w:w="2976" w:type="dxa"/>
            <w:tcBorders>
              <w:top w:val="single" w:sz="4" w:space="0" w:color="auto"/>
              <w:left w:val="single" w:sz="4" w:space="0" w:color="auto"/>
              <w:bottom w:val="single" w:sz="4" w:space="0" w:color="auto"/>
              <w:right w:val="single" w:sz="4" w:space="0" w:color="auto"/>
            </w:tcBorders>
            <w:shd w:val="clear" w:color="auto" w:fill="FF0000"/>
            <w:hideMark/>
          </w:tcPr>
          <w:p w14:paraId="47AC48E6" w14:textId="77777777" w:rsidR="009720E0" w:rsidRDefault="009720E0" w:rsidP="009720E0">
            <w:pPr>
              <w:jc w:val="center"/>
              <w:rPr>
                <w:rFonts w:cs="Arial"/>
                <w:sz w:val="20"/>
              </w:rPr>
            </w:pPr>
            <w:r>
              <w:rPr>
                <w:rFonts w:cs="Arial"/>
                <w:sz w:val="20"/>
              </w:rPr>
              <w:t>RED</w:t>
            </w:r>
          </w:p>
        </w:tc>
        <w:tc>
          <w:tcPr>
            <w:tcW w:w="3261" w:type="dxa"/>
            <w:tcBorders>
              <w:top w:val="single" w:sz="4" w:space="0" w:color="auto"/>
              <w:left w:val="single" w:sz="4" w:space="0" w:color="auto"/>
              <w:bottom w:val="single" w:sz="4" w:space="0" w:color="auto"/>
              <w:right w:val="single" w:sz="4" w:space="0" w:color="auto"/>
            </w:tcBorders>
            <w:shd w:val="clear" w:color="auto" w:fill="00B0F0"/>
            <w:hideMark/>
          </w:tcPr>
          <w:p w14:paraId="37758CCD" w14:textId="77777777" w:rsidR="009720E0" w:rsidRDefault="009720E0" w:rsidP="009720E0">
            <w:pPr>
              <w:jc w:val="center"/>
              <w:rPr>
                <w:rFonts w:cs="Arial"/>
                <w:sz w:val="20"/>
              </w:rPr>
            </w:pPr>
            <w:r>
              <w:rPr>
                <w:rFonts w:cs="Arial"/>
                <w:sz w:val="20"/>
              </w:rPr>
              <w:t>CRITICAL FAILURE</w:t>
            </w:r>
          </w:p>
        </w:tc>
      </w:tr>
      <w:tr w:rsidR="00597D76" w14:paraId="0272D296" w14:textId="77777777" w:rsidTr="009720E0">
        <w:trPr>
          <w:trHeight w:val="470"/>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8488FDB" w14:textId="77777777" w:rsidR="00597D76" w:rsidRDefault="00597D76" w:rsidP="00597D76">
            <w:pPr>
              <w:rPr>
                <w:rFonts w:cs="Arial"/>
                <w:sz w:val="20"/>
              </w:rPr>
            </w:pPr>
          </w:p>
        </w:tc>
        <w:tc>
          <w:tcPr>
            <w:tcW w:w="1854" w:type="dxa"/>
            <w:tcBorders>
              <w:top w:val="single" w:sz="4" w:space="0" w:color="auto"/>
              <w:left w:val="single" w:sz="4" w:space="0" w:color="auto"/>
              <w:bottom w:val="single" w:sz="4" w:space="0" w:color="auto"/>
              <w:right w:val="single" w:sz="4" w:space="0" w:color="auto"/>
            </w:tcBorders>
            <w:hideMark/>
          </w:tcPr>
          <w:p w14:paraId="52C3A717" w14:textId="4B3430A2" w:rsidR="00597D76" w:rsidRDefault="00597D76" w:rsidP="00597D76">
            <w:pPr>
              <w:jc w:val="center"/>
              <w:rPr>
                <w:rFonts w:cs="Arial"/>
                <w:sz w:val="20"/>
              </w:rPr>
            </w:pPr>
            <w:r>
              <w:rPr>
                <w:rFonts w:cs="Arial"/>
                <w:sz w:val="20"/>
              </w:rPr>
              <w:t>All requests responded to on time</w:t>
            </w:r>
          </w:p>
        </w:tc>
        <w:tc>
          <w:tcPr>
            <w:tcW w:w="2977" w:type="dxa"/>
            <w:tcBorders>
              <w:top w:val="single" w:sz="4" w:space="0" w:color="auto"/>
              <w:left w:val="single" w:sz="4" w:space="0" w:color="auto"/>
              <w:bottom w:val="single" w:sz="4" w:space="0" w:color="auto"/>
              <w:right w:val="single" w:sz="4" w:space="0" w:color="auto"/>
            </w:tcBorders>
            <w:hideMark/>
          </w:tcPr>
          <w:p w14:paraId="36EDF1BA" w14:textId="15AB466E" w:rsidR="00597D76" w:rsidRDefault="00597D76" w:rsidP="00597D76">
            <w:pPr>
              <w:jc w:val="center"/>
              <w:rPr>
                <w:rFonts w:cs="Arial"/>
                <w:sz w:val="20"/>
              </w:rPr>
            </w:pPr>
            <w:r w:rsidRPr="00DA443C">
              <w:rPr>
                <w:rFonts w:cs="Arial"/>
                <w:sz w:val="20"/>
              </w:rPr>
              <w:t xml:space="preserve">1 response late (up to 5 </w:t>
            </w:r>
            <w:r w:rsidR="000D78B9">
              <w:rPr>
                <w:rFonts w:cs="Arial"/>
                <w:sz w:val="20"/>
              </w:rPr>
              <w:t>working</w:t>
            </w:r>
            <w:r w:rsidRPr="00DA443C">
              <w:rPr>
                <w:rFonts w:cs="Arial"/>
                <w:sz w:val="20"/>
              </w:rPr>
              <w:t xml:space="preserve"> days)</w:t>
            </w:r>
          </w:p>
        </w:tc>
        <w:tc>
          <w:tcPr>
            <w:tcW w:w="2977" w:type="dxa"/>
            <w:tcBorders>
              <w:top w:val="single" w:sz="4" w:space="0" w:color="auto"/>
              <w:left w:val="single" w:sz="4" w:space="0" w:color="auto"/>
              <w:bottom w:val="single" w:sz="4" w:space="0" w:color="auto"/>
              <w:right w:val="single" w:sz="4" w:space="0" w:color="auto"/>
            </w:tcBorders>
            <w:hideMark/>
          </w:tcPr>
          <w:p w14:paraId="610982BA" w14:textId="27CD0A1C" w:rsidR="00597D76" w:rsidRPr="00DA443C" w:rsidRDefault="00597D76" w:rsidP="00597D76">
            <w:pPr>
              <w:jc w:val="center"/>
              <w:rPr>
                <w:rFonts w:cs="Arial"/>
                <w:sz w:val="20"/>
              </w:rPr>
            </w:pPr>
            <w:r w:rsidRPr="00DA443C">
              <w:rPr>
                <w:rFonts w:cs="Arial"/>
                <w:sz w:val="20"/>
              </w:rPr>
              <w:t xml:space="preserve">1 response late (up to 10 </w:t>
            </w:r>
            <w:r w:rsidR="000D78B9">
              <w:rPr>
                <w:rFonts w:cs="Arial"/>
                <w:sz w:val="20"/>
              </w:rPr>
              <w:t>working</w:t>
            </w:r>
            <w:r w:rsidRPr="00DA443C">
              <w:rPr>
                <w:rFonts w:cs="Arial"/>
                <w:sz w:val="20"/>
              </w:rPr>
              <w:t xml:space="preserve"> days)</w:t>
            </w:r>
          </w:p>
          <w:p w14:paraId="44E8F55C" w14:textId="77777777" w:rsidR="00597D76" w:rsidRPr="00DA443C" w:rsidRDefault="00597D76" w:rsidP="00597D76">
            <w:pPr>
              <w:jc w:val="center"/>
              <w:rPr>
                <w:rFonts w:cs="Arial"/>
                <w:sz w:val="20"/>
              </w:rPr>
            </w:pPr>
            <w:r w:rsidRPr="00DA443C">
              <w:rPr>
                <w:rFonts w:cs="Arial"/>
                <w:sz w:val="20"/>
              </w:rPr>
              <w:t>or;</w:t>
            </w:r>
          </w:p>
          <w:p w14:paraId="615F3446" w14:textId="1D37AAEF" w:rsidR="00597D76" w:rsidRDefault="00597D76" w:rsidP="00597D76">
            <w:pPr>
              <w:jc w:val="center"/>
              <w:rPr>
                <w:rFonts w:cs="Arial"/>
                <w:sz w:val="20"/>
              </w:rPr>
            </w:pPr>
            <w:r w:rsidRPr="00DA443C">
              <w:rPr>
                <w:rFonts w:cs="Arial"/>
                <w:sz w:val="20"/>
              </w:rPr>
              <w:t xml:space="preserve">2 responses late (up to 5 </w:t>
            </w:r>
            <w:r w:rsidR="000D78B9">
              <w:rPr>
                <w:rFonts w:cs="Arial"/>
                <w:sz w:val="20"/>
              </w:rPr>
              <w:t>working</w:t>
            </w:r>
            <w:r w:rsidRPr="00DA443C">
              <w:rPr>
                <w:rFonts w:cs="Arial"/>
                <w:sz w:val="20"/>
              </w:rPr>
              <w:t xml:space="preserve"> days)</w:t>
            </w:r>
          </w:p>
        </w:tc>
        <w:tc>
          <w:tcPr>
            <w:tcW w:w="2976" w:type="dxa"/>
            <w:tcBorders>
              <w:top w:val="single" w:sz="4" w:space="0" w:color="auto"/>
              <w:left w:val="single" w:sz="4" w:space="0" w:color="auto"/>
              <w:bottom w:val="single" w:sz="4" w:space="0" w:color="auto"/>
              <w:right w:val="single" w:sz="4" w:space="0" w:color="auto"/>
            </w:tcBorders>
            <w:hideMark/>
          </w:tcPr>
          <w:p w14:paraId="47EDF079" w14:textId="179D09D1" w:rsidR="00597D76" w:rsidRPr="00DA443C" w:rsidRDefault="00597D76" w:rsidP="00597D76">
            <w:pPr>
              <w:jc w:val="center"/>
              <w:rPr>
                <w:rFonts w:cs="Arial"/>
                <w:sz w:val="20"/>
              </w:rPr>
            </w:pPr>
            <w:r w:rsidRPr="00DA443C">
              <w:rPr>
                <w:rFonts w:cs="Arial"/>
                <w:sz w:val="20"/>
              </w:rPr>
              <w:t xml:space="preserve">1 response late (over 10 </w:t>
            </w:r>
            <w:r w:rsidR="000D78B9">
              <w:rPr>
                <w:rFonts w:cs="Arial"/>
                <w:sz w:val="20"/>
              </w:rPr>
              <w:t>working</w:t>
            </w:r>
            <w:r w:rsidRPr="00DA443C">
              <w:rPr>
                <w:rFonts w:cs="Arial"/>
                <w:sz w:val="20"/>
              </w:rPr>
              <w:t xml:space="preserve"> days)</w:t>
            </w:r>
          </w:p>
          <w:p w14:paraId="0E2F29ED" w14:textId="77777777" w:rsidR="00597D76" w:rsidRPr="00DA443C" w:rsidRDefault="00597D76" w:rsidP="00597D76">
            <w:pPr>
              <w:jc w:val="center"/>
              <w:rPr>
                <w:rFonts w:cs="Arial"/>
                <w:sz w:val="20"/>
              </w:rPr>
            </w:pPr>
            <w:r w:rsidRPr="00DA443C">
              <w:rPr>
                <w:rFonts w:cs="Arial"/>
                <w:sz w:val="20"/>
              </w:rPr>
              <w:t>or;</w:t>
            </w:r>
          </w:p>
          <w:p w14:paraId="42682604" w14:textId="173E119C" w:rsidR="00597D76" w:rsidRPr="00DA443C" w:rsidRDefault="00597D76" w:rsidP="00597D76">
            <w:pPr>
              <w:jc w:val="center"/>
              <w:rPr>
                <w:rFonts w:cs="Arial"/>
                <w:sz w:val="20"/>
              </w:rPr>
            </w:pPr>
            <w:r w:rsidRPr="00DA443C">
              <w:rPr>
                <w:rFonts w:cs="Arial"/>
                <w:sz w:val="20"/>
              </w:rPr>
              <w:t xml:space="preserve">2 responses late (up to 10 </w:t>
            </w:r>
            <w:r w:rsidR="000D78B9">
              <w:rPr>
                <w:rFonts w:cs="Arial"/>
                <w:sz w:val="20"/>
              </w:rPr>
              <w:t>working</w:t>
            </w:r>
            <w:r w:rsidRPr="00DA443C">
              <w:rPr>
                <w:rFonts w:cs="Arial"/>
                <w:sz w:val="20"/>
              </w:rPr>
              <w:t xml:space="preserve"> days)</w:t>
            </w:r>
          </w:p>
          <w:p w14:paraId="308734C8" w14:textId="77777777" w:rsidR="00597D76" w:rsidRPr="00DA443C" w:rsidRDefault="00597D76" w:rsidP="00597D76">
            <w:pPr>
              <w:jc w:val="center"/>
              <w:rPr>
                <w:rFonts w:cs="Arial"/>
                <w:sz w:val="20"/>
              </w:rPr>
            </w:pPr>
            <w:r w:rsidRPr="00DA443C">
              <w:rPr>
                <w:rFonts w:cs="Arial"/>
                <w:sz w:val="20"/>
              </w:rPr>
              <w:t>or;</w:t>
            </w:r>
          </w:p>
          <w:p w14:paraId="1C655B1E" w14:textId="59519DD5" w:rsidR="00597D76" w:rsidRDefault="00597D76" w:rsidP="00597D76">
            <w:pPr>
              <w:jc w:val="center"/>
              <w:rPr>
                <w:rFonts w:cs="Arial"/>
                <w:sz w:val="20"/>
              </w:rPr>
            </w:pPr>
            <w:r w:rsidRPr="00DA443C">
              <w:rPr>
                <w:rFonts w:cs="Arial"/>
                <w:sz w:val="20"/>
              </w:rPr>
              <w:t xml:space="preserve">3 responses late (up to 5 </w:t>
            </w:r>
            <w:r w:rsidR="000D78B9">
              <w:rPr>
                <w:rFonts w:cs="Arial"/>
                <w:sz w:val="20"/>
              </w:rPr>
              <w:t>working</w:t>
            </w:r>
            <w:r w:rsidRPr="00DA443C">
              <w:rPr>
                <w:rFonts w:cs="Arial"/>
                <w:sz w:val="20"/>
              </w:rPr>
              <w:t xml:space="preserve"> days)</w:t>
            </w:r>
          </w:p>
        </w:tc>
        <w:tc>
          <w:tcPr>
            <w:tcW w:w="3261" w:type="dxa"/>
            <w:tcBorders>
              <w:top w:val="single" w:sz="4" w:space="0" w:color="auto"/>
              <w:left w:val="single" w:sz="4" w:space="0" w:color="auto"/>
              <w:bottom w:val="single" w:sz="4" w:space="0" w:color="auto"/>
              <w:right w:val="single" w:sz="4" w:space="0" w:color="auto"/>
            </w:tcBorders>
            <w:hideMark/>
          </w:tcPr>
          <w:p w14:paraId="21DCC835" w14:textId="342D0BBE" w:rsidR="00597D76" w:rsidRPr="00DA443C" w:rsidRDefault="00597D76" w:rsidP="00597D76">
            <w:pPr>
              <w:jc w:val="center"/>
              <w:rPr>
                <w:rFonts w:cs="Arial"/>
                <w:sz w:val="20"/>
              </w:rPr>
            </w:pPr>
            <w:r w:rsidRPr="00DA443C">
              <w:rPr>
                <w:rFonts w:cs="Arial"/>
                <w:sz w:val="20"/>
              </w:rPr>
              <w:t xml:space="preserve">2 responses late (over 10 </w:t>
            </w:r>
            <w:r w:rsidR="000D78B9">
              <w:rPr>
                <w:rFonts w:cs="Arial"/>
                <w:sz w:val="20"/>
              </w:rPr>
              <w:t>working</w:t>
            </w:r>
            <w:r w:rsidRPr="00DA443C">
              <w:rPr>
                <w:rFonts w:cs="Arial"/>
                <w:sz w:val="20"/>
              </w:rPr>
              <w:t xml:space="preserve"> days)</w:t>
            </w:r>
          </w:p>
          <w:p w14:paraId="2DF94B4F" w14:textId="77777777" w:rsidR="00597D76" w:rsidRPr="00DA443C" w:rsidRDefault="00597D76" w:rsidP="00597D76">
            <w:pPr>
              <w:jc w:val="center"/>
              <w:rPr>
                <w:rFonts w:cs="Arial"/>
                <w:sz w:val="20"/>
              </w:rPr>
            </w:pPr>
            <w:r w:rsidRPr="00DA443C">
              <w:rPr>
                <w:rFonts w:cs="Arial"/>
                <w:sz w:val="20"/>
              </w:rPr>
              <w:t>or;</w:t>
            </w:r>
          </w:p>
          <w:p w14:paraId="4FCAD610" w14:textId="393C2E52" w:rsidR="00597D76" w:rsidRPr="00DA443C" w:rsidRDefault="00597D76" w:rsidP="00597D76">
            <w:pPr>
              <w:jc w:val="center"/>
              <w:rPr>
                <w:rFonts w:cs="Arial"/>
                <w:sz w:val="20"/>
              </w:rPr>
            </w:pPr>
            <w:r w:rsidRPr="00DA443C">
              <w:rPr>
                <w:rFonts w:cs="Arial"/>
                <w:sz w:val="20"/>
              </w:rPr>
              <w:t xml:space="preserve">3 responses late (up to 10 </w:t>
            </w:r>
            <w:r w:rsidR="000D78B9">
              <w:rPr>
                <w:rFonts w:cs="Arial"/>
                <w:sz w:val="20"/>
              </w:rPr>
              <w:t>working</w:t>
            </w:r>
            <w:r w:rsidRPr="00DA443C">
              <w:rPr>
                <w:rFonts w:cs="Arial"/>
                <w:sz w:val="20"/>
              </w:rPr>
              <w:t xml:space="preserve"> days)</w:t>
            </w:r>
          </w:p>
          <w:p w14:paraId="3382FEC7" w14:textId="77777777" w:rsidR="00597D76" w:rsidRPr="00DA443C" w:rsidRDefault="00597D76" w:rsidP="00597D76">
            <w:pPr>
              <w:jc w:val="center"/>
              <w:rPr>
                <w:rFonts w:cs="Arial"/>
                <w:sz w:val="20"/>
              </w:rPr>
            </w:pPr>
            <w:r w:rsidRPr="00DA443C">
              <w:rPr>
                <w:rFonts w:cs="Arial"/>
                <w:sz w:val="20"/>
              </w:rPr>
              <w:t>or;</w:t>
            </w:r>
          </w:p>
          <w:p w14:paraId="776540C6" w14:textId="4374DF66" w:rsidR="00597D76" w:rsidRDefault="00597D76" w:rsidP="00597D76">
            <w:pPr>
              <w:jc w:val="center"/>
              <w:rPr>
                <w:rFonts w:cs="Arial"/>
                <w:sz w:val="20"/>
              </w:rPr>
            </w:pPr>
            <w:r w:rsidRPr="00DA443C">
              <w:rPr>
                <w:rFonts w:cs="Arial"/>
                <w:sz w:val="20"/>
              </w:rPr>
              <w:t>4 or more responses late</w:t>
            </w:r>
          </w:p>
        </w:tc>
      </w:tr>
      <w:tr w:rsidR="00597D76" w14:paraId="2CD8B43E" w14:textId="77777777" w:rsidTr="009720E0">
        <w:tc>
          <w:tcPr>
            <w:tcW w:w="551" w:type="dxa"/>
            <w:vMerge/>
            <w:tcBorders>
              <w:top w:val="single" w:sz="4" w:space="0" w:color="auto"/>
              <w:left w:val="single" w:sz="4" w:space="0" w:color="auto"/>
              <w:bottom w:val="single" w:sz="4" w:space="0" w:color="auto"/>
              <w:right w:val="single" w:sz="4" w:space="0" w:color="auto"/>
            </w:tcBorders>
            <w:vAlign w:val="center"/>
            <w:hideMark/>
          </w:tcPr>
          <w:p w14:paraId="0A057247" w14:textId="77777777" w:rsidR="00597D76" w:rsidRDefault="00597D76" w:rsidP="00597D76">
            <w:pPr>
              <w:rPr>
                <w:rFonts w:cs="Arial"/>
                <w:sz w:val="20"/>
              </w:rPr>
            </w:pPr>
          </w:p>
        </w:tc>
        <w:tc>
          <w:tcPr>
            <w:tcW w:w="1854" w:type="dxa"/>
            <w:tcBorders>
              <w:top w:val="single" w:sz="4" w:space="0" w:color="auto"/>
              <w:left w:val="single" w:sz="4" w:space="0" w:color="auto"/>
              <w:bottom w:val="single" w:sz="4" w:space="0" w:color="auto"/>
              <w:right w:val="single" w:sz="4" w:space="0" w:color="auto"/>
            </w:tcBorders>
            <w:hideMark/>
          </w:tcPr>
          <w:p w14:paraId="0DFDC09A" w14:textId="77777777" w:rsidR="00597D76" w:rsidRDefault="00597D76" w:rsidP="00597D76">
            <w:pPr>
              <w:jc w:val="center"/>
              <w:rPr>
                <w:rFonts w:cs="Arial"/>
                <w:sz w:val="20"/>
              </w:rPr>
            </w:pPr>
            <w:r>
              <w:rPr>
                <w:rFonts w:cs="Arial"/>
                <w:sz w:val="20"/>
              </w:rPr>
              <w:t>0% - No deductions</w:t>
            </w:r>
          </w:p>
        </w:tc>
        <w:tc>
          <w:tcPr>
            <w:tcW w:w="2977" w:type="dxa"/>
            <w:tcBorders>
              <w:top w:val="single" w:sz="4" w:space="0" w:color="auto"/>
              <w:left w:val="single" w:sz="4" w:space="0" w:color="auto"/>
              <w:bottom w:val="single" w:sz="4" w:space="0" w:color="auto"/>
              <w:right w:val="single" w:sz="4" w:space="0" w:color="auto"/>
            </w:tcBorders>
            <w:hideMark/>
          </w:tcPr>
          <w:p w14:paraId="5AD27DE5" w14:textId="77777777" w:rsidR="00597D76" w:rsidRDefault="00597D76" w:rsidP="00597D76">
            <w:pPr>
              <w:jc w:val="center"/>
              <w:rPr>
                <w:rFonts w:cs="Arial"/>
                <w:sz w:val="20"/>
              </w:rPr>
            </w:pPr>
            <w:r>
              <w:rPr>
                <w:rFonts w:cs="Arial"/>
                <w:sz w:val="20"/>
              </w:rPr>
              <w:t xml:space="preserve">A deduction of 1% will be made to the quarterly payment </w:t>
            </w:r>
          </w:p>
        </w:tc>
        <w:tc>
          <w:tcPr>
            <w:tcW w:w="2977" w:type="dxa"/>
            <w:tcBorders>
              <w:top w:val="single" w:sz="4" w:space="0" w:color="auto"/>
              <w:left w:val="single" w:sz="4" w:space="0" w:color="auto"/>
              <w:bottom w:val="single" w:sz="4" w:space="0" w:color="auto"/>
              <w:right w:val="single" w:sz="4" w:space="0" w:color="auto"/>
            </w:tcBorders>
            <w:hideMark/>
          </w:tcPr>
          <w:p w14:paraId="5834A05B" w14:textId="77777777" w:rsidR="00597D76" w:rsidRDefault="00597D76" w:rsidP="00597D76">
            <w:pPr>
              <w:jc w:val="center"/>
              <w:rPr>
                <w:rFonts w:cs="Arial"/>
                <w:sz w:val="20"/>
              </w:rPr>
            </w:pPr>
            <w:r>
              <w:rPr>
                <w:rFonts w:cs="Arial"/>
                <w:sz w:val="20"/>
              </w:rPr>
              <w:t xml:space="preserve">A deduction of 2.5% will be made to the quarterly payment </w:t>
            </w:r>
          </w:p>
        </w:tc>
        <w:tc>
          <w:tcPr>
            <w:tcW w:w="2976" w:type="dxa"/>
            <w:tcBorders>
              <w:top w:val="single" w:sz="4" w:space="0" w:color="auto"/>
              <w:left w:val="single" w:sz="4" w:space="0" w:color="auto"/>
              <w:bottom w:val="single" w:sz="4" w:space="0" w:color="auto"/>
              <w:right w:val="single" w:sz="4" w:space="0" w:color="auto"/>
            </w:tcBorders>
            <w:hideMark/>
          </w:tcPr>
          <w:p w14:paraId="75F8A343" w14:textId="77777777" w:rsidR="00597D76" w:rsidRDefault="00597D76" w:rsidP="00597D76">
            <w:pPr>
              <w:jc w:val="center"/>
              <w:rPr>
                <w:rFonts w:cs="Arial"/>
                <w:sz w:val="20"/>
              </w:rPr>
            </w:pPr>
            <w:r>
              <w:rPr>
                <w:rFonts w:cs="Arial"/>
                <w:sz w:val="20"/>
              </w:rPr>
              <w:t xml:space="preserve">A deduction of 5% will be made to the quarterly payment </w:t>
            </w:r>
          </w:p>
        </w:tc>
        <w:tc>
          <w:tcPr>
            <w:tcW w:w="3261" w:type="dxa"/>
            <w:tcBorders>
              <w:top w:val="single" w:sz="4" w:space="0" w:color="auto"/>
              <w:left w:val="single" w:sz="4" w:space="0" w:color="auto"/>
              <w:bottom w:val="single" w:sz="4" w:space="0" w:color="auto"/>
              <w:right w:val="single" w:sz="4" w:space="0" w:color="auto"/>
            </w:tcBorders>
            <w:hideMark/>
          </w:tcPr>
          <w:p w14:paraId="5E9C4A3B" w14:textId="77777777" w:rsidR="00597D76" w:rsidRDefault="00597D76" w:rsidP="00597D76">
            <w:pPr>
              <w:jc w:val="center"/>
              <w:rPr>
                <w:rFonts w:cs="Arial"/>
                <w:sz w:val="20"/>
              </w:rPr>
            </w:pPr>
            <w:r>
              <w:rPr>
                <w:rFonts w:cs="Arial"/>
                <w:sz w:val="20"/>
              </w:rPr>
              <w:t>A deduction of 7.5% will be made to the quarterly payment or Termination due to Material Breach, under Section 43 of the SC2 Terms and Conditions</w:t>
            </w:r>
          </w:p>
        </w:tc>
      </w:tr>
    </w:tbl>
    <w:p w14:paraId="3B856DA6" w14:textId="54EDD0AC" w:rsidR="009720E0" w:rsidRDefault="009720E0" w:rsidP="00C262C4">
      <w:pPr>
        <w:ind w:left="709"/>
        <w:jc w:val="both"/>
        <w:rPr>
          <w:rFonts w:cs="Arial"/>
          <w:sz w:val="20"/>
        </w:rPr>
      </w:pPr>
    </w:p>
    <w:p w14:paraId="426B4740" w14:textId="77777777" w:rsidR="00B5731C" w:rsidRDefault="00B5731C" w:rsidP="00C262C4">
      <w:pPr>
        <w:ind w:left="709"/>
        <w:jc w:val="both"/>
        <w:rPr>
          <w:rFonts w:cs="Arial"/>
          <w:sz w:val="20"/>
        </w:rPr>
      </w:pPr>
    </w:p>
    <w:tbl>
      <w:tblPr>
        <w:tblStyle w:val="TableGrid"/>
        <w:tblpPr w:leftFromText="180" w:rightFromText="180" w:vertAnchor="text" w:tblpY="1"/>
        <w:tblOverlap w:val="never"/>
        <w:tblW w:w="14596" w:type="dxa"/>
        <w:tblLook w:val="04A0" w:firstRow="1" w:lastRow="0" w:firstColumn="1" w:lastColumn="0" w:noHBand="0" w:noVBand="1"/>
      </w:tblPr>
      <w:tblGrid>
        <w:gridCol w:w="551"/>
        <w:gridCol w:w="1854"/>
        <w:gridCol w:w="2977"/>
        <w:gridCol w:w="2977"/>
        <w:gridCol w:w="2976"/>
        <w:gridCol w:w="3261"/>
      </w:tblGrid>
      <w:tr w:rsidR="00E73F9A" w14:paraId="63ABA23D" w14:textId="77777777" w:rsidTr="009720E0">
        <w:trPr>
          <w:trHeight w:val="315"/>
        </w:trPr>
        <w:tc>
          <w:tcPr>
            <w:tcW w:w="5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8A463D7" w14:textId="77777777" w:rsidR="00E73F9A" w:rsidRDefault="00E73F9A" w:rsidP="009720E0">
            <w:pPr>
              <w:jc w:val="center"/>
              <w:rPr>
                <w:rFonts w:cs="Arial"/>
                <w:b/>
                <w:sz w:val="20"/>
              </w:rPr>
            </w:pPr>
            <w:r>
              <w:rPr>
                <w:rFonts w:cs="Arial"/>
                <w:b/>
                <w:sz w:val="20"/>
              </w:rPr>
              <w:t>KPI</w:t>
            </w:r>
          </w:p>
        </w:tc>
        <w:tc>
          <w:tcPr>
            <w:tcW w:w="18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596E846" w14:textId="77777777" w:rsidR="00E73F9A" w:rsidRDefault="00E73F9A" w:rsidP="009720E0">
            <w:pPr>
              <w:jc w:val="center"/>
              <w:rPr>
                <w:rFonts w:cs="Arial"/>
                <w:b/>
                <w:sz w:val="20"/>
              </w:rPr>
            </w:pPr>
            <w:r>
              <w:rPr>
                <w:rFonts w:cs="Arial"/>
                <w:b/>
                <w:sz w:val="20"/>
              </w:rPr>
              <w:t>Metric</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59B5F9" w14:textId="77777777" w:rsidR="00E73F9A" w:rsidRDefault="00E73F9A" w:rsidP="009720E0">
            <w:pPr>
              <w:jc w:val="center"/>
              <w:rPr>
                <w:rFonts w:cs="Arial"/>
                <w:b/>
                <w:sz w:val="20"/>
              </w:rPr>
            </w:pPr>
            <w:r>
              <w:rPr>
                <w:rFonts w:cs="Arial"/>
                <w:b/>
                <w:sz w:val="20"/>
              </w:rPr>
              <w:t>Metric</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A6E4B4" w14:textId="77777777" w:rsidR="00E73F9A" w:rsidRDefault="00E73F9A" w:rsidP="009720E0">
            <w:pPr>
              <w:jc w:val="center"/>
              <w:rPr>
                <w:rFonts w:cs="Arial"/>
                <w:b/>
                <w:sz w:val="20"/>
              </w:rPr>
            </w:pPr>
            <w:r>
              <w:rPr>
                <w:rFonts w:cs="Arial"/>
                <w:b/>
                <w:sz w:val="20"/>
              </w:rPr>
              <w:t>Metric</w:t>
            </w:r>
          </w:p>
        </w:tc>
        <w:tc>
          <w:tcPr>
            <w:tcW w:w="29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AA09FAA" w14:textId="77777777" w:rsidR="00E73F9A" w:rsidRDefault="00E73F9A" w:rsidP="009720E0">
            <w:pPr>
              <w:jc w:val="center"/>
              <w:rPr>
                <w:rFonts w:cs="Arial"/>
                <w:b/>
                <w:sz w:val="20"/>
              </w:rPr>
            </w:pPr>
            <w:r>
              <w:rPr>
                <w:rFonts w:cs="Arial"/>
                <w:b/>
                <w:sz w:val="20"/>
              </w:rPr>
              <w:t>Metric</w:t>
            </w:r>
          </w:p>
        </w:tc>
        <w:tc>
          <w:tcPr>
            <w:tcW w:w="326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F1A012B" w14:textId="77777777" w:rsidR="00E73F9A" w:rsidRDefault="00E73F9A" w:rsidP="009720E0">
            <w:pPr>
              <w:jc w:val="center"/>
              <w:rPr>
                <w:rFonts w:cs="Arial"/>
                <w:b/>
                <w:sz w:val="20"/>
              </w:rPr>
            </w:pPr>
            <w:r>
              <w:rPr>
                <w:rFonts w:cs="Arial"/>
                <w:b/>
                <w:sz w:val="20"/>
              </w:rPr>
              <w:t>Metric</w:t>
            </w:r>
          </w:p>
        </w:tc>
      </w:tr>
      <w:tr w:rsidR="00E73F9A" w14:paraId="4AEC5878" w14:textId="77777777" w:rsidTr="009720E0">
        <w:trPr>
          <w:trHeight w:val="470"/>
        </w:trPr>
        <w:tc>
          <w:tcPr>
            <w:tcW w:w="551" w:type="dxa"/>
            <w:vMerge w:val="restart"/>
            <w:tcBorders>
              <w:top w:val="single" w:sz="4" w:space="0" w:color="auto"/>
              <w:left w:val="single" w:sz="4" w:space="0" w:color="auto"/>
              <w:bottom w:val="single" w:sz="4" w:space="0" w:color="auto"/>
              <w:right w:val="single" w:sz="4" w:space="0" w:color="auto"/>
            </w:tcBorders>
            <w:hideMark/>
          </w:tcPr>
          <w:p w14:paraId="4A7BF346" w14:textId="6E29B076" w:rsidR="00E73F9A" w:rsidRDefault="00B5731C" w:rsidP="009720E0">
            <w:pPr>
              <w:jc w:val="center"/>
              <w:rPr>
                <w:rFonts w:cs="Arial"/>
                <w:sz w:val="20"/>
              </w:rPr>
            </w:pPr>
            <w:r>
              <w:rPr>
                <w:rFonts w:cs="Arial"/>
                <w:sz w:val="20"/>
              </w:rPr>
              <w:t>4</w:t>
            </w:r>
          </w:p>
        </w:tc>
        <w:tc>
          <w:tcPr>
            <w:tcW w:w="1854" w:type="dxa"/>
            <w:tcBorders>
              <w:top w:val="single" w:sz="4" w:space="0" w:color="auto"/>
              <w:left w:val="single" w:sz="4" w:space="0" w:color="auto"/>
              <w:bottom w:val="single" w:sz="4" w:space="0" w:color="auto"/>
              <w:right w:val="single" w:sz="4" w:space="0" w:color="auto"/>
            </w:tcBorders>
            <w:shd w:val="clear" w:color="auto" w:fill="00B050"/>
            <w:hideMark/>
          </w:tcPr>
          <w:p w14:paraId="10309A9A" w14:textId="77777777" w:rsidR="00E73F9A" w:rsidRDefault="00E73F9A" w:rsidP="009720E0">
            <w:pPr>
              <w:jc w:val="center"/>
              <w:rPr>
                <w:rFonts w:cs="Arial"/>
                <w:sz w:val="20"/>
              </w:rPr>
            </w:pPr>
            <w:r>
              <w:rPr>
                <w:rFonts w:cs="Arial"/>
                <w:sz w:val="20"/>
              </w:rPr>
              <w:t>GREEN</w:t>
            </w:r>
          </w:p>
        </w:tc>
        <w:tc>
          <w:tcPr>
            <w:tcW w:w="2977" w:type="dxa"/>
            <w:tcBorders>
              <w:top w:val="single" w:sz="4" w:space="0" w:color="auto"/>
              <w:left w:val="single" w:sz="4" w:space="0" w:color="auto"/>
              <w:bottom w:val="single" w:sz="4" w:space="0" w:color="auto"/>
              <w:right w:val="single" w:sz="4" w:space="0" w:color="auto"/>
            </w:tcBorders>
            <w:shd w:val="clear" w:color="auto" w:fill="FFFF00"/>
            <w:hideMark/>
          </w:tcPr>
          <w:p w14:paraId="33A7B514" w14:textId="77777777" w:rsidR="00E73F9A" w:rsidRDefault="00E73F9A" w:rsidP="009720E0">
            <w:pPr>
              <w:jc w:val="center"/>
              <w:rPr>
                <w:rFonts w:cs="Arial"/>
                <w:sz w:val="20"/>
              </w:rPr>
            </w:pPr>
            <w:r>
              <w:rPr>
                <w:rFonts w:cs="Arial"/>
                <w:sz w:val="20"/>
              </w:rPr>
              <w:t>YELLOW</w:t>
            </w:r>
          </w:p>
        </w:tc>
        <w:tc>
          <w:tcPr>
            <w:tcW w:w="2977" w:type="dxa"/>
            <w:tcBorders>
              <w:top w:val="single" w:sz="4" w:space="0" w:color="auto"/>
              <w:left w:val="single" w:sz="4" w:space="0" w:color="auto"/>
              <w:bottom w:val="single" w:sz="4" w:space="0" w:color="auto"/>
              <w:right w:val="single" w:sz="4" w:space="0" w:color="auto"/>
            </w:tcBorders>
            <w:shd w:val="clear" w:color="auto" w:fill="FFC000"/>
            <w:hideMark/>
          </w:tcPr>
          <w:p w14:paraId="43DA7D68" w14:textId="77777777" w:rsidR="00E73F9A" w:rsidRDefault="00E73F9A" w:rsidP="009720E0">
            <w:pPr>
              <w:jc w:val="center"/>
              <w:rPr>
                <w:rFonts w:cs="Arial"/>
                <w:sz w:val="20"/>
              </w:rPr>
            </w:pPr>
            <w:r>
              <w:rPr>
                <w:rFonts w:cs="Arial"/>
                <w:sz w:val="20"/>
              </w:rPr>
              <w:t>AMBER</w:t>
            </w:r>
          </w:p>
        </w:tc>
        <w:tc>
          <w:tcPr>
            <w:tcW w:w="2976" w:type="dxa"/>
            <w:tcBorders>
              <w:top w:val="single" w:sz="4" w:space="0" w:color="auto"/>
              <w:left w:val="single" w:sz="4" w:space="0" w:color="auto"/>
              <w:bottom w:val="single" w:sz="4" w:space="0" w:color="auto"/>
              <w:right w:val="single" w:sz="4" w:space="0" w:color="auto"/>
            </w:tcBorders>
            <w:shd w:val="clear" w:color="auto" w:fill="FF0000"/>
            <w:hideMark/>
          </w:tcPr>
          <w:p w14:paraId="3009E103" w14:textId="77777777" w:rsidR="00E73F9A" w:rsidRDefault="00E73F9A" w:rsidP="009720E0">
            <w:pPr>
              <w:jc w:val="center"/>
              <w:rPr>
                <w:rFonts w:cs="Arial"/>
                <w:sz w:val="20"/>
              </w:rPr>
            </w:pPr>
            <w:r>
              <w:rPr>
                <w:rFonts w:cs="Arial"/>
                <w:sz w:val="20"/>
              </w:rPr>
              <w:t>RED</w:t>
            </w:r>
          </w:p>
        </w:tc>
        <w:tc>
          <w:tcPr>
            <w:tcW w:w="3261" w:type="dxa"/>
            <w:tcBorders>
              <w:top w:val="single" w:sz="4" w:space="0" w:color="auto"/>
              <w:left w:val="single" w:sz="4" w:space="0" w:color="auto"/>
              <w:bottom w:val="single" w:sz="4" w:space="0" w:color="auto"/>
              <w:right w:val="single" w:sz="4" w:space="0" w:color="auto"/>
            </w:tcBorders>
            <w:shd w:val="clear" w:color="auto" w:fill="00B0F0"/>
            <w:hideMark/>
          </w:tcPr>
          <w:p w14:paraId="060A0EF4" w14:textId="77777777" w:rsidR="00E73F9A" w:rsidRDefault="00E73F9A" w:rsidP="009720E0">
            <w:pPr>
              <w:jc w:val="center"/>
              <w:rPr>
                <w:rFonts w:cs="Arial"/>
                <w:sz w:val="20"/>
              </w:rPr>
            </w:pPr>
            <w:r>
              <w:rPr>
                <w:rFonts w:cs="Arial"/>
                <w:sz w:val="20"/>
              </w:rPr>
              <w:t>CRITICAL FAILURE</w:t>
            </w:r>
          </w:p>
        </w:tc>
      </w:tr>
      <w:tr w:rsidR="00E73F9A" w14:paraId="0D9962A5" w14:textId="77777777" w:rsidTr="009720E0">
        <w:trPr>
          <w:trHeight w:val="470"/>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680AC56A" w14:textId="77777777" w:rsidR="00E73F9A" w:rsidRDefault="00E73F9A" w:rsidP="009720E0">
            <w:pPr>
              <w:rPr>
                <w:rFonts w:cs="Arial"/>
                <w:sz w:val="20"/>
              </w:rPr>
            </w:pPr>
          </w:p>
        </w:tc>
        <w:tc>
          <w:tcPr>
            <w:tcW w:w="1854" w:type="dxa"/>
            <w:tcBorders>
              <w:top w:val="single" w:sz="4" w:space="0" w:color="auto"/>
              <w:left w:val="single" w:sz="4" w:space="0" w:color="auto"/>
              <w:bottom w:val="single" w:sz="4" w:space="0" w:color="auto"/>
              <w:right w:val="single" w:sz="4" w:space="0" w:color="auto"/>
            </w:tcBorders>
            <w:hideMark/>
          </w:tcPr>
          <w:p w14:paraId="00445AD7" w14:textId="77777777" w:rsidR="00E73F9A" w:rsidRDefault="00E73F9A" w:rsidP="009720E0">
            <w:pPr>
              <w:jc w:val="center"/>
              <w:rPr>
                <w:rFonts w:cs="Arial"/>
                <w:sz w:val="20"/>
              </w:rPr>
            </w:pPr>
            <w:r>
              <w:rPr>
                <w:rFonts w:cs="Arial"/>
                <w:sz w:val="20"/>
              </w:rPr>
              <w:t>All meeting minutes and action logs submitted on time</w:t>
            </w:r>
          </w:p>
        </w:tc>
        <w:tc>
          <w:tcPr>
            <w:tcW w:w="2977" w:type="dxa"/>
            <w:tcBorders>
              <w:top w:val="single" w:sz="4" w:space="0" w:color="auto"/>
              <w:left w:val="single" w:sz="4" w:space="0" w:color="auto"/>
              <w:bottom w:val="single" w:sz="4" w:space="0" w:color="auto"/>
              <w:right w:val="single" w:sz="4" w:space="0" w:color="auto"/>
            </w:tcBorders>
            <w:hideMark/>
          </w:tcPr>
          <w:p w14:paraId="595D89B9" w14:textId="77777777" w:rsidR="00E73F9A" w:rsidRDefault="00E73F9A" w:rsidP="009720E0">
            <w:pPr>
              <w:jc w:val="center"/>
              <w:rPr>
                <w:rFonts w:cs="Arial"/>
                <w:sz w:val="20"/>
              </w:rPr>
            </w:pPr>
            <w:r>
              <w:rPr>
                <w:rFonts w:cs="Arial"/>
                <w:sz w:val="20"/>
              </w:rPr>
              <w:t>1 submission of meeting minutes and action logs not received within the time limit</w:t>
            </w:r>
          </w:p>
        </w:tc>
        <w:tc>
          <w:tcPr>
            <w:tcW w:w="2977" w:type="dxa"/>
            <w:tcBorders>
              <w:top w:val="single" w:sz="4" w:space="0" w:color="auto"/>
              <w:left w:val="single" w:sz="4" w:space="0" w:color="auto"/>
              <w:bottom w:val="single" w:sz="4" w:space="0" w:color="auto"/>
              <w:right w:val="single" w:sz="4" w:space="0" w:color="auto"/>
            </w:tcBorders>
            <w:hideMark/>
          </w:tcPr>
          <w:p w14:paraId="74797112" w14:textId="77777777" w:rsidR="00E73F9A" w:rsidRDefault="00E73F9A" w:rsidP="009720E0">
            <w:pPr>
              <w:jc w:val="center"/>
              <w:rPr>
                <w:rFonts w:cs="Arial"/>
                <w:sz w:val="20"/>
              </w:rPr>
            </w:pPr>
            <w:r>
              <w:rPr>
                <w:rFonts w:cs="Arial"/>
                <w:sz w:val="20"/>
              </w:rPr>
              <w:t>2 submissions of meeting minutes and action logs not received within the time limit</w:t>
            </w:r>
          </w:p>
        </w:tc>
        <w:tc>
          <w:tcPr>
            <w:tcW w:w="2976" w:type="dxa"/>
            <w:tcBorders>
              <w:top w:val="single" w:sz="4" w:space="0" w:color="auto"/>
              <w:left w:val="single" w:sz="4" w:space="0" w:color="auto"/>
              <w:bottom w:val="single" w:sz="4" w:space="0" w:color="auto"/>
              <w:right w:val="single" w:sz="4" w:space="0" w:color="auto"/>
            </w:tcBorders>
            <w:hideMark/>
          </w:tcPr>
          <w:p w14:paraId="71F3B938" w14:textId="77777777" w:rsidR="00E73F9A" w:rsidRDefault="00E73F9A" w:rsidP="009720E0">
            <w:pPr>
              <w:jc w:val="center"/>
              <w:rPr>
                <w:rFonts w:cs="Arial"/>
                <w:sz w:val="20"/>
              </w:rPr>
            </w:pPr>
            <w:r>
              <w:rPr>
                <w:rFonts w:cs="Arial"/>
                <w:sz w:val="20"/>
              </w:rPr>
              <w:t>3 submissions of meeting minutes and action logs not received within the time limit</w:t>
            </w:r>
          </w:p>
        </w:tc>
        <w:tc>
          <w:tcPr>
            <w:tcW w:w="3261" w:type="dxa"/>
            <w:tcBorders>
              <w:top w:val="single" w:sz="4" w:space="0" w:color="auto"/>
              <w:left w:val="single" w:sz="4" w:space="0" w:color="auto"/>
              <w:bottom w:val="single" w:sz="4" w:space="0" w:color="auto"/>
              <w:right w:val="single" w:sz="4" w:space="0" w:color="auto"/>
            </w:tcBorders>
            <w:hideMark/>
          </w:tcPr>
          <w:p w14:paraId="2E1598F3" w14:textId="77777777" w:rsidR="00E73F9A" w:rsidRDefault="00E73F9A" w:rsidP="009720E0">
            <w:pPr>
              <w:jc w:val="center"/>
              <w:rPr>
                <w:rFonts w:cs="Arial"/>
                <w:sz w:val="20"/>
              </w:rPr>
            </w:pPr>
            <w:r>
              <w:rPr>
                <w:rFonts w:cs="Arial"/>
                <w:sz w:val="20"/>
              </w:rPr>
              <w:t>4+ submissions of meeting minutes and action logs not received within the time limit</w:t>
            </w:r>
          </w:p>
        </w:tc>
      </w:tr>
      <w:tr w:rsidR="00E73F9A" w14:paraId="0102F417" w14:textId="77777777" w:rsidTr="009720E0">
        <w:tc>
          <w:tcPr>
            <w:tcW w:w="551" w:type="dxa"/>
            <w:vMerge/>
            <w:tcBorders>
              <w:top w:val="single" w:sz="4" w:space="0" w:color="auto"/>
              <w:left w:val="single" w:sz="4" w:space="0" w:color="auto"/>
              <w:bottom w:val="single" w:sz="4" w:space="0" w:color="auto"/>
              <w:right w:val="single" w:sz="4" w:space="0" w:color="auto"/>
            </w:tcBorders>
            <w:vAlign w:val="center"/>
            <w:hideMark/>
          </w:tcPr>
          <w:p w14:paraId="506A088A" w14:textId="77777777" w:rsidR="00E73F9A" w:rsidRDefault="00E73F9A" w:rsidP="009720E0">
            <w:pPr>
              <w:rPr>
                <w:rFonts w:cs="Arial"/>
                <w:sz w:val="20"/>
              </w:rPr>
            </w:pPr>
          </w:p>
        </w:tc>
        <w:tc>
          <w:tcPr>
            <w:tcW w:w="1854" w:type="dxa"/>
            <w:tcBorders>
              <w:top w:val="single" w:sz="4" w:space="0" w:color="auto"/>
              <w:left w:val="single" w:sz="4" w:space="0" w:color="auto"/>
              <w:bottom w:val="single" w:sz="4" w:space="0" w:color="auto"/>
              <w:right w:val="single" w:sz="4" w:space="0" w:color="auto"/>
            </w:tcBorders>
            <w:hideMark/>
          </w:tcPr>
          <w:p w14:paraId="0ED6839B" w14:textId="77777777" w:rsidR="00E73F9A" w:rsidRDefault="00E73F9A" w:rsidP="009720E0">
            <w:pPr>
              <w:jc w:val="center"/>
              <w:rPr>
                <w:rFonts w:cs="Arial"/>
                <w:sz w:val="20"/>
              </w:rPr>
            </w:pPr>
            <w:r>
              <w:rPr>
                <w:rFonts w:cs="Arial"/>
                <w:sz w:val="20"/>
              </w:rPr>
              <w:t>0% - No deductions</w:t>
            </w:r>
          </w:p>
        </w:tc>
        <w:tc>
          <w:tcPr>
            <w:tcW w:w="2977" w:type="dxa"/>
            <w:tcBorders>
              <w:top w:val="single" w:sz="4" w:space="0" w:color="auto"/>
              <w:left w:val="single" w:sz="4" w:space="0" w:color="auto"/>
              <w:bottom w:val="single" w:sz="4" w:space="0" w:color="auto"/>
              <w:right w:val="single" w:sz="4" w:space="0" w:color="auto"/>
            </w:tcBorders>
            <w:hideMark/>
          </w:tcPr>
          <w:p w14:paraId="5683933F" w14:textId="77777777" w:rsidR="00E73F9A" w:rsidRDefault="00E73F9A" w:rsidP="009720E0">
            <w:pPr>
              <w:jc w:val="center"/>
              <w:rPr>
                <w:rFonts w:cs="Arial"/>
                <w:sz w:val="20"/>
              </w:rPr>
            </w:pPr>
            <w:r>
              <w:rPr>
                <w:rFonts w:cs="Arial"/>
                <w:sz w:val="20"/>
              </w:rPr>
              <w:t xml:space="preserve">A deduction of 1% will be made to the quarterly payment </w:t>
            </w:r>
          </w:p>
        </w:tc>
        <w:tc>
          <w:tcPr>
            <w:tcW w:w="2977" w:type="dxa"/>
            <w:tcBorders>
              <w:top w:val="single" w:sz="4" w:space="0" w:color="auto"/>
              <w:left w:val="single" w:sz="4" w:space="0" w:color="auto"/>
              <w:bottom w:val="single" w:sz="4" w:space="0" w:color="auto"/>
              <w:right w:val="single" w:sz="4" w:space="0" w:color="auto"/>
            </w:tcBorders>
            <w:hideMark/>
          </w:tcPr>
          <w:p w14:paraId="10B4ABBC" w14:textId="77777777" w:rsidR="00E73F9A" w:rsidRDefault="00E73F9A" w:rsidP="009720E0">
            <w:pPr>
              <w:jc w:val="center"/>
              <w:rPr>
                <w:rFonts w:cs="Arial"/>
                <w:sz w:val="20"/>
              </w:rPr>
            </w:pPr>
            <w:r>
              <w:rPr>
                <w:rFonts w:cs="Arial"/>
                <w:sz w:val="20"/>
              </w:rPr>
              <w:t xml:space="preserve">A deduction of 2.5% will be made to the quarterly payment </w:t>
            </w:r>
          </w:p>
        </w:tc>
        <w:tc>
          <w:tcPr>
            <w:tcW w:w="2976" w:type="dxa"/>
            <w:tcBorders>
              <w:top w:val="single" w:sz="4" w:space="0" w:color="auto"/>
              <w:left w:val="single" w:sz="4" w:space="0" w:color="auto"/>
              <w:bottom w:val="single" w:sz="4" w:space="0" w:color="auto"/>
              <w:right w:val="single" w:sz="4" w:space="0" w:color="auto"/>
            </w:tcBorders>
            <w:hideMark/>
          </w:tcPr>
          <w:p w14:paraId="7E2D0896" w14:textId="77777777" w:rsidR="00E73F9A" w:rsidRDefault="00E73F9A" w:rsidP="009720E0">
            <w:pPr>
              <w:jc w:val="center"/>
              <w:rPr>
                <w:rFonts w:cs="Arial"/>
                <w:sz w:val="20"/>
              </w:rPr>
            </w:pPr>
            <w:r>
              <w:rPr>
                <w:rFonts w:cs="Arial"/>
                <w:sz w:val="20"/>
              </w:rPr>
              <w:t xml:space="preserve">A deduction of 5% will be made to the quarterly payment </w:t>
            </w:r>
          </w:p>
        </w:tc>
        <w:tc>
          <w:tcPr>
            <w:tcW w:w="3261" w:type="dxa"/>
            <w:tcBorders>
              <w:top w:val="single" w:sz="4" w:space="0" w:color="auto"/>
              <w:left w:val="single" w:sz="4" w:space="0" w:color="auto"/>
              <w:bottom w:val="single" w:sz="4" w:space="0" w:color="auto"/>
              <w:right w:val="single" w:sz="4" w:space="0" w:color="auto"/>
            </w:tcBorders>
            <w:hideMark/>
          </w:tcPr>
          <w:p w14:paraId="20AF52A9" w14:textId="77777777" w:rsidR="00E73F9A" w:rsidRDefault="00E73F9A" w:rsidP="009720E0">
            <w:pPr>
              <w:jc w:val="center"/>
              <w:rPr>
                <w:rFonts w:cs="Arial"/>
                <w:sz w:val="20"/>
              </w:rPr>
            </w:pPr>
            <w:r>
              <w:rPr>
                <w:rFonts w:cs="Arial"/>
                <w:sz w:val="20"/>
              </w:rPr>
              <w:t>A deduction of 7.5% will be made to the quarterly payment or Termination due to Material Breach, under Section 43 of the SC2 Terms and Conditions</w:t>
            </w:r>
          </w:p>
        </w:tc>
      </w:tr>
    </w:tbl>
    <w:p w14:paraId="1B6B36F3" w14:textId="485550F0" w:rsidR="007C1C43" w:rsidRDefault="007C1C43" w:rsidP="00C262C4">
      <w:pPr>
        <w:ind w:left="709"/>
        <w:jc w:val="both"/>
        <w:rPr>
          <w:rFonts w:cs="Arial"/>
          <w:sz w:val="20"/>
        </w:rPr>
      </w:pPr>
    </w:p>
    <w:p w14:paraId="0C0EF543" w14:textId="1BC876FF" w:rsidR="00E73F9A" w:rsidRDefault="00E73F9A" w:rsidP="00C262C4">
      <w:pPr>
        <w:ind w:left="709"/>
        <w:jc w:val="both"/>
        <w:rPr>
          <w:rFonts w:cs="Arial"/>
          <w:sz w:val="20"/>
        </w:rPr>
      </w:pPr>
    </w:p>
    <w:p w14:paraId="7489CBA2" w14:textId="77777777" w:rsidR="00E73F9A" w:rsidRDefault="00E73F9A" w:rsidP="00C262C4">
      <w:pPr>
        <w:ind w:left="709"/>
        <w:jc w:val="both"/>
        <w:rPr>
          <w:rFonts w:cs="Arial"/>
          <w:sz w:val="20"/>
        </w:rPr>
      </w:pPr>
    </w:p>
    <w:p w14:paraId="63C909B8" w14:textId="4AA22FFB" w:rsidR="00C262C4" w:rsidRDefault="00C262C4" w:rsidP="00C262C4">
      <w:pPr>
        <w:ind w:left="709"/>
        <w:jc w:val="both"/>
        <w:rPr>
          <w:rFonts w:cs="Arial"/>
          <w:sz w:val="20"/>
        </w:rPr>
      </w:pPr>
      <w:r>
        <w:rPr>
          <w:rFonts w:cs="Arial"/>
          <w:sz w:val="20"/>
        </w:rPr>
        <w:t>1.3</w:t>
      </w:r>
      <w:r>
        <w:rPr>
          <w:rFonts w:cs="Arial"/>
          <w:sz w:val="20"/>
        </w:rPr>
        <w:tab/>
        <w:t>In the event</w:t>
      </w:r>
      <w:r w:rsidR="00296C03">
        <w:rPr>
          <w:rFonts w:cs="Arial"/>
          <w:sz w:val="20"/>
        </w:rPr>
        <w:t xml:space="preserve"> </w:t>
      </w:r>
      <w:r>
        <w:rPr>
          <w:rFonts w:cs="Arial"/>
          <w:sz w:val="20"/>
        </w:rPr>
        <w:t xml:space="preserve">that the Contractor’s performance against a KPI falls within the level of performance specified in “Yellow”, the Authority shall be entitled to apply a deduction </w:t>
      </w:r>
      <w:r w:rsidRPr="00C0778E">
        <w:rPr>
          <w:rFonts w:cs="Arial"/>
          <w:sz w:val="20"/>
        </w:rPr>
        <w:t>of 1%</w:t>
      </w:r>
      <w:r>
        <w:rPr>
          <w:rFonts w:cs="Arial"/>
          <w:sz w:val="20"/>
        </w:rPr>
        <w:t xml:space="preserve"> to the quarterly p</w:t>
      </w:r>
      <w:r w:rsidR="00296C03">
        <w:rPr>
          <w:rFonts w:cs="Arial"/>
          <w:sz w:val="20"/>
        </w:rPr>
        <w:t xml:space="preserve">ayment </w:t>
      </w:r>
      <w:r>
        <w:rPr>
          <w:rFonts w:cs="Arial"/>
          <w:sz w:val="20"/>
        </w:rPr>
        <w:t>for the relevant period.</w:t>
      </w:r>
    </w:p>
    <w:p w14:paraId="3286C4CA" w14:textId="77777777" w:rsidR="00C262C4" w:rsidRDefault="00C262C4" w:rsidP="00C262C4">
      <w:pPr>
        <w:ind w:left="709"/>
        <w:jc w:val="both"/>
        <w:rPr>
          <w:rFonts w:cs="Arial"/>
          <w:sz w:val="20"/>
        </w:rPr>
      </w:pPr>
      <w:r>
        <w:rPr>
          <w:rFonts w:cs="Arial"/>
          <w:sz w:val="20"/>
        </w:rPr>
        <w:t xml:space="preserve">  </w:t>
      </w:r>
    </w:p>
    <w:p w14:paraId="77385744" w14:textId="1DC2145C" w:rsidR="00C262C4" w:rsidRDefault="00C262C4" w:rsidP="00C262C4">
      <w:pPr>
        <w:ind w:left="709"/>
        <w:jc w:val="both"/>
        <w:rPr>
          <w:rFonts w:cs="Arial"/>
          <w:sz w:val="20"/>
        </w:rPr>
      </w:pPr>
      <w:r>
        <w:rPr>
          <w:rFonts w:cs="Arial"/>
          <w:sz w:val="20"/>
        </w:rPr>
        <w:t xml:space="preserve">1.4 </w:t>
      </w:r>
      <w:r>
        <w:rPr>
          <w:rFonts w:cs="Arial"/>
          <w:sz w:val="20"/>
        </w:rPr>
        <w:tab/>
        <w:t xml:space="preserve">In the event that the Contractor’s performance against a KPI falls within the level of performance specified in “Amber”, the Authority shall be entitled to apply a deduction </w:t>
      </w:r>
      <w:r w:rsidRPr="00C0778E">
        <w:rPr>
          <w:rFonts w:cs="Arial"/>
          <w:sz w:val="20"/>
        </w:rPr>
        <w:t>of 2.5%</w:t>
      </w:r>
      <w:r>
        <w:rPr>
          <w:rFonts w:cs="Arial"/>
          <w:sz w:val="20"/>
        </w:rPr>
        <w:t xml:space="preserve"> to the quarterly p</w:t>
      </w:r>
      <w:r w:rsidR="00296C03">
        <w:rPr>
          <w:rFonts w:cs="Arial"/>
          <w:sz w:val="20"/>
        </w:rPr>
        <w:t xml:space="preserve">ayment </w:t>
      </w:r>
      <w:r>
        <w:rPr>
          <w:rFonts w:cs="Arial"/>
          <w:sz w:val="20"/>
        </w:rPr>
        <w:t>for the relevant period.</w:t>
      </w:r>
    </w:p>
    <w:p w14:paraId="4778BC65" w14:textId="77777777" w:rsidR="00C262C4" w:rsidRDefault="00C262C4" w:rsidP="00C262C4">
      <w:pPr>
        <w:ind w:left="709"/>
        <w:jc w:val="both"/>
        <w:rPr>
          <w:rFonts w:cs="Arial"/>
          <w:sz w:val="20"/>
        </w:rPr>
      </w:pPr>
    </w:p>
    <w:p w14:paraId="7DE04FB8" w14:textId="3993D32E" w:rsidR="00C262C4" w:rsidRPr="00C0778E" w:rsidRDefault="00C262C4" w:rsidP="00C262C4">
      <w:pPr>
        <w:ind w:left="709"/>
        <w:jc w:val="both"/>
        <w:rPr>
          <w:rFonts w:cs="Arial"/>
          <w:sz w:val="20"/>
        </w:rPr>
      </w:pPr>
      <w:r>
        <w:rPr>
          <w:rFonts w:cs="Arial"/>
          <w:sz w:val="20"/>
        </w:rPr>
        <w:t>1.5</w:t>
      </w:r>
      <w:r>
        <w:rPr>
          <w:rFonts w:cs="Arial"/>
          <w:sz w:val="20"/>
        </w:rPr>
        <w:tab/>
        <w:t xml:space="preserve">In the event that the Contractor’s performance against a KPI falls within the level of performance specified in “Red”, the Authority shall be entitled to apply a deduction </w:t>
      </w:r>
      <w:r w:rsidRPr="00C0778E">
        <w:rPr>
          <w:rFonts w:cs="Arial"/>
          <w:sz w:val="20"/>
        </w:rPr>
        <w:t>of 5%</w:t>
      </w:r>
      <w:r>
        <w:rPr>
          <w:rFonts w:cs="Arial"/>
          <w:sz w:val="20"/>
        </w:rPr>
        <w:t xml:space="preserve"> </w:t>
      </w:r>
      <w:r w:rsidRPr="00C0778E">
        <w:rPr>
          <w:rFonts w:cs="Arial"/>
          <w:sz w:val="20"/>
        </w:rPr>
        <w:t>to the quarterly p</w:t>
      </w:r>
      <w:r w:rsidR="00296C03" w:rsidRPr="00C0778E">
        <w:rPr>
          <w:rFonts w:cs="Arial"/>
          <w:sz w:val="20"/>
        </w:rPr>
        <w:t xml:space="preserve">ayment </w:t>
      </w:r>
      <w:r w:rsidRPr="00C0778E">
        <w:rPr>
          <w:rFonts w:cs="Arial"/>
          <w:sz w:val="20"/>
        </w:rPr>
        <w:t>for the relevant period.</w:t>
      </w:r>
    </w:p>
    <w:p w14:paraId="215F4EAA" w14:textId="77777777" w:rsidR="00C262C4" w:rsidRPr="00C0778E" w:rsidRDefault="00C262C4" w:rsidP="00C262C4">
      <w:pPr>
        <w:tabs>
          <w:tab w:val="left" w:pos="4605"/>
        </w:tabs>
        <w:ind w:left="709"/>
        <w:jc w:val="both"/>
        <w:rPr>
          <w:rFonts w:cs="Arial"/>
          <w:sz w:val="20"/>
        </w:rPr>
      </w:pPr>
      <w:r w:rsidRPr="00C0778E">
        <w:rPr>
          <w:rFonts w:cs="Arial"/>
          <w:sz w:val="20"/>
        </w:rPr>
        <w:tab/>
      </w:r>
    </w:p>
    <w:p w14:paraId="60599D4F" w14:textId="38D6EE48" w:rsidR="00C262C4" w:rsidRDefault="00C262C4" w:rsidP="00C262C4">
      <w:pPr>
        <w:ind w:left="709"/>
        <w:jc w:val="both"/>
        <w:rPr>
          <w:rFonts w:cs="Arial"/>
          <w:sz w:val="20"/>
        </w:rPr>
      </w:pPr>
      <w:r w:rsidRPr="00C0778E">
        <w:rPr>
          <w:rFonts w:cs="Arial"/>
          <w:sz w:val="20"/>
        </w:rPr>
        <w:t>1.6</w:t>
      </w:r>
      <w:r w:rsidRPr="00C0778E">
        <w:rPr>
          <w:rFonts w:cs="Arial"/>
          <w:sz w:val="20"/>
        </w:rPr>
        <w:tab/>
        <w:t>In the</w:t>
      </w:r>
      <w:r>
        <w:rPr>
          <w:rFonts w:cs="Arial"/>
          <w:sz w:val="20"/>
        </w:rPr>
        <w:t xml:space="preserve"> event that the Contractor’s performance against a KPI falls within the level of performance specified as “Critical Failure”, the Authority shall be entitled to </w:t>
      </w:r>
      <w:r w:rsidR="00296C03">
        <w:rPr>
          <w:rFonts w:cs="Arial"/>
          <w:sz w:val="20"/>
        </w:rPr>
        <w:t xml:space="preserve">apply a deduction </w:t>
      </w:r>
      <w:r w:rsidR="00296C03" w:rsidRPr="00C0778E">
        <w:rPr>
          <w:rFonts w:cs="Arial"/>
          <w:sz w:val="20"/>
        </w:rPr>
        <w:t>of 7.5%</w:t>
      </w:r>
      <w:r w:rsidR="00296C03">
        <w:rPr>
          <w:rFonts w:cs="Arial"/>
          <w:sz w:val="20"/>
        </w:rPr>
        <w:t xml:space="preserve"> to the quarterly payment for the relevant period </w:t>
      </w:r>
      <w:r w:rsidR="00541D76">
        <w:rPr>
          <w:rFonts w:cs="Arial"/>
          <w:sz w:val="20"/>
        </w:rPr>
        <w:t>or to terminate the Contract</w:t>
      </w:r>
      <w:r w:rsidR="00541D76">
        <w:t xml:space="preserve"> </w:t>
      </w:r>
      <w:r w:rsidR="00541D76">
        <w:rPr>
          <w:rFonts w:cs="Arial"/>
          <w:sz w:val="20"/>
        </w:rPr>
        <w:t>due to a Material Breach, under Section 43 of the SC2 Terms and Conditions</w:t>
      </w:r>
      <w:r>
        <w:rPr>
          <w:rFonts w:cs="Arial"/>
          <w:sz w:val="20"/>
        </w:rPr>
        <w:t>.</w:t>
      </w:r>
    </w:p>
    <w:p w14:paraId="68F4B976" w14:textId="77777777" w:rsidR="00C262C4" w:rsidRDefault="00C262C4" w:rsidP="00C262C4">
      <w:pPr>
        <w:ind w:left="709"/>
        <w:jc w:val="both"/>
        <w:rPr>
          <w:rFonts w:cs="Arial"/>
          <w:sz w:val="20"/>
        </w:rPr>
      </w:pPr>
    </w:p>
    <w:p w14:paraId="0F7BD4F0" w14:textId="77777777" w:rsidR="00C262C4" w:rsidRDefault="00C262C4" w:rsidP="00C262C4">
      <w:pPr>
        <w:ind w:left="709"/>
        <w:jc w:val="both"/>
        <w:rPr>
          <w:rFonts w:cs="Arial"/>
          <w:sz w:val="20"/>
        </w:rPr>
      </w:pPr>
      <w:r>
        <w:rPr>
          <w:rFonts w:cs="Arial"/>
          <w:sz w:val="20"/>
        </w:rPr>
        <w:t>1.7</w:t>
      </w:r>
      <w:r>
        <w:rPr>
          <w:rFonts w:cs="Arial"/>
          <w:sz w:val="20"/>
        </w:rPr>
        <w:tab/>
        <w:t>Should the Contractor fail to meet the required level of performance for a KPI (i.e. its performance against the KPI is any combination of “Yellow, Amber or Red”) for two (2) consecutive quarters, it shall provide the Authority with a written Recovery Plan.</w:t>
      </w:r>
    </w:p>
    <w:p w14:paraId="1CA4B256" w14:textId="77777777" w:rsidR="00C262C4" w:rsidRDefault="00C262C4" w:rsidP="00C262C4">
      <w:pPr>
        <w:ind w:left="709"/>
        <w:jc w:val="both"/>
        <w:rPr>
          <w:rFonts w:cs="Arial"/>
          <w:sz w:val="20"/>
        </w:rPr>
      </w:pPr>
    </w:p>
    <w:p w14:paraId="755A5B17" w14:textId="77777777" w:rsidR="00C262C4" w:rsidRDefault="00C262C4" w:rsidP="00C262C4">
      <w:pPr>
        <w:ind w:left="709"/>
        <w:jc w:val="both"/>
        <w:rPr>
          <w:rFonts w:cs="Arial"/>
          <w:sz w:val="20"/>
        </w:rPr>
      </w:pPr>
      <w:r>
        <w:rPr>
          <w:rFonts w:cs="Arial"/>
          <w:sz w:val="20"/>
        </w:rPr>
        <w:t>1.8</w:t>
      </w:r>
      <w:r>
        <w:rPr>
          <w:rFonts w:cs="Arial"/>
          <w:sz w:val="20"/>
        </w:rPr>
        <w:tab/>
        <w:t>Should the Contractor fail to meet the required level of performance for a KPI (i.e. its performance against the KPI is any combination of “Yellow, Amber and Red”) for three (3) consecutive quarters the Authority has the right to terminate the Contract under DEFCON 514.</w:t>
      </w:r>
    </w:p>
    <w:p w14:paraId="266576FF" w14:textId="77777777" w:rsidR="00C262C4" w:rsidRDefault="00C262C4" w:rsidP="00C262C4">
      <w:pPr>
        <w:ind w:left="709"/>
        <w:jc w:val="both"/>
        <w:rPr>
          <w:rFonts w:cs="Arial"/>
          <w:sz w:val="20"/>
        </w:rPr>
      </w:pPr>
    </w:p>
    <w:p w14:paraId="1D92CF02" w14:textId="77777777" w:rsidR="00C262C4" w:rsidRDefault="00C262C4" w:rsidP="00C262C4">
      <w:pPr>
        <w:ind w:left="709"/>
        <w:jc w:val="both"/>
        <w:rPr>
          <w:rFonts w:cs="Arial"/>
          <w:sz w:val="20"/>
        </w:rPr>
      </w:pPr>
      <w:r>
        <w:rPr>
          <w:rFonts w:cs="Arial"/>
          <w:sz w:val="20"/>
        </w:rPr>
        <w:t>1.9</w:t>
      </w:r>
      <w:r>
        <w:rPr>
          <w:rFonts w:cs="Arial"/>
          <w:sz w:val="20"/>
        </w:rPr>
        <w:tab/>
        <w:t>The Contractor’s performance against the KPIs will be assessed separately and the Authority shall aggregate any applicable deductions against all KPI faults and reduce the quarterly payment by the cumulative amount of both deductions. For example:</w:t>
      </w:r>
    </w:p>
    <w:p w14:paraId="241C4650" w14:textId="77777777" w:rsidR="00C262C4" w:rsidRDefault="00C262C4" w:rsidP="00C262C4">
      <w:pPr>
        <w:ind w:left="709"/>
        <w:jc w:val="both"/>
        <w:rPr>
          <w:rFonts w:cs="Arial"/>
          <w:sz w:val="20"/>
        </w:rPr>
      </w:pPr>
    </w:p>
    <w:p w14:paraId="6BC22295" w14:textId="5E2C879D" w:rsidR="00C262C4" w:rsidRDefault="00C262C4" w:rsidP="00C262C4">
      <w:pPr>
        <w:ind w:left="1440"/>
        <w:jc w:val="both"/>
        <w:rPr>
          <w:rFonts w:cs="Arial"/>
          <w:sz w:val="20"/>
        </w:rPr>
      </w:pPr>
      <w:r>
        <w:rPr>
          <w:rFonts w:cs="Arial"/>
          <w:sz w:val="20"/>
        </w:rPr>
        <w:t xml:space="preserve">If the Contractor’s performance </w:t>
      </w:r>
      <w:proofErr w:type="gramStart"/>
      <w:r>
        <w:rPr>
          <w:rFonts w:cs="Arial"/>
          <w:sz w:val="20"/>
        </w:rPr>
        <w:t>in a given</w:t>
      </w:r>
      <w:proofErr w:type="gramEnd"/>
      <w:r>
        <w:rPr>
          <w:rFonts w:cs="Arial"/>
          <w:sz w:val="20"/>
        </w:rPr>
        <w:t xml:space="preserve"> quarter equated to a ‘Red’ level of performance under KPI</w:t>
      </w:r>
      <w:r w:rsidR="008B6E35">
        <w:rPr>
          <w:rFonts w:cs="Arial"/>
          <w:sz w:val="20"/>
        </w:rPr>
        <w:t xml:space="preserve"> </w:t>
      </w:r>
      <w:r>
        <w:rPr>
          <w:rFonts w:cs="Arial"/>
          <w:sz w:val="20"/>
        </w:rPr>
        <w:t>1 and a ‘Yellow’ level of performance under KPI</w:t>
      </w:r>
      <w:r w:rsidR="008B6E35">
        <w:rPr>
          <w:rFonts w:cs="Arial"/>
          <w:sz w:val="20"/>
        </w:rPr>
        <w:t xml:space="preserve"> </w:t>
      </w:r>
      <w:r>
        <w:rPr>
          <w:rFonts w:cs="Arial"/>
          <w:sz w:val="20"/>
        </w:rPr>
        <w:t xml:space="preserve">2 the individual deductions for each KPI would </w:t>
      </w:r>
      <w:r w:rsidRPr="00C0778E">
        <w:rPr>
          <w:rFonts w:cs="Arial"/>
          <w:sz w:val="20"/>
        </w:rPr>
        <w:t xml:space="preserve">be 5% and </w:t>
      </w:r>
      <w:r w:rsidR="008B6E35" w:rsidRPr="00C0778E">
        <w:rPr>
          <w:rFonts w:cs="Arial"/>
          <w:sz w:val="20"/>
        </w:rPr>
        <w:t>1</w:t>
      </w:r>
      <w:r w:rsidRPr="00C0778E">
        <w:rPr>
          <w:rFonts w:cs="Arial"/>
          <w:sz w:val="20"/>
        </w:rPr>
        <w:t xml:space="preserve">% respectively of the quarterly payment. Thus, the aggregated sum to be deducted from the quarterly payment would be an amount equal to </w:t>
      </w:r>
      <w:r w:rsidR="008B6E35" w:rsidRPr="00C0778E">
        <w:rPr>
          <w:rFonts w:cs="Arial"/>
          <w:sz w:val="20"/>
        </w:rPr>
        <w:t>6</w:t>
      </w:r>
      <w:r w:rsidRPr="00C0778E">
        <w:rPr>
          <w:rFonts w:cs="Arial"/>
          <w:sz w:val="20"/>
        </w:rPr>
        <w:t>% of the quarterly payment.</w:t>
      </w:r>
    </w:p>
    <w:p w14:paraId="11B59ED3" w14:textId="77777777" w:rsidR="00C262C4" w:rsidRDefault="00C262C4" w:rsidP="00C262C4">
      <w:pPr>
        <w:ind w:left="709"/>
        <w:jc w:val="both"/>
        <w:rPr>
          <w:rFonts w:cs="Arial"/>
          <w:sz w:val="20"/>
          <w:highlight w:val="green"/>
        </w:rPr>
      </w:pPr>
    </w:p>
    <w:p w14:paraId="7F9ABF51" w14:textId="77777777" w:rsidR="00C262C4" w:rsidRDefault="00C262C4" w:rsidP="00C262C4">
      <w:pPr>
        <w:ind w:left="720"/>
        <w:jc w:val="both"/>
        <w:rPr>
          <w:rFonts w:cs="Arial"/>
          <w:sz w:val="20"/>
        </w:rPr>
      </w:pPr>
      <w:r>
        <w:rPr>
          <w:rFonts w:cs="Arial"/>
          <w:sz w:val="20"/>
        </w:rPr>
        <w:t>1.10</w:t>
      </w:r>
      <w:r>
        <w:rPr>
          <w:rFonts w:cs="Arial"/>
          <w:sz w:val="20"/>
        </w:rPr>
        <w:tab/>
        <w:t xml:space="preserve">Where a fault is deemed not to be the responsibility of the Contractor then it shall not count towards the KPI calculations. </w:t>
      </w:r>
    </w:p>
    <w:p w14:paraId="6EAA8F3E" w14:textId="77777777" w:rsidR="00C262C4" w:rsidRDefault="00C262C4" w:rsidP="00C262C4">
      <w:pPr>
        <w:ind w:left="720"/>
        <w:jc w:val="both"/>
        <w:rPr>
          <w:rFonts w:cs="Arial"/>
          <w:sz w:val="20"/>
        </w:rPr>
      </w:pPr>
    </w:p>
    <w:p w14:paraId="20463171" w14:textId="77777777" w:rsidR="00C262C4" w:rsidRDefault="00C262C4" w:rsidP="00C262C4">
      <w:pPr>
        <w:ind w:left="720"/>
        <w:jc w:val="both"/>
        <w:rPr>
          <w:rFonts w:cs="Arial"/>
          <w:sz w:val="20"/>
        </w:rPr>
      </w:pPr>
      <w:r>
        <w:rPr>
          <w:rFonts w:cs="Arial"/>
          <w:sz w:val="20"/>
        </w:rPr>
        <w:t>1.11</w:t>
      </w:r>
      <w:r>
        <w:rPr>
          <w:rFonts w:cs="Arial"/>
          <w:sz w:val="20"/>
        </w:rPr>
        <w:tab/>
        <w:t>Deductions will be applied quarterly in arrears.  Where it is determined that the Contractor was responsible for not meeting one or more of KPIs, the relevant deduction (calculated as set out above) will be applied to the payment for the subsequent quarter.</w:t>
      </w:r>
    </w:p>
    <w:p w14:paraId="3FE36F87" w14:textId="77777777" w:rsidR="00C262C4" w:rsidRDefault="00C262C4" w:rsidP="00C262C4">
      <w:pPr>
        <w:ind w:left="720"/>
        <w:jc w:val="both"/>
        <w:rPr>
          <w:rFonts w:cs="Arial"/>
          <w:sz w:val="20"/>
        </w:rPr>
      </w:pPr>
    </w:p>
    <w:p w14:paraId="133A5FB8" w14:textId="77777777" w:rsidR="00C262C4" w:rsidRDefault="00C262C4" w:rsidP="00C262C4">
      <w:pPr>
        <w:ind w:left="720"/>
        <w:jc w:val="both"/>
        <w:rPr>
          <w:rFonts w:cs="Arial"/>
          <w:sz w:val="20"/>
        </w:rPr>
      </w:pPr>
      <w:r>
        <w:rPr>
          <w:rFonts w:cs="Arial"/>
          <w:sz w:val="20"/>
        </w:rPr>
        <w:t>1.12</w:t>
      </w:r>
      <w:r>
        <w:rPr>
          <w:rFonts w:cs="Arial"/>
          <w:sz w:val="20"/>
        </w:rPr>
        <w:tab/>
        <w:t xml:space="preserve">Any deductions, as a result of any failure to achieve one or more of the KPIs, in last two quarters of the contract will be applied in aggregate to the final quarterly payment.  </w:t>
      </w:r>
    </w:p>
    <w:p w14:paraId="4176C8DF" w14:textId="77777777" w:rsidR="00C262C4" w:rsidRDefault="00C262C4" w:rsidP="00C262C4">
      <w:pPr>
        <w:ind w:left="720"/>
        <w:jc w:val="both"/>
        <w:rPr>
          <w:rFonts w:cs="Arial"/>
          <w:sz w:val="20"/>
        </w:rPr>
      </w:pPr>
    </w:p>
    <w:p w14:paraId="0504E13E" w14:textId="77777777" w:rsidR="00C262C4" w:rsidRDefault="00C262C4" w:rsidP="00C262C4">
      <w:pPr>
        <w:rPr>
          <w:sz w:val="24"/>
        </w:rPr>
      </w:pPr>
    </w:p>
    <w:p w14:paraId="2741ACEA" w14:textId="77777777" w:rsidR="009300E0" w:rsidRPr="00B44ACC" w:rsidRDefault="009300E0" w:rsidP="00C262C4">
      <w:pPr>
        <w:rPr>
          <w:b/>
          <w:sz w:val="20"/>
        </w:rPr>
      </w:pPr>
    </w:p>
    <w:sectPr w:rsidR="009300E0" w:rsidRPr="00B44ACC" w:rsidSect="00407F43">
      <w:headerReference w:type="default" r:id="rId11"/>
      <w:footerReference w:type="default" r:id="rId12"/>
      <w:endnotePr>
        <w:numFmt w:val="decimal"/>
      </w:endnotePr>
      <w:pgSz w:w="16840" w:h="11907" w:orient="landscape" w:code="9"/>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29E9C" w14:textId="77777777" w:rsidR="001338B4" w:rsidRDefault="001338B4"/>
  </w:endnote>
  <w:endnote w:type="continuationSeparator" w:id="0">
    <w:p w14:paraId="240E771B" w14:textId="77777777" w:rsidR="001338B4" w:rsidRDefault="0013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795232"/>
      <w:docPartObj>
        <w:docPartGallery w:val="Page Numbers (Bottom of Page)"/>
        <w:docPartUnique/>
      </w:docPartObj>
    </w:sdtPr>
    <w:sdtEndPr>
      <w:rPr>
        <w:noProof/>
      </w:rPr>
    </w:sdtEndPr>
    <w:sdtContent>
      <w:p w14:paraId="5E22153A" w14:textId="7560481E" w:rsidR="009720E0" w:rsidRDefault="009720E0" w:rsidP="000D78B9">
        <w:pPr>
          <w:pStyle w:val="Footer"/>
          <w:spacing w:before="0"/>
          <w:jc w:val="center"/>
        </w:pPr>
        <w:r w:rsidRPr="00BE4C73">
          <w:rPr>
            <w:rFonts w:ascii="Times New Roman" w:hAnsi="Times New Roman"/>
            <w:sz w:val="20"/>
          </w:rPr>
          <w:t>Sch. 16-</w:t>
        </w:r>
        <w:r w:rsidRPr="00BE4C73">
          <w:rPr>
            <w:rStyle w:val="PageNumber"/>
            <w:rFonts w:ascii="Times New Roman" w:hAnsi="Times New Roman"/>
            <w:sz w:val="20"/>
          </w:rPr>
          <w:fldChar w:fldCharType="begin"/>
        </w:r>
        <w:r w:rsidRPr="00BE4C73">
          <w:rPr>
            <w:rStyle w:val="PageNumber"/>
            <w:rFonts w:ascii="Times New Roman" w:hAnsi="Times New Roman"/>
            <w:sz w:val="20"/>
          </w:rPr>
          <w:instrText xml:space="preserve"> PAGE </w:instrText>
        </w:r>
        <w:r w:rsidRPr="00BE4C73">
          <w:rPr>
            <w:rStyle w:val="PageNumber"/>
            <w:rFonts w:ascii="Times New Roman" w:hAnsi="Times New Roman"/>
            <w:sz w:val="20"/>
          </w:rPr>
          <w:fldChar w:fldCharType="separate"/>
        </w:r>
        <w:r w:rsidRPr="00BE4C73">
          <w:rPr>
            <w:rStyle w:val="PageNumber"/>
            <w:rFonts w:ascii="Times New Roman" w:hAnsi="Times New Roman"/>
            <w:sz w:val="20"/>
          </w:rPr>
          <w:t>1</w:t>
        </w:r>
        <w:r w:rsidRPr="00BE4C73">
          <w:rPr>
            <w:rStyle w:val="PageNumber"/>
            <w:rFonts w:ascii="Times New Roman" w:hAnsi="Times New Roman"/>
            <w:sz w:val="20"/>
          </w:rPr>
          <w:fldChar w:fldCharType="end"/>
        </w:r>
        <w:r w:rsidRPr="00BE4C73">
          <w:rPr>
            <w:rStyle w:val="PageNumber"/>
            <w:rFonts w:ascii="Times New Roman" w:hAnsi="Times New Roman"/>
            <w:sz w:val="20"/>
          </w:rPr>
          <w:t xml:space="preserve"> of </w:t>
        </w:r>
        <w:r w:rsidRPr="00BE4C73">
          <w:rPr>
            <w:rStyle w:val="PageNumber"/>
            <w:rFonts w:ascii="Times New Roman" w:hAnsi="Times New Roman"/>
            <w:sz w:val="20"/>
          </w:rPr>
          <w:fldChar w:fldCharType="begin"/>
        </w:r>
        <w:r w:rsidRPr="00BE4C73">
          <w:rPr>
            <w:rStyle w:val="PageNumber"/>
            <w:rFonts w:ascii="Times New Roman" w:hAnsi="Times New Roman"/>
            <w:sz w:val="20"/>
          </w:rPr>
          <w:instrText xml:space="preserve"> SECTIONPAGES   \* MERGEFORMAT </w:instrText>
        </w:r>
        <w:r w:rsidRPr="00BE4C73">
          <w:rPr>
            <w:rStyle w:val="PageNumber"/>
            <w:rFonts w:ascii="Times New Roman" w:hAnsi="Times New Roman"/>
            <w:sz w:val="20"/>
          </w:rPr>
          <w:fldChar w:fldCharType="separate"/>
        </w:r>
        <w:r w:rsidR="000C4849">
          <w:rPr>
            <w:rStyle w:val="PageNumber"/>
            <w:rFonts w:ascii="Times New Roman" w:hAnsi="Times New Roman"/>
            <w:noProof/>
            <w:sz w:val="20"/>
          </w:rPr>
          <w:t>5</w:t>
        </w:r>
        <w:r w:rsidRPr="00BE4C73">
          <w:rPr>
            <w:rStyle w:val="PageNumber"/>
            <w:rFonts w:ascii="Times New Roman" w:hAnsi="Times New Roman"/>
            <w:sz w:val="20"/>
          </w:rPr>
          <w:fldChar w:fldCharType="end"/>
        </w:r>
      </w:p>
    </w:sdtContent>
  </w:sdt>
  <w:p w14:paraId="1CF95B63" w14:textId="6791C43C" w:rsidR="009720E0" w:rsidRDefault="009720E0" w:rsidP="00D24BB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6B3B3" w14:textId="77777777" w:rsidR="001338B4" w:rsidRDefault="001338B4">
      <w:r>
        <w:continuationSeparator/>
      </w:r>
    </w:p>
  </w:footnote>
  <w:footnote w:type="continuationSeparator" w:id="0">
    <w:p w14:paraId="68A0A4F7" w14:textId="77777777" w:rsidR="001338B4" w:rsidRDefault="00133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42672" w14:textId="339621E8" w:rsidR="009720E0" w:rsidRDefault="009720E0" w:rsidP="00790511">
    <w:pPr>
      <w:pStyle w:val="Header"/>
      <w:spacing w:after="0"/>
    </w:pPr>
    <w:r>
      <w:ptab w:relativeTo="margin" w:alignment="right" w:leader="none"/>
    </w:r>
  </w:p>
  <w:p w14:paraId="69240682" w14:textId="7B8A2928" w:rsidR="009720E0" w:rsidRDefault="009720E0" w:rsidP="009264A4">
    <w:pPr>
      <w:pStyle w:val="Header"/>
      <w:spacing w:after="0"/>
      <w:jc w:val="right"/>
    </w:pPr>
    <w:r>
      <w:t>SC2 Edition 02/19</w:t>
    </w:r>
  </w:p>
  <w:p w14:paraId="53D1E160" w14:textId="4BAD6792" w:rsidR="009720E0" w:rsidRDefault="009720E0" w:rsidP="009264A4">
    <w:pPr>
      <w:pStyle w:val="Header"/>
      <w:spacing w:after="0"/>
      <w:jc w:val="right"/>
    </w:pPr>
    <w:r>
      <w:t>Schedule 16 to</w:t>
    </w:r>
  </w:p>
  <w:p w14:paraId="35C01331" w14:textId="5A9EFC1A" w:rsidR="009720E0" w:rsidRPr="000D1CEE" w:rsidRDefault="009720E0" w:rsidP="00790511">
    <w:pPr>
      <w:pStyle w:val="Header"/>
      <w:spacing w:after="0"/>
      <w:jc w:val="right"/>
      <w:rPr>
        <w:sz w:val="24"/>
      </w:rPr>
    </w:pPr>
    <w:r>
      <w:t>SACC/00072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324B31E1"/>
    <w:multiLevelType w:val="hybridMultilevel"/>
    <w:tmpl w:val="E06C24E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4" w15:restartNumberingAfterBreak="0">
    <w:nsid w:val="3E16002D"/>
    <w:multiLevelType w:val="hybridMultilevel"/>
    <w:tmpl w:val="D806FBDE"/>
    <w:lvl w:ilvl="0" w:tplc="677A49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461F63FB"/>
    <w:multiLevelType w:val="hybridMultilevel"/>
    <w:tmpl w:val="DE40D634"/>
    <w:lvl w:ilvl="0" w:tplc="6A2452BE">
      <w:start w:val="1"/>
      <w:numFmt w:val="lowerLetter"/>
      <w:lvlText w:val="%1."/>
      <w:lvlJc w:val="left"/>
      <w:pPr>
        <w:ind w:left="720" w:hanging="360"/>
      </w:pPr>
      <w:rPr>
        <w:rFonts w:cs="Times New Roman"/>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8"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num w:numId="1">
    <w:abstractNumId w:val="7"/>
  </w:num>
  <w:num w:numId="2">
    <w:abstractNumId w:val="1"/>
  </w:num>
  <w:num w:numId="3">
    <w:abstractNumId w:val="3"/>
  </w:num>
  <w:num w:numId="4">
    <w:abstractNumId w:val="5"/>
  </w:num>
  <w:num w:numId="5">
    <w:abstractNumId w:val="8"/>
  </w:num>
  <w:num w:numId="6">
    <w:abstractNumId w:val="0"/>
  </w:num>
  <w:num w:numId="7">
    <w:abstractNumId w:val="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L Format" w:val="RL"/>
    <w:docVar w:name="DW Format" w:val="L0"/>
    <w:docVar w:name="DW FormatName" w:val="Letter"/>
    <w:docVar w:name="DW SBapp" w:val=" 0"/>
    <w:docVar w:name="DW SBfap" w:val=" 1"/>
    <w:docVar w:name="DW SigBlock" w:val="1"/>
  </w:docVars>
  <w:rsids>
    <w:rsidRoot w:val="006D1F0E"/>
    <w:rsid w:val="0001730B"/>
    <w:rsid w:val="00021696"/>
    <w:rsid w:val="00031724"/>
    <w:rsid w:val="00034808"/>
    <w:rsid w:val="000353D3"/>
    <w:rsid w:val="00040C17"/>
    <w:rsid w:val="00040DEF"/>
    <w:rsid w:val="000410BA"/>
    <w:rsid w:val="00043158"/>
    <w:rsid w:val="0005315A"/>
    <w:rsid w:val="00066D7E"/>
    <w:rsid w:val="0007345F"/>
    <w:rsid w:val="000770AC"/>
    <w:rsid w:val="0008065C"/>
    <w:rsid w:val="000829EB"/>
    <w:rsid w:val="00097863"/>
    <w:rsid w:val="000A7344"/>
    <w:rsid w:val="000C4849"/>
    <w:rsid w:val="000D1CEE"/>
    <w:rsid w:val="000D78B9"/>
    <w:rsid w:val="000E06A6"/>
    <w:rsid w:val="000E7767"/>
    <w:rsid w:val="000F1589"/>
    <w:rsid w:val="000F7FB5"/>
    <w:rsid w:val="001200C1"/>
    <w:rsid w:val="001318A5"/>
    <w:rsid w:val="001338B4"/>
    <w:rsid w:val="0014122C"/>
    <w:rsid w:val="00142A85"/>
    <w:rsid w:val="00165CF1"/>
    <w:rsid w:val="0017091E"/>
    <w:rsid w:val="001B22A6"/>
    <w:rsid w:val="001B35F0"/>
    <w:rsid w:val="001D7CF0"/>
    <w:rsid w:val="00217C84"/>
    <w:rsid w:val="0022409C"/>
    <w:rsid w:val="00236F6E"/>
    <w:rsid w:val="0024363E"/>
    <w:rsid w:val="0025480D"/>
    <w:rsid w:val="0026197C"/>
    <w:rsid w:val="00266C79"/>
    <w:rsid w:val="00277C7D"/>
    <w:rsid w:val="00285E45"/>
    <w:rsid w:val="00287760"/>
    <w:rsid w:val="00296C03"/>
    <w:rsid w:val="002A0EDC"/>
    <w:rsid w:val="002A4ADD"/>
    <w:rsid w:val="002B2F7C"/>
    <w:rsid w:val="002F4C42"/>
    <w:rsid w:val="003050CA"/>
    <w:rsid w:val="003142CC"/>
    <w:rsid w:val="00320A4C"/>
    <w:rsid w:val="0032105C"/>
    <w:rsid w:val="003432D9"/>
    <w:rsid w:val="00355914"/>
    <w:rsid w:val="00377F38"/>
    <w:rsid w:val="00383685"/>
    <w:rsid w:val="00385B26"/>
    <w:rsid w:val="003B1441"/>
    <w:rsid w:val="003B3650"/>
    <w:rsid w:val="003D5319"/>
    <w:rsid w:val="003E3CAA"/>
    <w:rsid w:val="003E4523"/>
    <w:rsid w:val="003F7416"/>
    <w:rsid w:val="00402F29"/>
    <w:rsid w:val="00407F43"/>
    <w:rsid w:val="00412E33"/>
    <w:rsid w:val="00417912"/>
    <w:rsid w:val="00460C6F"/>
    <w:rsid w:val="00464C26"/>
    <w:rsid w:val="00467E30"/>
    <w:rsid w:val="0048058E"/>
    <w:rsid w:val="00486F20"/>
    <w:rsid w:val="0048772C"/>
    <w:rsid w:val="00492CF2"/>
    <w:rsid w:val="004A766B"/>
    <w:rsid w:val="004D6FF1"/>
    <w:rsid w:val="004E0A84"/>
    <w:rsid w:val="00501184"/>
    <w:rsid w:val="005037CF"/>
    <w:rsid w:val="0053576F"/>
    <w:rsid w:val="00541D76"/>
    <w:rsid w:val="005441D1"/>
    <w:rsid w:val="00551EE5"/>
    <w:rsid w:val="005525D8"/>
    <w:rsid w:val="00567767"/>
    <w:rsid w:val="005846B0"/>
    <w:rsid w:val="00585394"/>
    <w:rsid w:val="00595ADA"/>
    <w:rsid w:val="00597D76"/>
    <w:rsid w:val="005B2CE6"/>
    <w:rsid w:val="005B458C"/>
    <w:rsid w:val="005B7B3E"/>
    <w:rsid w:val="005C74DD"/>
    <w:rsid w:val="005D2700"/>
    <w:rsid w:val="005E1DA6"/>
    <w:rsid w:val="005E540F"/>
    <w:rsid w:val="005F3170"/>
    <w:rsid w:val="005F589D"/>
    <w:rsid w:val="006031DD"/>
    <w:rsid w:val="006215B7"/>
    <w:rsid w:val="00622D5B"/>
    <w:rsid w:val="006356BB"/>
    <w:rsid w:val="00644CA4"/>
    <w:rsid w:val="0065338D"/>
    <w:rsid w:val="0065530D"/>
    <w:rsid w:val="006807EF"/>
    <w:rsid w:val="00686577"/>
    <w:rsid w:val="006B788D"/>
    <w:rsid w:val="006C2AAF"/>
    <w:rsid w:val="006C3165"/>
    <w:rsid w:val="006C7AD4"/>
    <w:rsid w:val="006D1F0E"/>
    <w:rsid w:val="006D5FBA"/>
    <w:rsid w:val="006F742E"/>
    <w:rsid w:val="00713ABE"/>
    <w:rsid w:val="00720F1C"/>
    <w:rsid w:val="007253F0"/>
    <w:rsid w:val="00735B38"/>
    <w:rsid w:val="007361E5"/>
    <w:rsid w:val="007772BC"/>
    <w:rsid w:val="00790511"/>
    <w:rsid w:val="0079619F"/>
    <w:rsid w:val="007B7814"/>
    <w:rsid w:val="007B7B01"/>
    <w:rsid w:val="007C1C43"/>
    <w:rsid w:val="007C4E9F"/>
    <w:rsid w:val="007E01CB"/>
    <w:rsid w:val="007E1BF2"/>
    <w:rsid w:val="007E2176"/>
    <w:rsid w:val="007E5C9F"/>
    <w:rsid w:val="007F00F7"/>
    <w:rsid w:val="007F2B45"/>
    <w:rsid w:val="008003A4"/>
    <w:rsid w:val="00803B03"/>
    <w:rsid w:val="00820153"/>
    <w:rsid w:val="008201E4"/>
    <w:rsid w:val="00821999"/>
    <w:rsid w:val="008626E2"/>
    <w:rsid w:val="00877ADF"/>
    <w:rsid w:val="00893839"/>
    <w:rsid w:val="008B6E35"/>
    <w:rsid w:val="008C050D"/>
    <w:rsid w:val="008F4B23"/>
    <w:rsid w:val="00907C07"/>
    <w:rsid w:val="009141F0"/>
    <w:rsid w:val="009264A4"/>
    <w:rsid w:val="009300E0"/>
    <w:rsid w:val="00933F85"/>
    <w:rsid w:val="009720E0"/>
    <w:rsid w:val="009B61F6"/>
    <w:rsid w:val="009C331A"/>
    <w:rsid w:val="009C3FE0"/>
    <w:rsid w:val="009C72BF"/>
    <w:rsid w:val="009D7E5C"/>
    <w:rsid w:val="009F044D"/>
    <w:rsid w:val="00A04EDC"/>
    <w:rsid w:val="00A0544C"/>
    <w:rsid w:val="00A2393C"/>
    <w:rsid w:val="00A402A1"/>
    <w:rsid w:val="00A43239"/>
    <w:rsid w:val="00A53921"/>
    <w:rsid w:val="00A671C7"/>
    <w:rsid w:val="00A70101"/>
    <w:rsid w:val="00A936F2"/>
    <w:rsid w:val="00AE2383"/>
    <w:rsid w:val="00B116F0"/>
    <w:rsid w:val="00B13F97"/>
    <w:rsid w:val="00B176E1"/>
    <w:rsid w:val="00B227D0"/>
    <w:rsid w:val="00B32E0B"/>
    <w:rsid w:val="00B44ACC"/>
    <w:rsid w:val="00B5731C"/>
    <w:rsid w:val="00B62241"/>
    <w:rsid w:val="00B64705"/>
    <w:rsid w:val="00BA55A5"/>
    <w:rsid w:val="00BB6EE6"/>
    <w:rsid w:val="00BC2831"/>
    <w:rsid w:val="00BC41CD"/>
    <w:rsid w:val="00BE452B"/>
    <w:rsid w:val="00BE4C73"/>
    <w:rsid w:val="00C0778E"/>
    <w:rsid w:val="00C262C4"/>
    <w:rsid w:val="00C36C27"/>
    <w:rsid w:val="00C47E20"/>
    <w:rsid w:val="00C47FC8"/>
    <w:rsid w:val="00C501D9"/>
    <w:rsid w:val="00C61FC5"/>
    <w:rsid w:val="00C80D9C"/>
    <w:rsid w:val="00C85344"/>
    <w:rsid w:val="00C85755"/>
    <w:rsid w:val="00CA739D"/>
    <w:rsid w:val="00CB0BE0"/>
    <w:rsid w:val="00CC0287"/>
    <w:rsid w:val="00CD505B"/>
    <w:rsid w:val="00D05005"/>
    <w:rsid w:val="00D05DDB"/>
    <w:rsid w:val="00D2345F"/>
    <w:rsid w:val="00D24BB9"/>
    <w:rsid w:val="00D8614A"/>
    <w:rsid w:val="00D873F3"/>
    <w:rsid w:val="00DC14F4"/>
    <w:rsid w:val="00DE30DA"/>
    <w:rsid w:val="00DF41FC"/>
    <w:rsid w:val="00E04836"/>
    <w:rsid w:val="00E0714E"/>
    <w:rsid w:val="00E16DF7"/>
    <w:rsid w:val="00E25ACD"/>
    <w:rsid w:val="00E33EDA"/>
    <w:rsid w:val="00E3425D"/>
    <w:rsid w:val="00E472C7"/>
    <w:rsid w:val="00E5203E"/>
    <w:rsid w:val="00E52101"/>
    <w:rsid w:val="00E73F9A"/>
    <w:rsid w:val="00E751B6"/>
    <w:rsid w:val="00E77A83"/>
    <w:rsid w:val="00E83EEB"/>
    <w:rsid w:val="00E842C3"/>
    <w:rsid w:val="00E85898"/>
    <w:rsid w:val="00E92CA0"/>
    <w:rsid w:val="00EC27FA"/>
    <w:rsid w:val="00EC6D5A"/>
    <w:rsid w:val="00ED7C90"/>
    <w:rsid w:val="00EE6815"/>
    <w:rsid w:val="00EF60C7"/>
    <w:rsid w:val="00F03BF4"/>
    <w:rsid w:val="00F05C55"/>
    <w:rsid w:val="00F12601"/>
    <w:rsid w:val="00F16175"/>
    <w:rsid w:val="00F167F3"/>
    <w:rsid w:val="00F1711D"/>
    <w:rsid w:val="00F23CA6"/>
    <w:rsid w:val="00F46FD3"/>
    <w:rsid w:val="00F51F8F"/>
    <w:rsid w:val="00F521F7"/>
    <w:rsid w:val="00F73FE3"/>
    <w:rsid w:val="00FC51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194FA1"/>
  <w15:docId w15:val="{F75D4988-1826-45D8-8143-51856533E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0E0"/>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basedOn w:val="DefaultParagraphFont"/>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basedOn w:val="DefaultParagraphFont"/>
    <w:rsid w:val="001D7CF0"/>
    <w:rPr>
      <w:b/>
    </w:rPr>
  </w:style>
  <w:style w:type="paragraph" w:styleId="Footer">
    <w:name w:val="footer"/>
    <w:basedOn w:val="DWNormal"/>
    <w:link w:val="FooterChar"/>
    <w:rsid w:val="001D7CF0"/>
    <w:pPr>
      <w:spacing w:before="220"/>
    </w:pPr>
  </w:style>
  <w:style w:type="character" w:customStyle="1" w:styleId="FooterCaption">
    <w:name w:val="Footer Caption"/>
    <w:basedOn w:val="DefaultParagraphFont"/>
    <w:rsid w:val="001D7CF0"/>
    <w:rPr>
      <w:sz w:val="12"/>
    </w:rPr>
  </w:style>
  <w:style w:type="character" w:styleId="FootnoteReference">
    <w:name w:val="footnote reference"/>
    <w:basedOn w:val="DefaultParagraphFont"/>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basedOn w:val="DefaultParagraphFont"/>
    <w:rsid w:val="001D7CF0"/>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basedOn w:val="DefaultParagraphFont"/>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basedOn w:val="DefaultParagraphFont"/>
    <w:rsid w:val="001D7CF0"/>
    <w:rPr>
      <w:b/>
      <w:u w:val="none"/>
    </w:rPr>
  </w:style>
  <w:style w:type="character" w:customStyle="1" w:styleId="PostTown">
    <w:name w:val="Post Town"/>
    <w:basedOn w:val="DefaultParagraphFont"/>
    <w:rsid w:val="001D7CF0"/>
    <w:rPr>
      <w:smallCaps/>
    </w:rPr>
  </w:style>
  <w:style w:type="character" w:customStyle="1" w:styleId="ProtectiveMarking">
    <w:name w:val="Protective Marking"/>
    <w:basedOn w:val="DefaultParagraphFont"/>
    <w:rsid w:val="001D7CF0"/>
    <w:rPr>
      <w:b/>
      <w:caps/>
    </w:rPr>
  </w:style>
  <w:style w:type="character" w:customStyle="1" w:styleId="ReferenceDate">
    <w:name w:val="Reference/Date"/>
    <w:basedOn w:val="DefaultParagraphFont"/>
    <w:rsid w:val="001D7CF0"/>
    <w:rPr>
      <w:rFonts w:ascii="Arial" w:hAnsi="Arial"/>
      <w:spacing w:val="0"/>
      <w:sz w:val="20"/>
    </w:rPr>
  </w:style>
  <w:style w:type="character" w:customStyle="1" w:styleId="DWHdgSubject">
    <w:name w:val="DW Hdg Subject"/>
    <w:basedOn w:val="DefaultParagraphFon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table" w:styleId="TableGrid">
    <w:name w:val="Table Grid"/>
    <w:basedOn w:val="TableNormal"/>
    <w:uiPriority w:val="59"/>
    <w:rsid w:val="006D1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13ABE"/>
    <w:rPr>
      <w:rFonts w:ascii="Tahoma" w:hAnsi="Tahoma" w:cs="Tahoma"/>
      <w:sz w:val="16"/>
      <w:szCs w:val="16"/>
    </w:rPr>
  </w:style>
  <w:style w:type="character" w:customStyle="1" w:styleId="BalloonTextChar">
    <w:name w:val="Balloon Text Char"/>
    <w:basedOn w:val="DefaultParagraphFont"/>
    <w:link w:val="BalloonText"/>
    <w:rsid w:val="00713ABE"/>
    <w:rPr>
      <w:rFonts w:ascii="Tahoma" w:hAnsi="Tahoma" w:cs="Tahoma"/>
      <w:kern w:val="22"/>
      <w:sz w:val="16"/>
      <w:szCs w:val="16"/>
      <w:lang w:eastAsia="en-US"/>
    </w:rPr>
  </w:style>
  <w:style w:type="paragraph" w:styleId="ListParagraph">
    <w:name w:val="List Paragraph"/>
    <w:basedOn w:val="Normal"/>
    <w:uiPriority w:val="34"/>
    <w:qFormat/>
    <w:rsid w:val="00713ABE"/>
    <w:pPr>
      <w:ind w:left="720"/>
      <w:contextualSpacing/>
    </w:pPr>
  </w:style>
  <w:style w:type="character" w:styleId="CommentReference">
    <w:name w:val="annotation reference"/>
    <w:basedOn w:val="DefaultParagraphFont"/>
    <w:rsid w:val="00A671C7"/>
    <w:rPr>
      <w:sz w:val="16"/>
      <w:szCs w:val="16"/>
    </w:rPr>
  </w:style>
  <w:style w:type="paragraph" w:styleId="CommentText">
    <w:name w:val="annotation text"/>
    <w:basedOn w:val="Normal"/>
    <w:link w:val="CommentTextChar"/>
    <w:rsid w:val="00A671C7"/>
    <w:rPr>
      <w:sz w:val="20"/>
    </w:rPr>
  </w:style>
  <w:style w:type="character" w:customStyle="1" w:styleId="CommentTextChar">
    <w:name w:val="Comment Text Char"/>
    <w:basedOn w:val="DefaultParagraphFont"/>
    <w:link w:val="CommentText"/>
    <w:rsid w:val="00A671C7"/>
    <w:rPr>
      <w:rFonts w:ascii="Arial" w:hAnsi="Arial"/>
      <w:kern w:val="22"/>
      <w:lang w:eastAsia="en-US"/>
    </w:rPr>
  </w:style>
  <w:style w:type="paragraph" w:styleId="CommentSubject">
    <w:name w:val="annotation subject"/>
    <w:basedOn w:val="CommentText"/>
    <w:next w:val="CommentText"/>
    <w:link w:val="CommentSubjectChar"/>
    <w:rsid w:val="00A671C7"/>
    <w:rPr>
      <w:b/>
      <w:bCs/>
    </w:rPr>
  </w:style>
  <w:style w:type="character" w:customStyle="1" w:styleId="CommentSubjectChar">
    <w:name w:val="Comment Subject Char"/>
    <w:basedOn w:val="CommentTextChar"/>
    <w:link w:val="CommentSubject"/>
    <w:rsid w:val="00A671C7"/>
    <w:rPr>
      <w:rFonts w:ascii="Arial" w:hAnsi="Arial"/>
      <w:b/>
      <w:bCs/>
      <w:kern w:val="22"/>
      <w:lang w:eastAsia="en-US"/>
    </w:rPr>
  </w:style>
  <w:style w:type="character" w:customStyle="1" w:styleId="FooterChar">
    <w:name w:val="Footer Char"/>
    <w:basedOn w:val="DefaultParagraphFont"/>
    <w:link w:val="Footer"/>
    <w:rsid w:val="00F167F3"/>
    <w:rPr>
      <w:rFonts w:ascii="Arial" w:hAnsi="Arial"/>
      <w:kern w:val="22"/>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517249">
      <w:bodyDiv w:val="1"/>
      <w:marLeft w:val="0"/>
      <w:marRight w:val="0"/>
      <w:marTop w:val="0"/>
      <w:marBottom w:val="0"/>
      <w:divBdr>
        <w:top w:val="none" w:sz="0" w:space="0" w:color="auto"/>
        <w:left w:val="none" w:sz="0" w:space="0" w:color="auto"/>
        <w:bottom w:val="none" w:sz="0" w:space="0" w:color="auto"/>
        <w:right w:val="none" w:sz="0" w:space="0" w:color="auto"/>
      </w:divBdr>
    </w:div>
    <w:div w:id="1131635236">
      <w:bodyDiv w:val="1"/>
      <w:marLeft w:val="0"/>
      <w:marRight w:val="0"/>
      <w:marTop w:val="0"/>
      <w:marBottom w:val="0"/>
      <w:divBdr>
        <w:top w:val="none" w:sz="0" w:space="0" w:color="auto"/>
        <w:left w:val="none" w:sz="0" w:space="0" w:color="auto"/>
        <w:bottom w:val="none" w:sz="0" w:space="0" w:color="auto"/>
        <w:right w:val="none" w:sz="0" w:space="0" w:color="auto"/>
      </w:divBdr>
    </w:div>
    <w:div w:id="1399865771">
      <w:bodyDiv w:val="1"/>
      <w:marLeft w:val="0"/>
      <w:marRight w:val="0"/>
      <w:marTop w:val="0"/>
      <w:marBottom w:val="0"/>
      <w:divBdr>
        <w:top w:val="none" w:sz="0" w:space="0" w:color="auto"/>
        <w:left w:val="none" w:sz="0" w:space="0" w:color="auto"/>
        <w:bottom w:val="none" w:sz="0" w:space="0" w:color="auto"/>
        <w:right w:val="none" w:sz="0" w:space="0" w:color="auto"/>
      </w:divBdr>
    </w:div>
    <w:div w:id="167263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84D980FF04B04D8CFEB20E1F1492FA" ma:contentTypeVersion="4" ma:contentTypeDescription="Create a new document." ma:contentTypeScope="" ma:versionID="ffe382c437a3209bbbf1520165294360">
  <xsd:schema xmlns:xsd="http://www.w3.org/2001/XMLSchema" xmlns:xs="http://www.w3.org/2001/XMLSchema" xmlns:p="http://schemas.microsoft.com/office/2006/metadata/properties" xmlns:ns2="a883d3f8-dcfd-409f-81ab-6172d6e21ea8" targetNamespace="http://schemas.microsoft.com/office/2006/metadata/properties" ma:root="true" ma:fieldsID="0078c21520f1ee8e70086accaae9152c" ns2:_="">
    <xsd:import namespace="a883d3f8-dcfd-409f-81ab-6172d6e21e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83d3f8-dcfd-409f-81ab-6172d6e21e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2D753-9783-46DB-A9E6-CC929B5928CC}">
  <ds:schemaRefs>
    <ds:schemaRef ds:uri="http://schemas.microsoft.com/sharepoint/v3/contenttype/forms"/>
  </ds:schemaRefs>
</ds:datastoreItem>
</file>

<file path=customXml/itemProps2.xml><?xml version="1.0" encoding="utf-8"?>
<ds:datastoreItem xmlns:ds="http://schemas.openxmlformats.org/officeDocument/2006/customXml" ds:itemID="{8491133B-A259-4FDE-B6CB-2FCB5D780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83d3f8-dcfd-409f-81ab-6172d6e21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0562BE-99D2-4600-B3C3-92E2F94E19FC}">
  <ds:schemaRefs>
    <ds:schemaRef ds:uri="http://purl.org/dc/terms/"/>
    <ds:schemaRef ds:uri="http://schemas.microsoft.com/office/2006/metadata/properties"/>
    <ds:schemaRef ds:uri="http://www.w3.org/XML/1998/namespace"/>
    <ds:schemaRef ds:uri="http://purl.org/dc/elements/1.1/"/>
    <ds:schemaRef ds:uri="http://purl.org/dc/dcmitype/"/>
    <ds:schemaRef ds:uri="a883d3f8-dcfd-409f-81ab-6172d6e21ea8"/>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77118FEE-C661-49B2-99BD-0B82F5B03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5</Pages>
  <Words>1563</Words>
  <Characters>7932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TACC_KPIs</vt:lpstr>
    </vt:vector>
  </TitlesOfParts>
  <Company>Ministry of Defence</Company>
  <LinksUpToDate>false</LinksUpToDate>
  <CharactersWithSpaces>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TACC_KPIs</dc:title>
  <dc:creator>ScobleS397</dc:creator>
  <cp:lastModifiedBy>Probert, Deborah Mrs (DES SACC-Comrcl-2)</cp:lastModifiedBy>
  <cp:revision>21</cp:revision>
  <cp:lastPrinted>2020-03-16T09:52:00Z</cp:lastPrinted>
  <dcterms:created xsi:type="dcterms:W3CDTF">2020-06-25T09:35:00Z</dcterms:created>
  <dcterms:modified xsi:type="dcterms:W3CDTF">2021-07-21T10:46:00Z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ContentTypeId">
    <vt:lpwstr>0x0101004284D980FF04B04D8CFEB20E1F1492FA</vt:lpwstr>
  </property>
  <property fmtid="{D5CDD505-2E9C-101B-9397-08002B2CF9AE}" pid="4" name="originalmeridioedcstatus">
    <vt:lpwstr/>
  </property>
  <property fmtid="{D5CDD505-2E9C-101B-9397-08002B2CF9AE}" pid="5" name="originalmeridioedcdata">
    <vt:lpwstr/>
  </property>
</Properties>
</file>