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026D0" w14:textId="5B82EA7C" w:rsidR="00B60E78" w:rsidRPr="0027523E" w:rsidRDefault="00C54D8D" w:rsidP="1C2AA10B">
      <w:pPr>
        <w:pStyle w:val="Title1"/>
        <w:spacing w:before="480" w:after="240"/>
        <w:rPr>
          <w:rFonts w:ascii="Source Sans Pro Light" w:hAnsi="Source Sans Pro Light"/>
          <w:color w:val="453C90"/>
          <w:sz w:val="40"/>
          <w:szCs w:val="40"/>
        </w:rPr>
        <w:sectPr w:rsidR="00B60E78" w:rsidRPr="0027523E" w:rsidSect="00E05CF6">
          <w:headerReference w:type="default" r:id="rId12"/>
          <w:footerReference w:type="even" r:id="rId13"/>
          <w:footerReference w:type="default" r:id="rId14"/>
          <w:type w:val="continuous"/>
          <w:pgSz w:w="11906" w:h="16838" w:code="9"/>
          <w:pgMar w:top="720" w:right="720" w:bottom="720" w:left="720" w:header="568" w:footer="567" w:gutter="0"/>
          <w:cols w:space="708"/>
          <w:docGrid w:linePitch="360"/>
        </w:sectPr>
      </w:pPr>
      <w:r w:rsidRPr="0027523E">
        <w:rPr>
          <w:color w:val="453C90"/>
          <w:sz w:val="40"/>
          <w:szCs w:val="40"/>
        </w:rPr>
        <w:t>Invitation to Tender</w:t>
      </w:r>
      <w:r w:rsidR="00553B2C" w:rsidRPr="0027523E">
        <w:rPr>
          <w:color w:val="453C90"/>
          <w:sz w:val="40"/>
          <w:szCs w:val="40"/>
        </w:rPr>
        <w:t>:</w:t>
      </w:r>
      <w:r w:rsidRPr="0027523E">
        <w:rPr>
          <w:color w:val="453C90"/>
          <w:sz w:val="40"/>
          <w:szCs w:val="40"/>
        </w:rPr>
        <w:t xml:space="preserve"> </w:t>
      </w:r>
      <w:r w:rsidR="00D00135">
        <w:rPr>
          <w:rFonts w:ascii="Source Sans Pro Light" w:hAnsi="Source Sans Pro Light"/>
          <w:color w:val="453C90"/>
          <w:sz w:val="40"/>
          <w:szCs w:val="40"/>
        </w:rPr>
        <w:t>Provision of E-Tender and Contract Management System</w:t>
      </w:r>
    </w:p>
    <w:p w14:paraId="620DD3B3" w14:textId="77777777" w:rsidR="00C274C7" w:rsidRPr="00C274C7" w:rsidRDefault="00C274C7" w:rsidP="00121075">
      <w:pPr>
        <w:keepNext/>
        <w:tabs>
          <w:tab w:val="right" w:pos="10490"/>
        </w:tabs>
        <w:spacing w:before="0"/>
        <w:rPr>
          <w:b/>
        </w:rPr>
      </w:pPr>
      <w:r w:rsidRPr="00C274C7">
        <w:rPr>
          <w:b/>
        </w:rPr>
        <w:t>Sections</w:t>
      </w:r>
      <w:r w:rsidRPr="00C274C7">
        <w:rPr>
          <w:b/>
        </w:rPr>
        <w:tab/>
        <w:t>Page no</w:t>
      </w:r>
    </w:p>
    <w:p w14:paraId="1DE56DE8" w14:textId="4605B67A" w:rsidR="000871FD" w:rsidRDefault="008F513E">
      <w:pPr>
        <w:pStyle w:val="TOC1"/>
        <w:rPr>
          <w:rFonts w:asciiTheme="minorHAnsi" w:eastAsiaTheme="minorEastAsia" w:hAnsiTheme="minorHAnsi" w:cstheme="minorBidi"/>
          <w:noProof/>
          <w:color w:val="auto"/>
          <w:sz w:val="22"/>
          <w:szCs w:val="22"/>
        </w:rPr>
      </w:pPr>
      <w:r>
        <w:fldChar w:fldCharType="begin"/>
      </w:r>
      <w:r>
        <w:instrText xml:space="preserve"> TOC \h \z \t "Heading 1,1,</w:instrText>
      </w:r>
      <w:r w:rsidR="004B5E2C">
        <w:instrText>Heading 1 small,1,</w:instrText>
      </w:r>
      <w:r>
        <w:instrText>Heading 2,2,Heading 3,3,Schedule heading,1,Appendix heading,1</w:instrText>
      </w:r>
      <w:r w:rsidR="006C6EA9">
        <w:instrText>,Manual heading 1,1</w:instrText>
      </w:r>
      <w:r w:rsidR="00C02391">
        <w:instrText>,Manual heading 2,2,Manual heading 3,3</w:instrText>
      </w:r>
      <w:r>
        <w:instrText xml:space="preserve">" </w:instrText>
      </w:r>
      <w:r>
        <w:fldChar w:fldCharType="separate"/>
      </w:r>
      <w:hyperlink w:anchor="_Toc57962821" w:history="1">
        <w:r w:rsidR="000871FD" w:rsidRPr="005777EE">
          <w:rPr>
            <w:rStyle w:val="Hyperlink"/>
            <w:noProof/>
          </w:rPr>
          <w:t>1</w:t>
        </w:r>
        <w:r w:rsidR="000871FD">
          <w:rPr>
            <w:rFonts w:asciiTheme="minorHAnsi" w:eastAsiaTheme="minorEastAsia" w:hAnsiTheme="minorHAnsi" w:cstheme="minorBidi"/>
            <w:noProof/>
            <w:color w:val="auto"/>
            <w:sz w:val="22"/>
            <w:szCs w:val="22"/>
          </w:rPr>
          <w:tab/>
        </w:r>
        <w:r w:rsidR="000871FD" w:rsidRPr="005777EE">
          <w:rPr>
            <w:rStyle w:val="Hyperlink"/>
            <w:noProof/>
          </w:rPr>
          <w:t>Introduction</w:t>
        </w:r>
        <w:r w:rsidR="000871FD">
          <w:rPr>
            <w:noProof/>
            <w:webHidden/>
          </w:rPr>
          <w:tab/>
        </w:r>
        <w:r w:rsidR="000871FD">
          <w:rPr>
            <w:noProof/>
            <w:webHidden/>
          </w:rPr>
          <w:fldChar w:fldCharType="begin"/>
        </w:r>
        <w:r w:rsidR="000871FD">
          <w:rPr>
            <w:noProof/>
            <w:webHidden/>
          </w:rPr>
          <w:instrText xml:space="preserve"> PAGEREF _Toc57962821 \h </w:instrText>
        </w:r>
        <w:r w:rsidR="000871FD">
          <w:rPr>
            <w:noProof/>
            <w:webHidden/>
          </w:rPr>
        </w:r>
        <w:r w:rsidR="000871FD">
          <w:rPr>
            <w:noProof/>
            <w:webHidden/>
          </w:rPr>
          <w:fldChar w:fldCharType="separate"/>
        </w:r>
        <w:r w:rsidR="000871FD">
          <w:rPr>
            <w:noProof/>
            <w:webHidden/>
          </w:rPr>
          <w:t>1</w:t>
        </w:r>
        <w:r w:rsidR="000871FD">
          <w:rPr>
            <w:noProof/>
            <w:webHidden/>
          </w:rPr>
          <w:fldChar w:fldCharType="end"/>
        </w:r>
      </w:hyperlink>
    </w:p>
    <w:p w14:paraId="05B620F2" w14:textId="39BE6BBF" w:rsidR="000871FD" w:rsidRDefault="00CE404D">
      <w:pPr>
        <w:pStyle w:val="TOC1"/>
        <w:rPr>
          <w:rFonts w:asciiTheme="minorHAnsi" w:eastAsiaTheme="minorEastAsia" w:hAnsiTheme="minorHAnsi" w:cstheme="minorBidi"/>
          <w:noProof/>
          <w:color w:val="auto"/>
          <w:sz w:val="22"/>
          <w:szCs w:val="22"/>
        </w:rPr>
      </w:pPr>
      <w:hyperlink w:anchor="_Toc57962822" w:history="1">
        <w:r w:rsidR="000871FD" w:rsidRPr="005777EE">
          <w:rPr>
            <w:rStyle w:val="Hyperlink"/>
            <w:noProof/>
          </w:rPr>
          <w:t>2</w:t>
        </w:r>
        <w:r w:rsidR="000871FD">
          <w:rPr>
            <w:rFonts w:asciiTheme="minorHAnsi" w:eastAsiaTheme="minorEastAsia" w:hAnsiTheme="minorHAnsi" w:cstheme="minorBidi"/>
            <w:noProof/>
            <w:color w:val="auto"/>
            <w:sz w:val="22"/>
            <w:szCs w:val="22"/>
          </w:rPr>
          <w:tab/>
        </w:r>
        <w:r w:rsidR="000871FD" w:rsidRPr="005777EE">
          <w:rPr>
            <w:rStyle w:val="Hyperlink"/>
            <w:noProof/>
          </w:rPr>
          <w:t>Purpose of this document</w:t>
        </w:r>
        <w:r w:rsidR="000871FD">
          <w:rPr>
            <w:noProof/>
            <w:webHidden/>
          </w:rPr>
          <w:tab/>
        </w:r>
        <w:r w:rsidR="000871FD">
          <w:rPr>
            <w:noProof/>
            <w:webHidden/>
          </w:rPr>
          <w:fldChar w:fldCharType="begin"/>
        </w:r>
        <w:r w:rsidR="000871FD">
          <w:rPr>
            <w:noProof/>
            <w:webHidden/>
          </w:rPr>
          <w:instrText xml:space="preserve"> PAGEREF _Toc57962822 \h </w:instrText>
        </w:r>
        <w:r w:rsidR="000871FD">
          <w:rPr>
            <w:noProof/>
            <w:webHidden/>
          </w:rPr>
        </w:r>
        <w:r w:rsidR="000871FD">
          <w:rPr>
            <w:noProof/>
            <w:webHidden/>
          </w:rPr>
          <w:fldChar w:fldCharType="separate"/>
        </w:r>
        <w:r w:rsidR="000871FD">
          <w:rPr>
            <w:noProof/>
            <w:webHidden/>
          </w:rPr>
          <w:t>1</w:t>
        </w:r>
        <w:r w:rsidR="000871FD">
          <w:rPr>
            <w:noProof/>
            <w:webHidden/>
          </w:rPr>
          <w:fldChar w:fldCharType="end"/>
        </w:r>
      </w:hyperlink>
    </w:p>
    <w:p w14:paraId="371A9837" w14:textId="61CA530E" w:rsidR="000871FD" w:rsidRDefault="00CE404D">
      <w:pPr>
        <w:pStyle w:val="TOC1"/>
        <w:rPr>
          <w:rFonts w:asciiTheme="minorHAnsi" w:eastAsiaTheme="minorEastAsia" w:hAnsiTheme="minorHAnsi" w:cstheme="minorBidi"/>
          <w:noProof/>
          <w:color w:val="auto"/>
          <w:sz w:val="22"/>
          <w:szCs w:val="22"/>
        </w:rPr>
      </w:pPr>
      <w:hyperlink w:anchor="_Toc57962823" w:history="1">
        <w:r w:rsidR="000871FD" w:rsidRPr="005777EE">
          <w:rPr>
            <w:rStyle w:val="Hyperlink"/>
            <w:noProof/>
          </w:rPr>
          <w:t>3</w:t>
        </w:r>
        <w:r w:rsidR="000871FD">
          <w:rPr>
            <w:rFonts w:asciiTheme="minorHAnsi" w:eastAsiaTheme="minorEastAsia" w:hAnsiTheme="minorHAnsi" w:cstheme="minorBidi"/>
            <w:noProof/>
            <w:color w:val="auto"/>
            <w:sz w:val="22"/>
            <w:szCs w:val="22"/>
          </w:rPr>
          <w:tab/>
        </w:r>
        <w:r w:rsidR="000871FD" w:rsidRPr="005777EE">
          <w:rPr>
            <w:rStyle w:val="Hyperlink"/>
            <w:noProof/>
          </w:rPr>
          <w:t>Project Background</w:t>
        </w:r>
        <w:r w:rsidR="000871FD">
          <w:rPr>
            <w:noProof/>
            <w:webHidden/>
          </w:rPr>
          <w:tab/>
        </w:r>
        <w:r w:rsidR="000871FD">
          <w:rPr>
            <w:noProof/>
            <w:webHidden/>
          </w:rPr>
          <w:fldChar w:fldCharType="begin"/>
        </w:r>
        <w:r w:rsidR="000871FD">
          <w:rPr>
            <w:noProof/>
            <w:webHidden/>
          </w:rPr>
          <w:instrText xml:space="preserve"> PAGEREF _Toc57962823 \h </w:instrText>
        </w:r>
        <w:r w:rsidR="000871FD">
          <w:rPr>
            <w:noProof/>
            <w:webHidden/>
          </w:rPr>
        </w:r>
        <w:r w:rsidR="000871FD">
          <w:rPr>
            <w:noProof/>
            <w:webHidden/>
          </w:rPr>
          <w:fldChar w:fldCharType="separate"/>
        </w:r>
        <w:r w:rsidR="000871FD">
          <w:rPr>
            <w:noProof/>
            <w:webHidden/>
          </w:rPr>
          <w:t>1</w:t>
        </w:r>
        <w:r w:rsidR="000871FD">
          <w:rPr>
            <w:noProof/>
            <w:webHidden/>
          </w:rPr>
          <w:fldChar w:fldCharType="end"/>
        </w:r>
      </w:hyperlink>
    </w:p>
    <w:p w14:paraId="124E4795" w14:textId="00711DF8" w:rsidR="000871FD" w:rsidRDefault="00CE404D">
      <w:pPr>
        <w:pStyle w:val="TOC1"/>
        <w:rPr>
          <w:rFonts w:asciiTheme="minorHAnsi" w:eastAsiaTheme="minorEastAsia" w:hAnsiTheme="minorHAnsi" w:cstheme="minorBidi"/>
          <w:noProof/>
          <w:color w:val="auto"/>
          <w:sz w:val="22"/>
          <w:szCs w:val="22"/>
        </w:rPr>
      </w:pPr>
      <w:hyperlink w:anchor="_Toc57962824" w:history="1">
        <w:r w:rsidR="000871FD" w:rsidRPr="005777EE">
          <w:rPr>
            <w:rStyle w:val="Hyperlink"/>
            <w:noProof/>
          </w:rPr>
          <w:t>4</w:t>
        </w:r>
        <w:r w:rsidR="000871FD">
          <w:rPr>
            <w:rFonts w:asciiTheme="minorHAnsi" w:eastAsiaTheme="minorEastAsia" w:hAnsiTheme="minorHAnsi" w:cstheme="minorBidi"/>
            <w:noProof/>
            <w:color w:val="auto"/>
            <w:sz w:val="22"/>
            <w:szCs w:val="22"/>
          </w:rPr>
          <w:tab/>
        </w:r>
        <w:r w:rsidR="000871FD" w:rsidRPr="005777EE">
          <w:rPr>
            <w:rStyle w:val="Hyperlink"/>
            <w:noProof/>
          </w:rPr>
          <w:t>Communication and Timetable</w:t>
        </w:r>
        <w:r w:rsidR="000871FD">
          <w:rPr>
            <w:noProof/>
            <w:webHidden/>
          </w:rPr>
          <w:tab/>
        </w:r>
        <w:r w:rsidR="000871FD">
          <w:rPr>
            <w:noProof/>
            <w:webHidden/>
          </w:rPr>
          <w:fldChar w:fldCharType="begin"/>
        </w:r>
        <w:r w:rsidR="000871FD">
          <w:rPr>
            <w:noProof/>
            <w:webHidden/>
          </w:rPr>
          <w:instrText xml:space="preserve"> PAGEREF _Toc57962824 \h </w:instrText>
        </w:r>
        <w:r w:rsidR="000871FD">
          <w:rPr>
            <w:noProof/>
            <w:webHidden/>
          </w:rPr>
        </w:r>
        <w:r w:rsidR="000871FD">
          <w:rPr>
            <w:noProof/>
            <w:webHidden/>
          </w:rPr>
          <w:fldChar w:fldCharType="separate"/>
        </w:r>
        <w:r w:rsidR="000871FD">
          <w:rPr>
            <w:noProof/>
            <w:webHidden/>
          </w:rPr>
          <w:t>2</w:t>
        </w:r>
        <w:r w:rsidR="000871FD">
          <w:rPr>
            <w:noProof/>
            <w:webHidden/>
          </w:rPr>
          <w:fldChar w:fldCharType="end"/>
        </w:r>
      </w:hyperlink>
    </w:p>
    <w:p w14:paraId="601CCB2F" w14:textId="6CAA28B2" w:rsidR="000871FD" w:rsidRDefault="00CE404D">
      <w:pPr>
        <w:pStyle w:val="TOC1"/>
        <w:rPr>
          <w:rFonts w:asciiTheme="minorHAnsi" w:eastAsiaTheme="minorEastAsia" w:hAnsiTheme="minorHAnsi" w:cstheme="minorBidi"/>
          <w:noProof/>
          <w:color w:val="auto"/>
          <w:sz w:val="22"/>
          <w:szCs w:val="22"/>
        </w:rPr>
      </w:pPr>
      <w:hyperlink w:anchor="_Toc57962825" w:history="1">
        <w:r w:rsidR="000871FD" w:rsidRPr="005777EE">
          <w:rPr>
            <w:rStyle w:val="Hyperlink"/>
            <w:noProof/>
          </w:rPr>
          <w:t>5</w:t>
        </w:r>
        <w:r w:rsidR="000871FD">
          <w:rPr>
            <w:rFonts w:asciiTheme="minorHAnsi" w:eastAsiaTheme="minorEastAsia" w:hAnsiTheme="minorHAnsi" w:cstheme="minorBidi"/>
            <w:noProof/>
            <w:color w:val="auto"/>
            <w:sz w:val="22"/>
            <w:szCs w:val="22"/>
          </w:rPr>
          <w:tab/>
        </w:r>
        <w:r w:rsidR="000871FD" w:rsidRPr="005777EE">
          <w:rPr>
            <w:rStyle w:val="Hyperlink"/>
            <w:noProof/>
          </w:rPr>
          <w:t>Clarification Questions</w:t>
        </w:r>
        <w:r w:rsidR="000871FD">
          <w:rPr>
            <w:noProof/>
            <w:webHidden/>
          </w:rPr>
          <w:tab/>
        </w:r>
        <w:r w:rsidR="000871FD">
          <w:rPr>
            <w:noProof/>
            <w:webHidden/>
          </w:rPr>
          <w:fldChar w:fldCharType="begin"/>
        </w:r>
        <w:r w:rsidR="000871FD">
          <w:rPr>
            <w:noProof/>
            <w:webHidden/>
          </w:rPr>
          <w:instrText xml:space="preserve"> PAGEREF _Toc57962825 \h </w:instrText>
        </w:r>
        <w:r w:rsidR="000871FD">
          <w:rPr>
            <w:noProof/>
            <w:webHidden/>
          </w:rPr>
        </w:r>
        <w:r w:rsidR="000871FD">
          <w:rPr>
            <w:noProof/>
            <w:webHidden/>
          </w:rPr>
          <w:fldChar w:fldCharType="separate"/>
        </w:r>
        <w:r w:rsidR="000871FD">
          <w:rPr>
            <w:noProof/>
            <w:webHidden/>
          </w:rPr>
          <w:t>2</w:t>
        </w:r>
        <w:r w:rsidR="000871FD">
          <w:rPr>
            <w:noProof/>
            <w:webHidden/>
          </w:rPr>
          <w:fldChar w:fldCharType="end"/>
        </w:r>
      </w:hyperlink>
    </w:p>
    <w:p w14:paraId="4BABC2C9" w14:textId="54AEFB2F" w:rsidR="000871FD" w:rsidRDefault="00CE404D">
      <w:pPr>
        <w:pStyle w:val="TOC1"/>
        <w:rPr>
          <w:rFonts w:asciiTheme="minorHAnsi" w:eastAsiaTheme="minorEastAsia" w:hAnsiTheme="minorHAnsi" w:cstheme="minorBidi"/>
          <w:noProof/>
          <w:color w:val="auto"/>
          <w:sz w:val="22"/>
          <w:szCs w:val="22"/>
        </w:rPr>
      </w:pPr>
      <w:hyperlink w:anchor="_Toc57962826" w:history="1">
        <w:r w:rsidR="000871FD" w:rsidRPr="005777EE">
          <w:rPr>
            <w:rStyle w:val="Hyperlink"/>
            <w:noProof/>
          </w:rPr>
          <w:t>6</w:t>
        </w:r>
        <w:r w:rsidR="000871FD">
          <w:rPr>
            <w:rFonts w:asciiTheme="minorHAnsi" w:eastAsiaTheme="minorEastAsia" w:hAnsiTheme="minorHAnsi" w:cstheme="minorBidi"/>
            <w:noProof/>
            <w:color w:val="auto"/>
            <w:sz w:val="22"/>
            <w:szCs w:val="22"/>
          </w:rPr>
          <w:tab/>
        </w:r>
        <w:r w:rsidR="000871FD" w:rsidRPr="005777EE">
          <w:rPr>
            <w:rStyle w:val="Hyperlink"/>
            <w:noProof/>
          </w:rPr>
          <w:t>General Notices</w:t>
        </w:r>
        <w:r w:rsidR="000871FD">
          <w:rPr>
            <w:noProof/>
            <w:webHidden/>
          </w:rPr>
          <w:tab/>
        </w:r>
        <w:r w:rsidR="000871FD">
          <w:rPr>
            <w:noProof/>
            <w:webHidden/>
          </w:rPr>
          <w:fldChar w:fldCharType="begin"/>
        </w:r>
        <w:r w:rsidR="000871FD">
          <w:rPr>
            <w:noProof/>
            <w:webHidden/>
          </w:rPr>
          <w:instrText xml:space="preserve"> PAGEREF _Toc57962826 \h </w:instrText>
        </w:r>
        <w:r w:rsidR="000871FD">
          <w:rPr>
            <w:noProof/>
            <w:webHidden/>
          </w:rPr>
        </w:r>
        <w:r w:rsidR="000871FD">
          <w:rPr>
            <w:noProof/>
            <w:webHidden/>
          </w:rPr>
          <w:fldChar w:fldCharType="separate"/>
        </w:r>
        <w:r w:rsidR="000871FD">
          <w:rPr>
            <w:noProof/>
            <w:webHidden/>
          </w:rPr>
          <w:t>3</w:t>
        </w:r>
        <w:r w:rsidR="000871FD">
          <w:rPr>
            <w:noProof/>
            <w:webHidden/>
          </w:rPr>
          <w:fldChar w:fldCharType="end"/>
        </w:r>
      </w:hyperlink>
    </w:p>
    <w:p w14:paraId="175C6466" w14:textId="57D6053E" w:rsidR="000871FD" w:rsidRDefault="00CE404D">
      <w:pPr>
        <w:pStyle w:val="TOC1"/>
        <w:rPr>
          <w:rFonts w:asciiTheme="minorHAnsi" w:eastAsiaTheme="minorEastAsia" w:hAnsiTheme="minorHAnsi" w:cstheme="minorBidi"/>
          <w:noProof/>
          <w:color w:val="auto"/>
          <w:sz w:val="22"/>
          <w:szCs w:val="22"/>
        </w:rPr>
      </w:pPr>
      <w:hyperlink w:anchor="_Toc57962827" w:history="1">
        <w:r w:rsidR="000871FD" w:rsidRPr="005777EE">
          <w:rPr>
            <w:rStyle w:val="Hyperlink"/>
            <w:noProof/>
          </w:rPr>
          <w:t>7</w:t>
        </w:r>
        <w:r w:rsidR="000871FD">
          <w:rPr>
            <w:rFonts w:asciiTheme="minorHAnsi" w:eastAsiaTheme="minorEastAsia" w:hAnsiTheme="minorHAnsi" w:cstheme="minorBidi"/>
            <w:noProof/>
            <w:color w:val="auto"/>
            <w:sz w:val="22"/>
            <w:szCs w:val="22"/>
          </w:rPr>
          <w:tab/>
        </w:r>
        <w:r w:rsidR="000871FD" w:rsidRPr="005777EE">
          <w:rPr>
            <w:rStyle w:val="Hyperlink"/>
            <w:noProof/>
          </w:rPr>
          <w:t>Tender Submission Instructions</w:t>
        </w:r>
        <w:r w:rsidR="000871FD">
          <w:rPr>
            <w:noProof/>
            <w:webHidden/>
          </w:rPr>
          <w:tab/>
        </w:r>
        <w:r w:rsidR="000871FD">
          <w:rPr>
            <w:noProof/>
            <w:webHidden/>
          </w:rPr>
          <w:fldChar w:fldCharType="begin"/>
        </w:r>
        <w:r w:rsidR="000871FD">
          <w:rPr>
            <w:noProof/>
            <w:webHidden/>
          </w:rPr>
          <w:instrText xml:space="preserve"> PAGEREF _Toc57962827 \h </w:instrText>
        </w:r>
        <w:r w:rsidR="000871FD">
          <w:rPr>
            <w:noProof/>
            <w:webHidden/>
          </w:rPr>
        </w:r>
        <w:r w:rsidR="000871FD">
          <w:rPr>
            <w:noProof/>
            <w:webHidden/>
          </w:rPr>
          <w:fldChar w:fldCharType="separate"/>
        </w:r>
        <w:r w:rsidR="000871FD">
          <w:rPr>
            <w:noProof/>
            <w:webHidden/>
          </w:rPr>
          <w:t>6</w:t>
        </w:r>
        <w:r w:rsidR="000871FD">
          <w:rPr>
            <w:noProof/>
            <w:webHidden/>
          </w:rPr>
          <w:fldChar w:fldCharType="end"/>
        </w:r>
      </w:hyperlink>
    </w:p>
    <w:p w14:paraId="4E846C8E" w14:textId="33612BC5" w:rsidR="000871FD" w:rsidRDefault="00CE404D">
      <w:pPr>
        <w:pStyle w:val="TOC1"/>
        <w:rPr>
          <w:rFonts w:asciiTheme="minorHAnsi" w:eastAsiaTheme="minorEastAsia" w:hAnsiTheme="minorHAnsi" w:cstheme="minorBidi"/>
          <w:noProof/>
          <w:color w:val="auto"/>
          <w:sz w:val="22"/>
          <w:szCs w:val="22"/>
        </w:rPr>
      </w:pPr>
      <w:hyperlink w:anchor="_Toc57962828" w:history="1">
        <w:r w:rsidR="000871FD" w:rsidRPr="005777EE">
          <w:rPr>
            <w:rStyle w:val="Hyperlink"/>
            <w:noProof/>
          </w:rPr>
          <w:t>8</w:t>
        </w:r>
        <w:r w:rsidR="000871FD">
          <w:rPr>
            <w:rFonts w:asciiTheme="minorHAnsi" w:eastAsiaTheme="minorEastAsia" w:hAnsiTheme="minorHAnsi" w:cstheme="minorBidi"/>
            <w:noProof/>
            <w:color w:val="auto"/>
            <w:sz w:val="22"/>
            <w:szCs w:val="22"/>
          </w:rPr>
          <w:tab/>
        </w:r>
        <w:r w:rsidR="000871FD" w:rsidRPr="005777EE">
          <w:rPr>
            <w:rStyle w:val="Hyperlink"/>
            <w:noProof/>
          </w:rPr>
          <w:t>Requirements, Evaluation and Award Criteria</w:t>
        </w:r>
        <w:r w:rsidR="000871FD">
          <w:rPr>
            <w:noProof/>
            <w:webHidden/>
          </w:rPr>
          <w:tab/>
        </w:r>
        <w:r w:rsidR="000871FD">
          <w:rPr>
            <w:noProof/>
            <w:webHidden/>
          </w:rPr>
          <w:fldChar w:fldCharType="begin"/>
        </w:r>
        <w:r w:rsidR="000871FD">
          <w:rPr>
            <w:noProof/>
            <w:webHidden/>
          </w:rPr>
          <w:instrText xml:space="preserve"> PAGEREF _Toc57962828 \h </w:instrText>
        </w:r>
        <w:r w:rsidR="000871FD">
          <w:rPr>
            <w:noProof/>
            <w:webHidden/>
          </w:rPr>
        </w:r>
        <w:r w:rsidR="000871FD">
          <w:rPr>
            <w:noProof/>
            <w:webHidden/>
          </w:rPr>
          <w:fldChar w:fldCharType="separate"/>
        </w:r>
        <w:r w:rsidR="000871FD">
          <w:rPr>
            <w:noProof/>
            <w:webHidden/>
          </w:rPr>
          <w:t>6</w:t>
        </w:r>
        <w:r w:rsidR="000871FD">
          <w:rPr>
            <w:noProof/>
            <w:webHidden/>
          </w:rPr>
          <w:fldChar w:fldCharType="end"/>
        </w:r>
      </w:hyperlink>
    </w:p>
    <w:p w14:paraId="494552B6" w14:textId="12C16C74" w:rsidR="000871FD" w:rsidRDefault="00CE404D">
      <w:pPr>
        <w:pStyle w:val="TOC1"/>
        <w:tabs>
          <w:tab w:val="left" w:pos="1320"/>
        </w:tabs>
        <w:rPr>
          <w:rFonts w:asciiTheme="minorHAnsi" w:eastAsiaTheme="minorEastAsia" w:hAnsiTheme="minorHAnsi" w:cstheme="minorBidi"/>
          <w:noProof/>
          <w:color w:val="auto"/>
          <w:sz w:val="22"/>
          <w:szCs w:val="22"/>
        </w:rPr>
      </w:pPr>
      <w:hyperlink w:anchor="_Toc57962829" w:history="1">
        <w:r w:rsidR="000871FD" w:rsidRPr="005777EE">
          <w:rPr>
            <w:rStyle w:val="Hyperlink"/>
            <w:noProof/>
          </w:rPr>
          <w:t>Schedule 1</w:t>
        </w:r>
        <w:r w:rsidR="000871FD">
          <w:rPr>
            <w:rFonts w:asciiTheme="minorHAnsi" w:eastAsiaTheme="minorEastAsia" w:hAnsiTheme="minorHAnsi" w:cstheme="minorBidi"/>
            <w:noProof/>
            <w:color w:val="auto"/>
            <w:sz w:val="22"/>
            <w:szCs w:val="22"/>
          </w:rPr>
          <w:tab/>
        </w:r>
        <w:r w:rsidR="000871FD" w:rsidRPr="005777EE">
          <w:rPr>
            <w:rStyle w:val="Hyperlink"/>
            <w:noProof/>
          </w:rPr>
          <w:t>Specification</w:t>
        </w:r>
        <w:r w:rsidR="000871FD">
          <w:rPr>
            <w:noProof/>
            <w:webHidden/>
          </w:rPr>
          <w:tab/>
        </w:r>
        <w:r w:rsidR="000871FD">
          <w:rPr>
            <w:noProof/>
            <w:webHidden/>
          </w:rPr>
          <w:fldChar w:fldCharType="begin"/>
        </w:r>
        <w:r w:rsidR="000871FD">
          <w:rPr>
            <w:noProof/>
            <w:webHidden/>
          </w:rPr>
          <w:instrText xml:space="preserve"> PAGEREF _Toc57962829 \h </w:instrText>
        </w:r>
        <w:r w:rsidR="000871FD">
          <w:rPr>
            <w:noProof/>
            <w:webHidden/>
          </w:rPr>
        </w:r>
        <w:r w:rsidR="000871FD">
          <w:rPr>
            <w:noProof/>
            <w:webHidden/>
          </w:rPr>
          <w:fldChar w:fldCharType="separate"/>
        </w:r>
        <w:r w:rsidR="000871FD">
          <w:rPr>
            <w:noProof/>
            <w:webHidden/>
          </w:rPr>
          <w:t>9</w:t>
        </w:r>
        <w:r w:rsidR="000871FD">
          <w:rPr>
            <w:noProof/>
            <w:webHidden/>
          </w:rPr>
          <w:fldChar w:fldCharType="end"/>
        </w:r>
      </w:hyperlink>
    </w:p>
    <w:p w14:paraId="0382E2C4" w14:textId="3A6D7A38" w:rsidR="000871FD" w:rsidRDefault="00CE404D">
      <w:pPr>
        <w:pStyle w:val="TOC1"/>
        <w:tabs>
          <w:tab w:val="left" w:pos="1320"/>
        </w:tabs>
        <w:rPr>
          <w:rFonts w:asciiTheme="minorHAnsi" w:eastAsiaTheme="minorEastAsia" w:hAnsiTheme="minorHAnsi" w:cstheme="minorBidi"/>
          <w:noProof/>
          <w:color w:val="auto"/>
          <w:sz w:val="22"/>
          <w:szCs w:val="22"/>
        </w:rPr>
      </w:pPr>
      <w:hyperlink w:anchor="_Toc57962830" w:history="1">
        <w:r w:rsidR="000871FD" w:rsidRPr="005777EE">
          <w:rPr>
            <w:rStyle w:val="Hyperlink"/>
            <w:noProof/>
          </w:rPr>
          <w:t>Appendix 1</w:t>
        </w:r>
        <w:r w:rsidR="000871FD">
          <w:rPr>
            <w:rFonts w:asciiTheme="minorHAnsi" w:eastAsiaTheme="minorEastAsia" w:hAnsiTheme="minorHAnsi" w:cstheme="minorBidi"/>
            <w:noProof/>
            <w:color w:val="auto"/>
            <w:sz w:val="22"/>
            <w:szCs w:val="22"/>
          </w:rPr>
          <w:tab/>
        </w:r>
        <w:r w:rsidR="000871FD" w:rsidRPr="005777EE">
          <w:rPr>
            <w:rStyle w:val="Hyperlink"/>
            <w:noProof/>
          </w:rPr>
          <w:t>Documentation</w:t>
        </w:r>
        <w:r w:rsidR="000871FD">
          <w:rPr>
            <w:noProof/>
            <w:webHidden/>
          </w:rPr>
          <w:tab/>
        </w:r>
        <w:r w:rsidR="000871FD">
          <w:rPr>
            <w:noProof/>
            <w:webHidden/>
          </w:rPr>
          <w:fldChar w:fldCharType="begin"/>
        </w:r>
        <w:r w:rsidR="000871FD">
          <w:rPr>
            <w:noProof/>
            <w:webHidden/>
          </w:rPr>
          <w:instrText xml:space="preserve"> PAGEREF _Toc57962830 \h </w:instrText>
        </w:r>
        <w:r w:rsidR="000871FD">
          <w:rPr>
            <w:noProof/>
            <w:webHidden/>
          </w:rPr>
        </w:r>
        <w:r w:rsidR="000871FD">
          <w:rPr>
            <w:noProof/>
            <w:webHidden/>
          </w:rPr>
          <w:fldChar w:fldCharType="separate"/>
        </w:r>
        <w:r w:rsidR="000871FD">
          <w:rPr>
            <w:noProof/>
            <w:webHidden/>
          </w:rPr>
          <w:t>11</w:t>
        </w:r>
        <w:r w:rsidR="000871FD">
          <w:rPr>
            <w:noProof/>
            <w:webHidden/>
          </w:rPr>
          <w:fldChar w:fldCharType="end"/>
        </w:r>
      </w:hyperlink>
    </w:p>
    <w:p w14:paraId="5753A420" w14:textId="4F423A17" w:rsidR="00C54D8D" w:rsidRDefault="008F513E" w:rsidP="00C54D8D">
      <w:pPr>
        <w:pStyle w:val="Heading1small"/>
      </w:pPr>
      <w:r>
        <w:fldChar w:fldCharType="end"/>
      </w:r>
      <w:bookmarkStart w:id="0" w:name="_Toc57962821"/>
      <w:r w:rsidR="00C54D8D">
        <w:t>Introduction</w:t>
      </w:r>
      <w:bookmarkEnd w:id="0"/>
    </w:p>
    <w:p w14:paraId="3ECC4873" w14:textId="0B152C4A" w:rsidR="00C54D8D" w:rsidRDefault="00C54D8D" w:rsidP="00C54D8D">
      <w:pPr>
        <w:pStyle w:val="Level2"/>
      </w:pPr>
      <w:r>
        <w:t xml:space="preserve">Ordnance Survey Ltd is a company registered in England and Wales (company registration number 09121572) whose registered address is at Explorer House, Adanac Drive, SOUTHAMPTON, SO16 0AS, UK (OS). OS is a limited company in which the entire share capital will be owned by the Secretary of State for Business, Energy and Industrial Strategy. </w:t>
      </w:r>
    </w:p>
    <w:p w14:paraId="3E04420A" w14:textId="18F23543" w:rsidR="00C54D8D" w:rsidRDefault="00C54D8D" w:rsidP="00C54D8D">
      <w:pPr>
        <w:pStyle w:val="Level2"/>
      </w:pPr>
      <w:r>
        <w:t xml:space="preserve">OS is Britain’s mapping agency and is responsible for the surveying, production, maintenance and marketing of a wide range of geographic information, relied on by government, business and individuals. Further information on us can be found on our website http://www.os.uk </w:t>
      </w:r>
    </w:p>
    <w:p w14:paraId="44664071" w14:textId="0240B625" w:rsidR="00C54D8D" w:rsidRDefault="00C54D8D" w:rsidP="00C54D8D">
      <w:pPr>
        <w:pStyle w:val="Heading1small"/>
      </w:pPr>
      <w:bookmarkStart w:id="1" w:name="_Toc57962822"/>
      <w:r>
        <w:t>Purpose of this document</w:t>
      </w:r>
      <w:bookmarkEnd w:id="1"/>
    </w:p>
    <w:p w14:paraId="21C2FB7B" w14:textId="709F8597" w:rsidR="00C54D8D" w:rsidRDefault="00C54D8D" w:rsidP="00C54D8D">
      <w:pPr>
        <w:pStyle w:val="Level2"/>
      </w:pPr>
      <w:r>
        <w:t xml:space="preserve">OS is conducting this tender exercise for the purpose of procuring the goods/services described in the </w:t>
      </w:r>
      <w:r w:rsidRPr="003B36E1">
        <w:t>Schedule 1.</w:t>
      </w:r>
      <w:r>
        <w:t xml:space="preserve"> Interested parties (</w:t>
      </w:r>
      <w:r w:rsidRPr="00C54D8D">
        <w:rPr>
          <w:b/>
          <w:bCs/>
        </w:rPr>
        <w:t>Participant</w:t>
      </w:r>
      <w:r>
        <w:t>) should review this Invitation to Tender (</w:t>
      </w:r>
      <w:r w:rsidRPr="00C54D8D">
        <w:rPr>
          <w:b/>
          <w:bCs/>
        </w:rPr>
        <w:t>ITT</w:t>
      </w:r>
      <w:r>
        <w:t xml:space="preserve">) and submit their completed Response Questionnaire (available in the Delta E-Sourcing Portal) in accordance with </w:t>
      </w:r>
      <w:r w:rsidR="00E154CD">
        <w:t>Appendix 1</w:t>
      </w:r>
      <w:r>
        <w:t xml:space="preserve">. </w:t>
      </w:r>
    </w:p>
    <w:p w14:paraId="50365BA6" w14:textId="466A5377" w:rsidR="00C54D8D" w:rsidRPr="00E154CD" w:rsidRDefault="00C54D8D" w:rsidP="00C54D8D">
      <w:pPr>
        <w:pStyle w:val="Level2"/>
      </w:pPr>
      <w:r w:rsidRPr="00E154CD">
        <w:t>This ITT contains further information about the procurement process, the Response Document, and assessment questions for Participants to complete. Each Participant's response (</w:t>
      </w:r>
      <w:r w:rsidRPr="00E154CD">
        <w:rPr>
          <w:b/>
          <w:bCs/>
        </w:rPr>
        <w:t>Tender</w:t>
      </w:r>
      <w:r w:rsidRPr="00E154CD">
        <w:t>) should be detailed enough to allow OS to make an informed selection of the most appropriate solution.</w:t>
      </w:r>
    </w:p>
    <w:p w14:paraId="5066D176" w14:textId="2ECAE716" w:rsidR="00C54D8D" w:rsidRPr="0003261D" w:rsidRDefault="00C54D8D" w:rsidP="00C54D8D">
      <w:pPr>
        <w:pStyle w:val="Heading1small"/>
      </w:pPr>
      <w:bookmarkStart w:id="2" w:name="_Toc57962823"/>
      <w:r>
        <w:t>Project Background</w:t>
      </w:r>
      <w:bookmarkEnd w:id="2"/>
      <w:r w:rsidR="00491B88">
        <w:t xml:space="preserve"> and Overview</w:t>
      </w:r>
    </w:p>
    <w:p w14:paraId="371597E1" w14:textId="07C300E2" w:rsidR="00B9399B" w:rsidRDefault="00F237EF" w:rsidP="00B9399B">
      <w:pPr>
        <w:shd w:val="clear" w:color="auto" w:fill="FFFFFF"/>
        <w:ind w:left="851" w:hanging="851"/>
        <w:textAlignment w:val="baseline"/>
      </w:pPr>
      <w:bookmarkStart w:id="3" w:name="_Hlk62557819"/>
      <w:bookmarkStart w:id="4" w:name="_Toc57962824"/>
      <w:r w:rsidRPr="004E1EE1">
        <w:rPr>
          <w:rFonts w:cstheme="minorHAnsi"/>
          <w:color w:val="4A4A4A"/>
          <w:bdr w:val="none" w:sz="0" w:space="0" w:color="auto" w:frame="1"/>
        </w:rPr>
        <w:t>3.1</w:t>
      </w:r>
      <w:r w:rsidRPr="004E1EE1">
        <w:rPr>
          <w:rFonts w:cstheme="minorHAnsi"/>
          <w:color w:val="4A4A4A"/>
          <w:bdr w:val="none" w:sz="0" w:space="0" w:color="auto" w:frame="1"/>
        </w:rPr>
        <w:tab/>
      </w:r>
      <w:bookmarkEnd w:id="3"/>
      <w:r w:rsidR="00286E8F">
        <w:rPr>
          <w:rFonts w:cstheme="minorHAnsi"/>
          <w:color w:val="4A4A4A"/>
          <w:bdr w:val="none" w:sz="0" w:space="0" w:color="auto" w:frame="1"/>
        </w:rPr>
        <w:t>Ordnance Survey are looking to source a combined E-tender and Contract management system</w:t>
      </w:r>
      <w:r w:rsidR="00B9399B">
        <w:rPr>
          <w:rFonts w:cstheme="minorHAnsi"/>
          <w:color w:val="4A4A4A"/>
          <w:bdr w:val="none" w:sz="0" w:space="0" w:color="auto" w:frame="1"/>
        </w:rPr>
        <w:t xml:space="preserve"> </w:t>
      </w:r>
      <w:r w:rsidR="00E56A42">
        <w:rPr>
          <w:rFonts w:cstheme="minorHAnsi"/>
          <w:color w:val="4A4A4A"/>
          <w:bdr w:val="none" w:sz="0" w:space="0" w:color="auto" w:frame="1"/>
        </w:rPr>
        <w:t>for a 5 year period. Full details of the requirement can be found in the Schedule 1 Specification.</w:t>
      </w:r>
      <w:r w:rsidR="00B9399B">
        <w:br w:type="page"/>
      </w:r>
    </w:p>
    <w:p w14:paraId="5A6978C9" w14:textId="77777777" w:rsidR="00B9399B" w:rsidRDefault="00C54D8D" w:rsidP="00B9399B">
      <w:pPr>
        <w:pStyle w:val="Heading1small"/>
      </w:pPr>
      <w:r>
        <w:lastRenderedPageBreak/>
        <w:t>Communication and Timetable</w:t>
      </w:r>
      <w:bookmarkEnd w:id="4"/>
    </w:p>
    <w:p w14:paraId="48BB3ABE" w14:textId="30A58EF1" w:rsidR="00C54D8D" w:rsidRPr="00B9399B" w:rsidRDefault="00B9399B" w:rsidP="00B9399B">
      <w:pPr>
        <w:pStyle w:val="Heading1small"/>
        <w:numPr>
          <w:ilvl w:val="0"/>
          <w:numId w:val="0"/>
        </w:numPr>
        <w:ind w:left="851"/>
        <w:rPr>
          <w:b w:val="0"/>
          <w:bCs/>
        </w:rPr>
      </w:pPr>
      <w:r w:rsidRPr="00B9399B">
        <w:rPr>
          <w:b w:val="0"/>
          <w:bCs/>
        </w:rPr>
        <w:t>E</w:t>
      </w:r>
      <w:r w:rsidR="00C54D8D" w:rsidRPr="00B9399B">
        <w:rPr>
          <w:b w:val="0"/>
          <w:bCs/>
        </w:rPr>
        <w:t xml:space="preserve">nglish is to be the language for all communications between OS and Participants on all matters relating to this tender. </w:t>
      </w:r>
    </w:p>
    <w:p w14:paraId="51C977E5" w14:textId="3461C128" w:rsidR="00C54D8D" w:rsidRDefault="00C54D8D" w:rsidP="00C54D8D">
      <w:pPr>
        <w:pStyle w:val="Level2"/>
      </w:pPr>
      <w:r>
        <w:t xml:space="preserve">The information and documents relating to this procurement will be accessible via the Delta E-Sourcing Portal: </w:t>
      </w:r>
      <w:hyperlink r:id="rId15" w:history="1">
        <w:r w:rsidRPr="008B564D">
          <w:rPr>
            <w:rStyle w:val="Hyperlink"/>
          </w:rPr>
          <w:t>https://www.delta-esourcing.com</w:t>
        </w:r>
      </w:hyperlink>
      <w:r>
        <w:t xml:space="preserve"> (</w:t>
      </w:r>
      <w:r w:rsidRPr="00C54D8D">
        <w:rPr>
          <w:b/>
          <w:bCs/>
        </w:rPr>
        <w:t>Delta</w:t>
      </w:r>
      <w:r>
        <w:t>). To be able to access these documents Participants must register and thereafter will be issued with a ‘USERNAME’ and ‘PASSWORD’. Participants that have already registered previously, can access the Tender documents by logging on to the service and following the steps in paragraph below.   If you are experiencing problems, then please contact the Delta helpdesk (</w:t>
      </w:r>
      <w:hyperlink r:id="rId16" w:history="1">
        <w:r w:rsidRPr="008B564D">
          <w:rPr>
            <w:rStyle w:val="Hyperlink"/>
          </w:rPr>
          <w:t>helpdesk@delta-esourcing.com</w:t>
        </w:r>
      </w:hyperlink>
      <w:r>
        <w:t xml:space="preserve">) or call 08452707050 for further assistance.  </w:t>
      </w:r>
    </w:p>
    <w:p w14:paraId="3909631C" w14:textId="741AA635" w:rsidR="00C54D8D" w:rsidRDefault="00C54D8D" w:rsidP="00C54D8D">
      <w:pPr>
        <w:pStyle w:val="Level2"/>
      </w:pPr>
      <w:r>
        <w:t xml:space="preserve">Tender submissions should be submitted via Delta by no later </w:t>
      </w:r>
      <w:r w:rsidRPr="00355609">
        <w:t xml:space="preserve">than </w:t>
      </w:r>
      <w:r w:rsidR="00D45A2B" w:rsidRPr="00D45A2B">
        <w:rPr>
          <w:b/>
          <w:bCs/>
        </w:rPr>
        <w:t>1</w:t>
      </w:r>
      <w:r w:rsidR="00D75823">
        <w:rPr>
          <w:b/>
          <w:bCs/>
        </w:rPr>
        <w:t>2</w:t>
      </w:r>
      <w:r w:rsidR="00D45A2B" w:rsidRPr="00D45A2B">
        <w:rPr>
          <w:b/>
          <w:bCs/>
        </w:rPr>
        <w:t xml:space="preserve">:00 on </w:t>
      </w:r>
      <w:r w:rsidR="00D75823">
        <w:rPr>
          <w:b/>
          <w:bCs/>
        </w:rPr>
        <w:t>20</w:t>
      </w:r>
      <w:r w:rsidR="00D45A2B" w:rsidRPr="00D45A2B">
        <w:rPr>
          <w:b/>
          <w:bCs/>
          <w:vertAlign w:val="superscript"/>
        </w:rPr>
        <w:t>th</w:t>
      </w:r>
      <w:r w:rsidR="00D45A2B">
        <w:rPr>
          <w:b/>
          <w:bCs/>
        </w:rPr>
        <w:t xml:space="preserve"> </w:t>
      </w:r>
      <w:r w:rsidR="00D75823">
        <w:rPr>
          <w:b/>
          <w:bCs/>
        </w:rPr>
        <w:t xml:space="preserve">July </w:t>
      </w:r>
      <w:r w:rsidR="00D45A2B" w:rsidRPr="00D45A2B">
        <w:rPr>
          <w:b/>
          <w:bCs/>
        </w:rPr>
        <w:t>202</w:t>
      </w:r>
      <w:r w:rsidR="00D75823">
        <w:rPr>
          <w:b/>
          <w:bCs/>
        </w:rPr>
        <w:t>2</w:t>
      </w:r>
      <w:r w:rsidR="00D45A2B">
        <w:rPr>
          <w:b/>
          <w:bCs/>
        </w:rPr>
        <w:t xml:space="preserve"> </w:t>
      </w:r>
      <w:r w:rsidRPr="00355609">
        <w:t>as a single</w:t>
      </w:r>
      <w:r>
        <w:t xml:space="preserve"> WinZip® file (identified with the Participant’s company/organisation name). Participants are reminded to allow sufficient time in submitting their Tenders prior to the closing date and time. </w:t>
      </w:r>
      <w:r w:rsidRPr="00C54D8D">
        <w:rPr>
          <w:b/>
          <w:bCs/>
        </w:rPr>
        <w:t>Delta will not permit submissions after the stated deadline has passed</w:t>
      </w:r>
      <w:r>
        <w:t>.</w:t>
      </w:r>
    </w:p>
    <w:p w14:paraId="382BF79F" w14:textId="3077BED3" w:rsidR="00C54D8D" w:rsidRDefault="00C54D8D" w:rsidP="00C54D8D">
      <w:pPr>
        <w:pStyle w:val="Level2"/>
      </w:pPr>
      <w:r>
        <w:t xml:space="preserve">All prices in the Tender must be fully priced in Sterling (£) exclusive of VAT and totalled in clear terms. </w:t>
      </w:r>
    </w:p>
    <w:p w14:paraId="316CD1B4" w14:textId="1CDCC1A1" w:rsidR="00480B73" w:rsidRDefault="00C54D8D" w:rsidP="00C54D8D">
      <w:pPr>
        <w:pStyle w:val="Level2"/>
      </w:pPr>
      <w:r>
        <w:t xml:space="preserve">The timetable for each stage of the remainder of the procurement process from issue of this ITT to contract award is estimated to be as follows. </w:t>
      </w:r>
    </w:p>
    <w:tbl>
      <w:tblPr>
        <w:tblStyle w:val="TableGrid"/>
        <w:tblW w:w="0" w:type="auto"/>
        <w:tblInd w:w="851" w:type="dxa"/>
        <w:tblLook w:val="04A0" w:firstRow="1" w:lastRow="0" w:firstColumn="1" w:lastColumn="0" w:noHBand="0" w:noVBand="1"/>
      </w:tblPr>
      <w:tblGrid>
        <w:gridCol w:w="6090"/>
        <w:gridCol w:w="3539"/>
      </w:tblGrid>
      <w:tr w:rsidR="00C54D8D" w14:paraId="4C99B87A" w14:textId="77777777" w:rsidTr="00D429CB">
        <w:tc>
          <w:tcPr>
            <w:tcW w:w="6090" w:type="dxa"/>
          </w:tcPr>
          <w:p w14:paraId="0BDC994A" w14:textId="07FE470A" w:rsidR="00C54D8D" w:rsidRPr="00C54D8D" w:rsidRDefault="00C54D8D" w:rsidP="00C54D8D">
            <w:pPr>
              <w:pStyle w:val="Indent"/>
              <w:ind w:left="0"/>
              <w:rPr>
                <w:b/>
                <w:bCs/>
              </w:rPr>
            </w:pPr>
            <w:r w:rsidRPr="00C54D8D">
              <w:rPr>
                <w:b/>
                <w:bCs/>
              </w:rPr>
              <w:t>Event</w:t>
            </w:r>
          </w:p>
        </w:tc>
        <w:tc>
          <w:tcPr>
            <w:tcW w:w="3539" w:type="dxa"/>
          </w:tcPr>
          <w:p w14:paraId="28F15013" w14:textId="40F80C1F" w:rsidR="00C54D8D" w:rsidRPr="00C54D8D" w:rsidRDefault="00C54D8D" w:rsidP="00AE1C18">
            <w:pPr>
              <w:pStyle w:val="Indent"/>
              <w:ind w:left="0"/>
              <w:jc w:val="center"/>
              <w:rPr>
                <w:b/>
                <w:bCs/>
              </w:rPr>
            </w:pPr>
            <w:r w:rsidRPr="00C54D8D">
              <w:rPr>
                <w:b/>
                <w:bCs/>
              </w:rPr>
              <w:t>Target Date</w:t>
            </w:r>
          </w:p>
        </w:tc>
      </w:tr>
      <w:tr w:rsidR="00C54D8D" w14:paraId="1C158D89" w14:textId="77777777" w:rsidTr="00D429CB">
        <w:tc>
          <w:tcPr>
            <w:tcW w:w="6090" w:type="dxa"/>
          </w:tcPr>
          <w:p w14:paraId="4046F66A" w14:textId="56612FCA" w:rsidR="00C54D8D" w:rsidRPr="00D00135" w:rsidRDefault="00C54D8D" w:rsidP="00C54D8D">
            <w:pPr>
              <w:pStyle w:val="Indent"/>
              <w:ind w:left="0"/>
            </w:pPr>
            <w:r w:rsidRPr="00D00135">
              <w:t>Contracts Finder Contract Notice, Issue ITT</w:t>
            </w:r>
          </w:p>
        </w:tc>
        <w:tc>
          <w:tcPr>
            <w:tcW w:w="3539" w:type="dxa"/>
          </w:tcPr>
          <w:p w14:paraId="7D680F07" w14:textId="1C843135" w:rsidR="00C54D8D" w:rsidRPr="00D00135" w:rsidRDefault="00D00135" w:rsidP="00C54D8D">
            <w:pPr>
              <w:pStyle w:val="Indent"/>
              <w:ind w:left="0"/>
              <w:jc w:val="center"/>
            </w:pPr>
            <w:r w:rsidRPr="00D00135">
              <w:t>06/07/2022</w:t>
            </w:r>
          </w:p>
        </w:tc>
      </w:tr>
      <w:tr w:rsidR="00C54D8D" w14:paraId="71B40DA8" w14:textId="77777777" w:rsidTr="00D429CB">
        <w:tc>
          <w:tcPr>
            <w:tcW w:w="6090" w:type="dxa"/>
          </w:tcPr>
          <w:p w14:paraId="3A8EA5BC" w14:textId="5749A46E" w:rsidR="00C54D8D" w:rsidRPr="00D00135" w:rsidRDefault="00C54D8D" w:rsidP="00C54D8D">
            <w:pPr>
              <w:pStyle w:val="Indent"/>
              <w:ind w:left="0"/>
            </w:pPr>
            <w:r w:rsidRPr="00D00135">
              <w:t>Deadline for receipt of clarification questions</w:t>
            </w:r>
          </w:p>
        </w:tc>
        <w:tc>
          <w:tcPr>
            <w:tcW w:w="3539" w:type="dxa"/>
          </w:tcPr>
          <w:p w14:paraId="0D78E349" w14:textId="09266645" w:rsidR="00C54D8D" w:rsidRPr="00D00135" w:rsidRDefault="00D00135" w:rsidP="00C54D8D">
            <w:pPr>
              <w:pStyle w:val="Indent"/>
              <w:ind w:left="0"/>
              <w:jc w:val="center"/>
            </w:pPr>
            <w:r w:rsidRPr="00D00135">
              <w:t>14/07/2022 5pm local time</w:t>
            </w:r>
          </w:p>
        </w:tc>
      </w:tr>
      <w:tr w:rsidR="00C54D8D" w14:paraId="42663FA8" w14:textId="77777777" w:rsidTr="00D429CB">
        <w:tc>
          <w:tcPr>
            <w:tcW w:w="6090" w:type="dxa"/>
          </w:tcPr>
          <w:p w14:paraId="16C53234" w14:textId="13D86541" w:rsidR="00C54D8D" w:rsidRPr="00D00135" w:rsidRDefault="00C54D8D" w:rsidP="00C54D8D">
            <w:pPr>
              <w:pStyle w:val="Indent"/>
              <w:ind w:left="0"/>
            </w:pPr>
            <w:r w:rsidRPr="00D00135">
              <w:t>Date of submission of Tenders</w:t>
            </w:r>
          </w:p>
        </w:tc>
        <w:tc>
          <w:tcPr>
            <w:tcW w:w="3539" w:type="dxa"/>
          </w:tcPr>
          <w:p w14:paraId="2623B1BC" w14:textId="43F7B2E7" w:rsidR="00C54D8D" w:rsidRPr="00D00135" w:rsidRDefault="00D00135" w:rsidP="00C54D8D">
            <w:pPr>
              <w:pStyle w:val="Indent"/>
              <w:ind w:left="0"/>
              <w:jc w:val="center"/>
            </w:pPr>
            <w:r w:rsidRPr="00D00135">
              <w:t xml:space="preserve">20/07/2022 12pm Local time </w:t>
            </w:r>
          </w:p>
        </w:tc>
      </w:tr>
      <w:tr w:rsidR="00C54D8D" w14:paraId="2FEECD1E" w14:textId="77777777" w:rsidTr="00D429CB">
        <w:tc>
          <w:tcPr>
            <w:tcW w:w="6090" w:type="dxa"/>
          </w:tcPr>
          <w:p w14:paraId="3389A5B9" w14:textId="789E07B9" w:rsidR="00C54D8D" w:rsidRPr="00D00135" w:rsidRDefault="00C54D8D" w:rsidP="00C54D8D">
            <w:pPr>
              <w:pStyle w:val="Indent"/>
              <w:ind w:left="0"/>
            </w:pPr>
            <w:r w:rsidRPr="00D00135">
              <w:t>Tender evaluation</w:t>
            </w:r>
          </w:p>
        </w:tc>
        <w:tc>
          <w:tcPr>
            <w:tcW w:w="3539" w:type="dxa"/>
          </w:tcPr>
          <w:p w14:paraId="42A786E5" w14:textId="754C2A8C" w:rsidR="00C54D8D" w:rsidRPr="00D00135" w:rsidRDefault="00D00135" w:rsidP="00C54D8D">
            <w:pPr>
              <w:pStyle w:val="Indent"/>
              <w:ind w:left="0"/>
              <w:jc w:val="center"/>
            </w:pPr>
            <w:r w:rsidRPr="00D00135">
              <w:t>20/07/2022 – 25/07/2022</w:t>
            </w:r>
          </w:p>
        </w:tc>
      </w:tr>
      <w:tr w:rsidR="00C54D8D" w14:paraId="1497E8AB" w14:textId="77777777" w:rsidTr="00D429CB">
        <w:tc>
          <w:tcPr>
            <w:tcW w:w="6090" w:type="dxa"/>
          </w:tcPr>
          <w:p w14:paraId="773FCE23" w14:textId="1CE13ECA" w:rsidR="00C54D8D" w:rsidRPr="00D00135" w:rsidRDefault="00C54D8D" w:rsidP="00C54D8D">
            <w:pPr>
              <w:pStyle w:val="Indent"/>
              <w:ind w:left="0"/>
            </w:pPr>
            <w:r w:rsidRPr="00D00135">
              <w:t>Contract Award Decision Letter and Unsuccessful ITT Letters issued</w:t>
            </w:r>
          </w:p>
        </w:tc>
        <w:tc>
          <w:tcPr>
            <w:tcW w:w="3539" w:type="dxa"/>
          </w:tcPr>
          <w:p w14:paraId="65D4178A" w14:textId="3AB21458" w:rsidR="00C54D8D" w:rsidRPr="00D00135" w:rsidRDefault="00D00135" w:rsidP="00C54D8D">
            <w:pPr>
              <w:pStyle w:val="Indent"/>
              <w:ind w:left="0"/>
              <w:jc w:val="center"/>
            </w:pPr>
            <w:r w:rsidRPr="00D00135">
              <w:t>26/07/2022</w:t>
            </w:r>
          </w:p>
        </w:tc>
      </w:tr>
      <w:tr w:rsidR="006C3CCC" w14:paraId="70E24900" w14:textId="77777777" w:rsidTr="00D429CB">
        <w:tc>
          <w:tcPr>
            <w:tcW w:w="6090" w:type="dxa"/>
          </w:tcPr>
          <w:p w14:paraId="548D273E" w14:textId="513FAD8F" w:rsidR="006C3CCC" w:rsidRPr="00D00135" w:rsidRDefault="00AE1C18" w:rsidP="00C54D8D">
            <w:pPr>
              <w:pStyle w:val="Indent"/>
              <w:ind w:left="0"/>
            </w:pPr>
            <w:r w:rsidRPr="00D00135">
              <w:t xml:space="preserve">Contract Commencement </w:t>
            </w:r>
          </w:p>
        </w:tc>
        <w:tc>
          <w:tcPr>
            <w:tcW w:w="3539" w:type="dxa"/>
          </w:tcPr>
          <w:p w14:paraId="4627688A" w14:textId="1F5C1D6D" w:rsidR="006C3CCC" w:rsidRPr="00D00135" w:rsidRDefault="00D00135" w:rsidP="00C54D8D">
            <w:pPr>
              <w:pStyle w:val="Indent"/>
              <w:ind w:left="0"/>
              <w:jc w:val="center"/>
            </w:pPr>
            <w:r w:rsidRPr="00D00135">
              <w:t>01/08/2022</w:t>
            </w:r>
          </w:p>
        </w:tc>
      </w:tr>
    </w:tbl>
    <w:p w14:paraId="08E67F7A" w14:textId="3CE4B278" w:rsidR="00C54D8D" w:rsidRDefault="00C54D8D" w:rsidP="00C54D8D">
      <w:pPr>
        <w:pStyle w:val="Indent"/>
      </w:pPr>
      <w:r w:rsidRPr="00C54D8D">
        <w:t>Please note that OS may change this timetable at any time at its sole discretion.</w:t>
      </w:r>
      <w:r w:rsidR="00017F3A">
        <w:t xml:space="preserve"> Any change to this timetable will be communicated via the Delta e-Sourcing message Centre</w:t>
      </w:r>
      <w:r w:rsidR="00BD6A15">
        <w:t>,</w:t>
      </w:r>
    </w:p>
    <w:p w14:paraId="3875D7C2" w14:textId="41A6E81E" w:rsidR="0000663A" w:rsidRDefault="0000663A" w:rsidP="0000663A">
      <w:pPr>
        <w:pStyle w:val="Heading1small"/>
      </w:pPr>
      <w:bookmarkStart w:id="5" w:name="_Toc57962825"/>
      <w:r>
        <w:t>Clarification Questions</w:t>
      </w:r>
      <w:bookmarkEnd w:id="5"/>
    </w:p>
    <w:p w14:paraId="1BE2F1D0" w14:textId="77777777" w:rsidR="0000663A" w:rsidRPr="0000663A" w:rsidRDefault="0000663A" w:rsidP="0000663A">
      <w:pPr>
        <w:pStyle w:val="Indent"/>
        <w:rPr>
          <w:b/>
          <w:bCs/>
        </w:rPr>
      </w:pPr>
      <w:r w:rsidRPr="0000663A">
        <w:rPr>
          <w:b/>
          <w:bCs/>
        </w:rPr>
        <w:t>Participant Requests for Clarification</w:t>
      </w:r>
    </w:p>
    <w:p w14:paraId="6C638536" w14:textId="5A3B8D4E" w:rsidR="0000663A" w:rsidRDefault="0000663A" w:rsidP="0000663A">
      <w:pPr>
        <w:pStyle w:val="Level2"/>
      </w:pPr>
      <w:r>
        <w:t>OS recognises that clarification may be needed prior to submission of Tenders.</w:t>
      </w:r>
    </w:p>
    <w:p w14:paraId="40FA61DA" w14:textId="6F91C58C" w:rsidR="0000663A" w:rsidRDefault="0000663A" w:rsidP="0000663A">
      <w:pPr>
        <w:pStyle w:val="Level2"/>
      </w:pPr>
      <w:r>
        <w:t xml:space="preserve">Where an electronic tender process is used by OS, Participants should submit their questions, queries or clarification responses to the Delta Message Centre. </w:t>
      </w:r>
    </w:p>
    <w:p w14:paraId="05E10C85" w14:textId="6F5ED632" w:rsidR="0000663A" w:rsidRDefault="0000663A" w:rsidP="0000663A">
      <w:pPr>
        <w:pStyle w:val="Level2"/>
      </w:pPr>
      <w:r>
        <w:t xml:space="preserve">All </w:t>
      </w:r>
      <w:r w:rsidRPr="00A97B81">
        <w:t>clarifications and responses will be logged and recorded by OS. OS will endeavour to respond to all clarifications within 5 working days of receipt. If the response is not going to be available within 5</w:t>
      </w:r>
      <w:r>
        <w:t xml:space="preserve"> working days, then the originator of the clarification will be advised of when a response will be given.</w:t>
      </w:r>
    </w:p>
    <w:p w14:paraId="12CDE657" w14:textId="47A398BF" w:rsidR="0000663A" w:rsidRDefault="0000663A" w:rsidP="0000663A">
      <w:pPr>
        <w:pStyle w:val="Level2"/>
      </w:pPr>
      <w:r>
        <w:t>Participants should clearly identify any clarifications or parts of clarifications which they consider to be confidential or specific to its proposed solution, stating the reasons why it considers the clarification to be so. OS will decide at its sole discretion whether or not to accept the Participant's request. If OS does not accept the request for confidentiality or does not accept that it is specific to its proposed solution, the Participant will be informed and OS will specify a period within which the Participant may choose to withdraw its clarification. If the Participant does not withdraw its clarification in such circumstances, OS will proceed to respond on a non-confidential basis.</w:t>
      </w:r>
    </w:p>
    <w:p w14:paraId="000A635D" w14:textId="36C7C407" w:rsidR="0000663A" w:rsidRDefault="0000663A" w:rsidP="0000663A">
      <w:pPr>
        <w:pStyle w:val="Level2"/>
      </w:pPr>
      <w:r>
        <w:t xml:space="preserve">The cut off for receipt of clarification </w:t>
      </w:r>
      <w:r w:rsidRPr="00DF41DC">
        <w:t xml:space="preserve">questions </w:t>
      </w:r>
      <w:r w:rsidRPr="00DB1738">
        <w:t>is</w:t>
      </w:r>
      <w:r w:rsidR="00017F3A">
        <w:rPr>
          <w:b/>
          <w:bCs/>
        </w:rPr>
        <w:t xml:space="preserve"> </w:t>
      </w:r>
      <w:r w:rsidR="00017F3A" w:rsidRPr="00017F3A">
        <w:t>identified in the table above</w:t>
      </w:r>
      <w:r w:rsidR="006C3CCC">
        <w:rPr>
          <w:b/>
          <w:bCs/>
        </w:rPr>
        <w:t>.</w:t>
      </w:r>
    </w:p>
    <w:p w14:paraId="29928C67" w14:textId="7EFB87D7" w:rsidR="0000663A" w:rsidRPr="0000663A" w:rsidRDefault="0000663A" w:rsidP="0000663A">
      <w:pPr>
        <w:pStyle w:val="Indent"/>
        <w:keepNext/>
        <w:rPr>
          <w:b/>
          <w:bCs/>
        </w:rPr>
      </w:pPr>
      <w:r w:rsidRPr="0000663A">
        <w:rPr>
          <w:b/>
          <w:bCs/>
        </w:rPr>
        <w:lastRenderedPageBreak/>
        <w:t>OS Requests for Clarification</w:t>
      </w:r>
      <w:r w:rsidR="00497E2D">
        <w:rPr>
          <w:b/>
          <w:bCs/>
        </w:rPr>
        <w:t xml:space="preserve"> </w:t>
      </w:r>
    </w:p>
    <w:p w14:paraId="762105EF" w14:textId="05F05333" w:rsidR="0000663A" w:rsidRDefault="0000663A" w:rsidP="0000663A">
      <w:pPr>
        <w:pStyle w:val="Level2"/>
      </w:pPr>
      <w:r>
        <w:t>Any requests from OS to a Participant to clarify, specify or fine-tune a tender following receipt of Tenders will be submitted to the Participant's nominated point of contact via Delta. Participant shall endeavour to respond to all such requests within 5 working days of receipt using Vault. If the response is not going to be available within 5 working days then OS should be advised of when the response will be given as soon as is reasonably practicable but in any event no later than the initial 5 working day period.</w:t>
      </w:r>
    </w:p>
    <w:p w14:paraId="6BEDAA57" w14:textId="05FE1C2D" w:rsidR="0000663A" w:rsidRDefault="0000663A" w:rsidP="0000663A">
      <w:pPr>
        <w:pStyle w:val="Level2"/>
      </w:pPr>
      <w:r>
        <w:t xml:space="preserve">OS may, in its evaluation of Participant’s proposals, request demonstrations and/or site visits. Participants must accept responsibility for organising and providing any required demonstrations and/or visits. Participants must bear their own costs for such demonstrations and/or visits. </w:t>
      </w:r>
    </w:p>
    <w:p w14:paraId="17ACCA03" w14:textId="00FADE96" w:rsidR="0000663A" w:rsidRDefault="0000663A" w:rsidP="0000663A">
      <w:pPr>
        <w:pStyle w:val="Heading1small"/>
      </w:pPr>
      <w:bookmarkStart w:id="6" w:name="_Toc57962826"/>
      <w:r>
        <w:t>General Notices</w:t>
      </w:r>
      <w:bookmarkEnd w:id="6"/>
    </w:p>
    <w:p w14:paraId="5ACE990C" w14:textId="77777777" w:rsidR="0000663A" w:rsidRPr="0000663A" w:rsidRDefault="0000663A" w:rsidP="0000663A">
      <w:pPr>
        <w:pStyle w:val="Indent"/>
        <w:rPr>
          <w:b/>
          <w:bCs/>
        </w:rPr>
      </w:pPr>
      <w:r w:rsidRPr="0000663A">
        <w:rPr>
          <w:b/>
          <w:bCs/>
        </w:rPr>
        <w:t>Exclusion of Liability</w:t>
      </w:r>
    </w:p>
    <w:p w14:paraId="42D257E5" w14:textId="6DE78A1D" w:rsidR="0000663A" w:rsidRDefault="0000663A" w:rsidP="0000663A">
      <w:pPr>
        <w:pStyle w:val="Level2"/>
      </w:pPr>
      <w:r>
        <w:t>OS reserves the right to cease this procurement process at any time without any liability (whether in contract, tort or negligence) to Participants.</w:t>
      </w:r>
    </w:p>
    <w:p w14:paraId="1A82D3AC" w14:textId="43FC4652" w:rsidR="0000663A" w:rsidRDefault="0000663A" w:rsidP="0000663A">
      <w:pPr>
        <w:pStyle w:val="Level2"/>
      </w:pPr>
      <w:r>
        <w:t>Each Participant considering entering into contractual relationships with OS on the basis of the information provided in this ITT should make their own evaluation of the information provided pursuant to the ITT and make their own investigations and form their own opinion on OS and the project. Participants are recommended to seek their own financial and legal advice.</w:t>
      </w:r>
    </w:p>
    <w:p w14:paraId="27FF1B0B" w14:textId="1CD8E15E" w:rsidR="0000663A" w:rsidRDefault="0000663A" w:rsidP="0000663A">
      <w:pPr>
        <w:pStyle w:val="Level2"/>
      </w:pPr>
      <w:r>
        <w:t xml:space="preserve">OS reserves the right not to enter into a contract with any Participant without any liability (whether in contract, tort or negligence) for any loss, cost or expense (including legal expenses) incurred by Participants in preparing for or participating in this procurement process, howsoever arising (whether under contract, tort or under any statutory provision or otherwise). OS is not liable for any costs Participants may incur in contemplation of a contractual relationship being entered into.  </w:t>
      </w:r>
    </w:p>
    <w:p w14:paraId="00BD3943" w14:textId="77777777" w:rsidR="0000663A" w:rsidRPr="0000663A" w:rsidRDefault="0000663A" w:rsidP="0000663A">
      <w:pPr>
        <w:pStyle w:val="Indent"/>
        <w:rPr>
          <w:b/>
          <w:bCs/>
        </w:rPr>
      </w:pPr>
      <w:r w:rsidRPr="0000663A">
        <w:rPr>
          <w:b/>
          <w:bCs/>
        </w:rPr>
        <w:t>Contractual Relationship</w:t>
      </w:r>
    </w:p>
    <w:p w14:paraId="764A5EA8" w14:textId="2C402941" w:rsidR="0000663A" w:rsidRDefault="0000663A" w:rsidP="0000663A">
      <w:pPr>
        <w:pStyle w:val="Level2"/>
      </w:pPr>
      <w:r>
        <w:t>Nothing in this ITT or any other pre-contractual documentation shall constitute the basis of a contract that may be concluded in relation to this procurement exercise, nor shall such documentation be used in construing any such contract.</w:t>
      </w:r>
    </w:p>
    <w:p w14:paraId="1E1E5064" w14:textId="267C8B1D" w:rsidR="0000663A" w:rsidRDefault="0000663A" w:rsidP="0000663A">
      <w:pPr>
        <w:pStyle w:val="Level2"/>
      </w:pPr>
      <w:r>
        <w:t>Each Participant must rely on the terms and conditions contained in any contract when, and if, a written contract has been signed and countersigned by both parties and dated, subject to such limitations and restrictions that may be specified in such contract. It is envisaged that the successful Participant’s responses to the requirements set out in this ITT will be included in any contract.</w:t>
      </w:r>
    </w:p>
    <w:p w14:paraId="0BFEC700" w14:textId="4850CF34" w:rsidR="0000663A" w:rsidRPr="00845A80" w:rsidRDefault="0000663A" w:rsidP="00845A80">
      <w:pPr>
        <w:pStyle w:val="Indent"/>
        <w:rPr>
          <w:b/>
          <w:bCs/>
        </w:rPr>
      </w:pPr>
      <w:r w:rsidRPr="00845A80">
        <w:rPr>
          <w:b/>
          <w:bCs/>
        </w:rPr>
        <w:t>Accuracy of Information</w:t>
      </w:r>
    </w:p>
    <w:p w14:paraId="48250718" w14:textId="4E7D923D" w:rsidR="0000663A" w:rsidRDefault="0000663A" w:rsidP="00845A80">
      <w:pPr>
        <w:pStyle w:val="Level2"/>
      </w:pPr>
      <w:r>
        <w:t>This ITT has been compiled in good faith. It is intended to provide sufficient information for Participants to provide a full and firm proposal. OS considers that all information (including numbers and other figures) given in this ITT and any information provided pursuant to this ITT is accurate at the time of preparation, but may change in the future. However, neither OS nor its financial or legal representatives, officers, agents or employees make any representation or warranty, or accept any responsibility for the information contained in this ITT (or any other information provided pursuant to this ITT) or for its fairness, accuracy or completeness, nor shall such persons be liable for any loss or damage arising as a result of reliance on such information or any subsequent communication. There is an absolute obligation on each Participant to query any perceived ambiguity in this ITT (or any of its associated documents) whether actual or potential, in the use of technical, functional or other terms. It is the participant’s sole responsibility to undertake whatever investigation and due diligence it considers to be appropriate in order to verify the accuracy of any information provided to it by OS through the ITT process.</w:t>
      </w:r>
    </w:p>
    <w:p w14:paraId="4F8DF11E" w14:textId="77777777" w:rsidR="0000663A" w:rsidRPr="00845A80" w:rsidRDefault="0000663A" w:rsidP="00845A80">
      <w:pPr>
        <w:pStyle w:val="Indent"/>
        <w:rPr>
          <w:b/>
          <w:bCs/>
        </w:rPr>
      </w:pPr>
      <w:r w:rsidRPr="00845A80">
        <w:rPr>
          <w:b/>
          <w:bCs/>
        </w:rPr>
        <w:t>Freedom of Information Act 2000 (FOIA) and Environmental Information Regulations 2004 (EIR)</w:t>
      </w:r>
    </w:p>
    <w:p w14:paraId="1367FE18" w14:textId="7688ECD4" w:rsidR="0000663A" w:rsidRDefault="0000663A" w:rsidP="00845A80">
      <w:pPr>
        <w:pStyle w:val="Level2"/>
      </w:pPr>
      <w:r>
        <w:t xml:space="preserve">OS is committed to open government and meeting its legal responsibilities under FOIA and EIR. Accordingly, any information submitted to OS (including, without limitation, the information contained in this ITT and the Tender submissions received from Participants in response) may need to be disclosed by OS in response to a request for information. </w:t>
      </w:r>
    </w:p>
    <w:p w14:paraId="178B8B4E" w14:textId="46DCE5BC" w:rsidR="0000663A" w:rsidRDefault="0000663A" w:rsidP="00845A80">
      <w:pPr>
        <w:pStyle w:val="Level2"/>
      </w:pPr>
      <w:r>
        <w:lastRenderedPageBreak/>
        <w:t xml:space="preserve">OS may also decide to include certain information in the relevant publication scheme maintained under the FOIA or EIR. In making a submission, each Participant therefore acknowledges and accepts that the information contained therein may be disclosed under the FOIA or EIR. </w:t>
      </w:r>
    </w:p>
    <w:p w14:paraId="5F6BE5BB" w14:textId="53665796" w:rsidR="0000663A" w:rsidRDefault="0000663A" w:rsidP="00845A80">
      <w:pPr>
        <w:pStyle w:val="Level2"/>
      </w:pPr>
      <w:r>
        <w:t>In respect of any information submitted by a Participant that it considers being commercially sensitive the Participant should:</w:t>
      </w:r>
    </w:p>
    <w:p w14:paraId="49593231" w14:textId="3A11BF6D" w:rsidR="0000663A" w:rsidRDefault="0000663A" w:rsidP="00845A80">
      <w:pPr>
        <w:pStyle w:val="Level3indent1"/>
      </w:pPr>
      <w:r>
        <w:t>clearly identify such information as commercially sensitive;</w:t>
      </w:r>
    </w:p>
    <w:p w14:paraId="7DE753EB" w14:textId="2B36158D" w:rsidR="0000663A" w:rsidRDefault="0000663A" w:rsidP="00845A80">
      <w:pPr>
        <w:pStyle w:val="Level3indent1"/>
      </w:pPr>
      <w:r>
        <w:t>explain the potential implications of disclosure of such information; and</w:t>
      </w:r>
    </w:p>
    <w:p w14:paraId="2E8B6192" w14:textId="235EB861" w:rsidR="0000663A" w:rsidRDefault="0000663A" w:rsidP="00845A80">
      <w:pPr>
        <w:pStyle w:val="Level3indent1"/>
      </w:pPr>
      <w:r>
        <w:t>provide an estimate of the period of time during which the Participant believes that such information will remain commercially sensitive.</w:t>
      </w:r>
    </w:p>
    <w:p w14:paraId="342AF9FA" w14:textId="05D42A2F" w:rsidR="0000663A" w:rsidRDefault="0000663A" w:rsidP="00845A80">
      <w:pPr>
        <w:pStyle w:val="Level2"/>
      </w:pPr>
      <w:r>
        <w:t xml:space="preserve">Please submit responses to each of the above </w:t>
      </w:r>
      <w:r w:rsidR="009C57AA">
        <w:t>o</w:t>
      </w:r>
      <w:r w:rsidRPr="009C57AA">
        <w:t>n the form</w:t>
      </w:r>
      <w:r w:rsidR="009C57AA" w:rsidRPr="009C57AA">
        <w:t>s</w:t>
      </w:r>
      <w:r w:rsidRPr="009C57AA">
        <w:t xml:space="preserve"> provided in the document area of Delta</w:t>
      </w:r>
      <w:r w:rsidR="009C57AA">
        <w:t xml:space="preserve"> </w:t>
      </w:r>
      <w:r>
        <w:t>and include with the completed ITT submission.</w:t>
      </w:r>
    </w:p>
    <w:p w14:paraId="6FC4C0C9" w14:textId="6BE3464F" w:rsidR="0000663A" w:rsidRDefault="0000663A" w:rsidP="00845A80">
      <w:pPr>
        <w:pStyle w:val="Level2"/>
      </w:pPr>
      <w:r>
        <w:t>However, Participants should be aware that even where a Participant has indicated that information is confidential or commercially sensitive, OS is responsible for determining, at its absolute discretion, whether such information is exempt from disclosure under the FOIA or EIR, or must be disclosed in response to a request for information.</w:t>
      </w:r>
    </w:p>
    <w:p w14:paraId="6A24DE78" w14:textId="400C12DF" w:rsidR="0000663A" w:rsidRDefault="0000663A" w:rsidP="00845A80">
      <w:pPr>
        <w:pStyle w:val="Level2"/>
      </w:pPr>
      <w:r>
        <w:t>Participants should also note that the receipt by OS of any information marked ‘confidential’ or equivalent does not mean that OS accepts any duty of confidence by virtue of that marking, and OS has the final decision regarding the disclosure of any such information in response to a request for information under the FOIA or EIR.</w:t>
      </w:r>
    </w:p>
    <w:p w14:paraId="2377A0C0" w14:textId="638737D7" w:rsidR="0000663A" w:rsidRDefault="0000663A" w:rsidP="00845A80">
      <w:pPr>
        <w:pStyle w:val="Level2"/>
      </w:pPr>
      <w:r>
        <w:t>In making a submission in response to this ITT, each Participant acknowledges that OS may be obliged under the FOIA or EIR to disclose any information provided to it.</w:t>
      </w:r>
    </w:p>
    <w:p w14:paraId="3F5EA298" w14:textId="77777777" w:rsidR="0000663A" w:rsidRPr="00845A80" w:rsidRDefault="0000663A" w:rsidP="00845A80">
      <w:pPr>
        <w:pStyle w:val="Indent"/>
        <w:rPr>
          <w:b/>
          <w:bCs/>
        </w:rPr>
      </w:pPr>
      <w:r w:rsidRPr="00845A80">
        <w:rPr>
          <w:b/>
          <w:bCs/>
        </w:rPr>
        <w:t>Government Transparency Agenda</w:t>
      </w:r>
    </w:p>
    <w:p w14:paraId="2C906794" w14:textId="6D6C353F" w:rsidR="0000663A" w:rsidRDefault="0000663A" w:rsidP="00845A80">
      <w:pPr>
        <w:pStyle w:val="Level2"/>
      </w:pPr>
      <w:r>
        <w:t xml:space="preserve">Government has set out the need for greater transparency across its operations to enable the public to hold public bodies and politicians to account. This includes commitments relating to public expenditure, intended to help achieve better value for money. </w:t>
      </w:r>
    </w:p>
    <w:p w14:paraId="3AE261BF" w14:textId="5550AE63" w:rsidR="0000663A" w:rsidRDefault="0000663A" w:rsidP="00845A80">
      <w:pPr>
        <w:pStyle w:val="Level2"/>
      </w:pPr>
      <w:r>
        <w:t xml:space="preserve">As part of this agenda, Government has made the following commitments with regard to procurement: </w:t>
      </w:r>
    </w:p>
    <w:p w14:paraId="19CCB315" w14:textId="13AE2D19" w:rsidR="0000663A" w:rsidRDefault="0000663A" w:rsidP="009E3696">
      <w:pPr>
        <w:pStyle w:val="Level3indent1"/>
      </w:pPr>
      <w:r>
        <w:t xml:space="preserve">publication of all new tender documents over £25,000 and their respective timetables; and </w:t>
      </w:r>
    </w:p>
    <w:p w14:paraId="5CFEE62C" w14:textId="7A92D182" w:rsidR="0000663A" w:rsidRDefault="0000663A" w:rsidP="009E3696">
      <w:pPr>
        <w:pStyle w:val="Level3indent1"/>
      </w:pPr>
      <w:r>
        <w:t xml:space="preserve">publication of all new contracts over £25,000.  </w:t>
      </w:r>
    </w:p>
    <w:p w14:paraId="39D11301" w14:textId="1C4F3911" w:rsidR="0000663A" w:rsidRDefault="0000663A" w:rsidP="009E3696">
      <w:pPr>
        <w:pStyle w:val="Level2"/>
      </w:pPr>
      <w:r>
        <w:t>Participants should therefore note that this ITT and resulting contract awarded will be published on the following websites:</w:t>
      </w:r>
    </w:p>
    <w:p w14:paraId="24D2F238" w14:textId="44356896" w:rsidR="0000663A" w:rsidRDefault="0000663A" w:rsidP="009E3696">
      <w:pPr>
        <w:pStyle w:val="Level3indent1"/>
      </w:pPr>
      <w:r>
        <w:t xml:space="preserve">OS: </w:t>
      </w:r>
      <w:hyperlink r:id="rId17" w:history="1">
        <w:r w:rsidR="009E3696" w:rsidRPr="008B564D">
          <w:rPr>
            <w:rStyle w:val="Hyperlink"/>
          </w:rPr>
          <w:t>http://www.os.uk</w:t>
        </w:r>
      </w:hyperlink>
      <w:r>
        <w:t>; and</w:t>
      </w:r>
    </w:p>
    <w:p w14:paraId="4BA3148D" w14:textId="1E04F57B" w:rsidR="0000663A" w:rsidRDefault="0000663A" w:rsidP="009E3696">
      <w:pPr>
        <w:pStyle w:val="Level3indent1"/>
      </w:pPr>
      <w:r>
        <w:t xml:space="preserve">Contracts Finder: </w:t>
      </w:r>
      <w:hyperlink r:id="rId18" w:history="1">
        <w:r w:rsidR="009E3696" w:rsidRPr="008B564D">
          <w:rPr>
            <w:rStyle w:val="Hyperlink"/>
          </w:rPr>
          <w:t>https://www.contractsfinder.service.gov.uk</w:t>
        </w:r>
      </w:hyperlink>
      <w:r>
        <w:t xml:space="preserve">.  </w:t>
      </w:r>
    </w:p>
    <w:p w14:paraId="3F4A3AE9" w14:textId="7600628C" w:rsidR="002523E5" w:rsidRDefault="002523E5" w:rsidP="00752497">
      <w:pPr>
        <w:pStyle w:val="Level3indent1"/>
      </w:pPr>
      <w:r>
        <w:t xml:space="preserve">Find a Tender: </w:t>
      </w:r>
      <w:hyperlink r:id="rId19" w:history="1">
        <w:r w:rsidR="00752497" w:rsidRPr="0079170E">
          <w:rPr>
            <w:rStyle w:val="Hyperlink"/>
          </w:rPr>
          <w:t>https://www.find-tender.service.gov.uk/Search</w:t>
        </w:r>
      </w:hyperlink>
      <w:r w:rsidR="00752497">
        <w:t xml:space="preserve"> </w:t>
      </w:r>
    </w:p>
    <w:p w14:paraId="4A5846A1" w14:textId="5F86D1A5" w:rsidR="0000663A" w:rsidRDefault="0000663A" w:rsidP="009E3696">
      <w:pPr>
        <w:pStyle w:val="Level2"/>
      </w:pPr>
      <w:r>
        <w:t>OS may, at its sole discretion, make limited redactions to the information it publishes.</w:t>
      </w:r>
    </w:p>
    <w:p w14:paraId="379A6D6C" w14:textId="77777777" w:rsidR="0000663A" w:rsidRPr="009E3696" w:rsidRDefault="0000663A" w:rsidP="009E3696">
      <w:pPr>
        <w:pStyle w:val="Indent"/>
        <w:rPr>
          <w:b/>
          <w:bCs/>
        </w:rPr>
      </w:pPr>
      <w:r w:rsidRPr="009E3696">
        <w:rPr>
          <w:b/>
          <w:bCs/>
        </w:rPr>
        <w:t>General Data Protection Regulation – Liability</w:t>
      </w:r>
    </w:p>
    <w:p w14:paraId="3A64A765" w14:textId="6FA188A9" w:rsidR="0000663A" w:rsidRDefault="0000663A" w:rsidP="009E3696">
      <w:pPr>
        <w:pStyle w:val="Level2"/>
      </w:pPr>
      <w:r>
        <w:t>OS’s standard terms with its suppliers included mutual unlimited liability in respect of breaches of the General Data Protection Regulations ((EU) 2016/679) (GDPR) and unlimited liability in relation to other items such as breach of confidentiality, death and personal injury and IPR.</w:t>
      </w:r>
    </w:p>
    <w:p w14:paraId="42769B64" w14:textId="5302A294" w:rsidR="0000663A" w:rsidRDefault="0000663A" w:rsidP="009E3696">
      <w:pPr>
        <w:pStyle w:val="Level2"/>
      </w:pPr>
      <w:r>
        <w:t xml:space="preserve">Accordingly, OS cannot accept any limitation of liability in respect of any breaches of the GDPR.   </w:t>
      </w:r>
    </w:p>
    <w:p w14:paraId="5B343307" w14:textId="5B08B2A9" w:rsidR="0000663A" w:rsidRDefault="0000663A" w:rsidP="009E3696">
      <w:pPr>
        <w:pStyle w:val="Level2"/>
      </w:pPr>
      <w:r>
        <w:t>The acceptance of the Contract terms, set out in the Response Questionnaire in Delta, includes acceptance of the GDPR provisions including an unlimited liability for breaches of the same. This requirement is a Pass/Fail event and for the avoidance of doubt, any Supplier not accepting the Contract terms will be recorded as a ‘fail’ event and will result in the Participant’s response being excluded from further evaluation in the tender process.</w:t>
      </w:r>
    </w:p>
    <w:p w14:paraId="7C967C5D" w14:textId="77777777" w:rsidR="0000663A" w:rsidRPr="009E3696" w:rsidRDefault="0000663A" w:rsidP="009E3696">
      <w:pPr>
        <w:pStyle w:val="Indent"/>
        <w:rPr>
          <w:b/>
          <w:bCs/>
        </w:rPr>
      </w:pPr>
      <w:r w:rsidRPr="009E3696">
        <w:rPr>
          <w:b/>
          <w:bCs/>
        </w:rPr>
        <w:t>Confidentiality</w:t>
      </w:r>
    </w:p>
    <w:p w14:paraId="342E0069" w14:textId="00C68083" w:rsidR="0000663A" w:rsidRDefault="0000663A" w:rsidP="009E3696">
      <w:pPr>
        <w:pStyle w:val="Level2"/>
      </w:pPr>
      <w:r>
        <w:t>All documents and information contained in this ITT or provided during the tender process are, and shall remain, OS’s property. Participants shall not disclose either:</w:t>
      </w:r>
    </w:p>
    <w:p w14:paraId="63D2831A" w14:textId="6CC0B1FB" w:rsidR="0000663A" w:rsidRDefault="0000663A" w:rsidP="009E3696">
      <w:pPr>
        <w:pStyle w:val="Level3indent1"/>
      </w:pPr>
      <w:r>
        <w:lastRenderedPageBreak/>
        <w:t>the fact that they have been invited to tender or release details of the proposed contract; or</w:t>
      </w:r>
    </w:p>
    <w:p w14:paraId="1DFC56D0" w14:textId="3D909320" w:rsidR="0000663A" w:rsidRDefault="0000663A" w:rsidP="009E3696">
      <w:pPr>
        <w:pStyle w:val="Level3indent1"/>
      </w:pPr>
      <w:r>
        <w:t>details of their Tender in whole or in part,</w:t>
      </w:r>
    </w:p>
    <w:p w14:paraId="749B1F49" w14:textId="35E92124" w:rsidR="0000663A" w:rsidRDefault="0000663A" w:rsidP="009E3696">
      <w:pPr>
        <w:pStyle w:val="Indent"/>
      </w:pPr>
      <w:r>
        <w:t xml:space="preserve">other than on an ‘in confidence’ basis to those who have a legitimate need to know or </w:t>
      </w:r>
      <w:r w:rsidR="00354161">
        <w:t>with</w:t>
      </w:r>
      <w:r>
        <w:t xml:space="preserve"> whom they need to consult for the purpose of preparing the Tender.</w:t>
      </w:r>
    </w:p>
    <w:p w14:paraId="7E0C166C" w14:textId="13C3815C" w:rsidR="0000663A" w:rsidRDefault="0000663A" w:rsidP="009E3696">
      <w:pPr>
        <w:pStyle w:val="Level2"/>
      </w:pPr>
      <w:r>
        <w:t xml:space="preserve">Participants may only use information provided by OS to respond to the requirements set out in this ITT. </w:t>
      </w:r>
    </w:p>
    <w:p w14:paraId="30C52472" w14:textId="56DD58A1" w:rsidR="0000663A" w:rsidRDefault="0000663A" w:rsidP="009E3696">
      <w:pPr>
        <w:pStyle w:val="Level2"/>
      </w:pPr>
      <w:r>
        <w:t>OS reserves the right to copy and electronically distribute all or any part of any Participant’s Tender exclusively for the purposes of analysis and assessment. Submission of a Tender shall be deemed as confirmation of OS’s right to do such acts.</w:t>
      </w:r>
    </w:p>
    <w:p w14:paraId="161402F5" w14:textId="77777777" w:rsidR="0000663A" w:rsidRPr="009E3696" w:rsidRDefault="0000663A" w:rsidP="009E3696">
      <w:pPr>
        <w:pStyle w:val="Indent"/>
        <w:rPr>
          <w:b/>
          <w:bCs/>
        </w:rPr>
      </w:pPr>
      <w:r w:rsidRPr="009E3696">
        <w:rPr>
          <w:b/>
          <w:bCs/>
        </w:rPr>
        <w:t>Cost of Preparing Response</w:t>
      </w:r>
    </w:p>
    <w:p w14:paraId="18C226CE" w14:textId="07973AB8" w:rsidR="0000663A" w:rsidRDefault="0000663A" w:rsidP="009E3696">
      <w:pPr>
        <w:pStyle w:val="Level2"/>
      </w:pPr>
      <w:r>
        <w:t>Each Participant will be responsible for all costs and expenses it incurs:</w:t>
      </w:r>
    </w:p>
    <w:p w14:paraId="6B577058" w14:textId="0AAA28A7" w:rsidR="0000663A" w:rsidRDefault="0000663A" w:rsidP="009E3696">
      <w:pPr>
        <w:pStyle w:val="Level3indent1"/>
      </w:pPr>
      <w:r>
        <w:t>in providing responses to this ITT and any other communications, including, without limitation, responses to any invitation to participate in meetings, technical demonstrations and workshops held at OS’s offices; and/or</w:t>
      </w:r>
    </w:p>
    <w:p w14:paraId="147DD310" w14:textId="41AB7987" w:rsidR="0000663A" w:rsidRDefault="0000663A" w:rsidP="009E3696">
      <w:pPr>
        <w:pStyle w:val="Level3indent1"/>
      </w:pPr>
      <w:r>
        <w:t>in any further stages of this procurement; and/or</w:t>
      </w:r>
    </w:p>
    <w:p w14:paraId="3A16C04A" w14:textId="4A944D9B" w:rsidR="0000663A" w:rsidRDefault="0000663A" w:rsidP="009E3696">
      <w:pPr>
        <w:pStyle w:val="Level3indent1"/>
      </w:pPr>
      <w:r>
        <w:t>in obtaining any additional software and/or hardware and relevant licenses required in order to provide a full response to this ITT; and/or</w:t>
      </w:r>
    </w:p>
    <w:p w14:paraId="15DBA88F" w14:textId="1185C762" w:rsidR="0000663A" w:rsidRDefault="0000663A" w:rsidP="009E3696">
      <w:pPr>
        <w:pStyle w:val="Level3indent1"/>
      </w:pPr>
      <w:r>
        <w:t>in obtaining or providing any additional information required in order to facilitate the evaluation process.</w:t>
      </w:r>
    </w:p>
    <w:p w14:paraId="26DE28FA" w14:textId="5F136A91" w:rsidR="0000663A" w:rsidRDefault="0000663A" w:rsidP="009E3696">
      <w:pPr>
        <w:pStyle w:val="Level2"/>
      </w:pPr>
      <w:r>
        <w:t xml:space="preserve">OS accepts no liability for any loss, liability, cost or expense (including legal expenses) incurred by any Participant in preparing for or participating in this tender process, howsoever arising (whether under contract, tort or under any statutory provision or otherwise). </w:t>
      </w:r>
    </w:p>
    <w:p w14:paraId="33D6CD0C" w14:textId="77777777" w:rsidR="0000663A" w:rsidRPr="009E3696" w:rsidRDefault="0000663A" w:rsidP="009E3696">
      <w:pPr>
        <w:pStyle w:val="Indent"/>
        <w:rPr>
          <w:b/>
          <w:bCs/>
        </w:rPr>
      </w:pPr>
      <w:r w:rsidRPr="009E3696">
        <w:rPr>
          <w:b/>
          <w:bCs/>
        </w:rPr>
        <w:t>Publicity</w:t>
      </w:r>
    </w:p>
    <w:p w14:paraId="5285111C" w14:textId="37244387" w:rsidR="0000663A" w:rsidRDefault="0000663A" w:rsidP="009E3696">
      <w:pPr>
        <w:pStyle w:val="Level2"/>
      </w:pPr>
      <w:r>
        <w:t>Participants may not make any public statements or undertake any promotional activity relating to this procurement without OS’s express prior written consent.</w:t>
      </w:r>
    </w:p>
    <w:p w14:paraId="55EE5183" w14:textId="77777777" w:rsidR="0000663A" w:rsidRPr="009E3696" w:rsidRDefault="0000663A" w:rsidP="009E3696">
      <w:pPr>
        <w:pStyle w:val="Indent"/>
        <w:rPr>
          <w:b/>
          <w:bCs/>
        </w:rPr>
      </w:pPr>
      <w:r w:rsidRPr="009E3696">
        <w:rPr>
          <w:b/>
          <w:bCs/>
        </w:rPr>
        <w:t>Conflict of Interest</w:t>
      </w:r>
    </w:p>
    <w:p w14:paraId="32B9EF79" w14:textId="0D4AA68F" w:rsidR="0000663A" w:rsidRDefault="0000663A" w:rsidP="009E3696">
      <w:pPr>
        <w:pStyle w:val="Level2"/>
      </w:pPr>
      <w:r>
        <w:t>Participants are responsible for ensuring that there are no conflicts of interest either between their own advisers and those of OS, or between the members of its consortium and their sub-contractors. Participant must notify OS of any actual or potential conflict of interest as soon as reasonably practicable as soon as it becomes aware of such a conflict and the measures it has taken and/or proposes to take to deal with such a conflict.</w:t>
      </w:r>
    </w:p>
    <w:p w14:paraId="2224C97A" w14:textId="77777777" w:rsidR="0000663A" w:rsidRPr="009E3696" w:rsidRDefault="0000663A" w:rsidP="00297427">
      <w:pPr>
        <w:pStyle w:val="Indent"/>
        <w:keepNext/>
        <w:rPr>
          <w:b/>
          <w:bCs/>
        </w:rPr>
      </w:pPr>
      <w:r w:rsidRPr="009E3696">
        <w:rPr>
          <w:b/>
          <w:bCs/>
        </w:rPr>
        <w:t>Non-canvassing, non-collusion, compliance with Bribery Act 2010 and The Modern Slavery Act 2015</w:t>
      </w:r>
    </w:p>
    <w:p w14:paraId="785222F6" w14:textId="431D127D" w:rsidR="0000663A" w:rsidRDefault="0000663A" w:rsidP="009E3696">
      <w:pPr>
        <w:pStyle w:val="Level2"/>
      </w:pPr>
      <w:r>
        <w:t>OS takes a zero-tolerance approach to bribery.  Participants must have demonstrated that they take a robust approach to bribery prevention through either written policies or oral communication and training of its staff and agents.</w:t>
      </w:r>
    </w:p>
    <w:p w14:paraId="021428D0" w14:textId="210B2D3B" w:rsidR="0000663A" w:rsidRDefault="0000663A" w:rsidP="009E3696">
      <w:pPr>
        <w:pStyle w:val="Level2"/>
      </w:pPr>
      <w:r>
        <w:t xml:space="preserve">OS also takes a zero-tolerance approach to slavery and is committed to preventing acts of slavery and human trafficking (as set out in the Modern Slavery Act 2015 (MSAct)) from occurring within both its business and supply chain. Ordnance Survey will expect any successful Contractor to be able to ensure it, and its supply chains, are compliant with the MSAct. </w:t>
      </w:r>
    </w:p>
    <w:p w14:paraId="5A6E6756" w14:textId="04E09F70" w:rsidR="0000663A" w:rsidRPr="0042216C" w:rsidRDefault="0000663A" w:rsidP="009E3696">
      <w:pPr>
        <w:pStyle w:val="Level2"/>
      </w:pPr>
      <w:r>
        <w:t xml:space="preserve">Participants must not canvass or solicit or offer any gift or consideration whatsoever as an inducement or reward to any officer or employee of, or person acting as an adviser to, OS in connection with the submission of a Tender, </w:t>
      </w:r>
      <w:r w:rsidRPr="0042216C">
        <w:t>evaluation of responses, short-listing of Participants and in connection with the overall procurement exercise.</w:t>
      </w:r>
    </w:p>
    <w:p w14:paraId="587F3BCA" w14:textId="0D8F03CA" w:rsidR="0000663A" w:rsidRPr="0042216C" w:rsidRDefault="0000663A" w:rsidP="009E3696">
      <w:pPr>
        <w:pStyle w:val="Level2"/>
      </w:pPr>
      <w:r w:rsidRPr="0042216C">
        <w:t>Participants must submit a bona fide response and confirm, by a signed return of the certificate available in the Delta documents area, that it has not prepared its response in collusion with any third party and will not engage in collusive behaviour during the tender process.</w:t>
      </w:r>
    </w:p>
    <w:p w14:paraId="2425944B" w14:textId="22A8DF9E" w:rsidR="0000663A" w:rsidRPr="0042216C" w:rsidRDefault="0000663A" w:rsidP="009E3696">
      <w:pPr>
        <w:pStyle w:val="Heading1small"/>
      </w:pPr>
      <w:bookmarkStart w:id="7" w:name="_Toc57962827"/>
      <w:r>
        <w:t>Tender Submission Instructions</w:t>
      </w:r>
      <w:bookmarkEnd w:id="7"/>
    </w:p>
    <w:p w14:paraId="50B6C7E7" w14:textId="574CBB11" w:rsidR="0000663A" w:rsidRPr="0042216C" w:rsidRDefault="0000663A" w:rsidP="009E3696">
      <w:pPr>
        <w:pStyle w:val="Level2"/>
      </w:pPr>
      <w:r w:rsidRPr="0042216C">
        <w:t xml:space="preserve">Participants are invited to submit Tenders in accordance with the required responses set out in this ITT. A Tender compliance checklist is set out in Appendix </w:t>
      </w:r>
      <w:r w:rsidR="0042216C" w:rsidRPr="0042216C">
        <w:t>1</w:t>
      </w:r>
      <w:r w:rsidRPr="0042216C">
        <w:t xml:space="preserve">. </w:t>
      </w:r>
    </w:p>
    <w:p w14:paraId="0F1FCDC6" w14:textId="59CEE4F9" w:rsidR="0000663A" w:rsidRPr="0042216C" w:rsidRDefault="0000663A" w:rsidP="009E3696">
      <w:pPr>
        <w:pStyle w:val="Level2"/>
      </w:pPr>
      <w:r w:rsidRPr="0042216C">
        <w:lastRenderedPageBreak/>
        <w:t xml:space="preserve">Tenders must be </w:t>
      </w:r>
      <w:r w:rsidRPr="00DB1738">
        <w:t xml:space="preserve">returned </w:t>
      </w:r>
      <w:r w:rsidRPr="00D45A2B">
        <w:t xml:space="preserve">by </w:t>
      </w:r>
      <w:r w:rsidR="00C5444E">
        <w:t>the date and time outlined in the table above</w:t>
      </w:r>
      <w:r w:rsidR="00DF41DC" w:rsidRPr="00D45A2B">
        <w:t>.</w:t>
      </w:r>
      <w:r w:rsidRPr="00DB1738">
        <w:t xml:space="preserve"> It is the</w:t>
      </w:r>
      <w:r w:rsidRPr="0042216C">
        <w:t xml:space="preserve"> Participant's responsibility to ensure that the Tender submission is received on time.</w:t>
      </w:r>
    </w:p>
    <w:p w14:paraId="5225EB23" w14:textId="027D2342" w:rsidR="0000663A" w:rsidRDefault="0000663A" w:rsidP="009E3696">
      <w:pPr>
        <w:pStyle w:val="Level2"/>
      </w:pPr>
      <w:r w:rsidRPr="0042216C">
        <w:t>All documents to be completed in text</w:t>
      </w:r>
      <w:r>
        <w:t xml:space="preserve"> point size not below 10 in the English (UK) language.</w:t>
      </w:r>
    </w:p>
    <w:p w14:paraId="13BA7F20" w14:textId="6900549A" w:rsidR="0000663A" w:rsidRDefault="0000663A" w:rsidP="009E3696">
      <w:pPr>
        <w:pStyle w:val="Level2"/>
      </w:pPr>
      <w:r>
        <w:t>Where signatures are requested, typed entries are acceptable. Electronic signatures are not required on electronic tenders.</w:t>
      </w:r>
    </w:p>
    <w:p w14:paraId="74ABA731" w14:textId="4F48CD73" w:rsidR="0000663A" w:rsidRDefault="0000663A" w:rsidP="009E3696">
      <w:pPr>
        <w:pStyle w:val="Level2"/>
      </w:pPr>
      <w:r>
        <w:t>Participants should ensure that their Tender contains all information required for evaluation. In particular, Participants should ensure that an adequately detailed response is given to each item in the ‘response required from Participant’ section of the Response Questionnaire. Web-links or other external references will not be taken into consideration.</w:t>
      </w:r>
    </w:p>
    <w:p w14:paraId="783A0852" w14:textId="19C41233" w:rsidR="0000663A" w:rsidRPr="00054EBB" w:rsidRDefault="0000663A" w:rsidP="009E3696">
      <w:pPr>
        <w:pStyle w:val="Level2"/>
      </w:pPr>
      <w:r>
        <w:t xml:space="preserve">All prices in the Tender must be fully priced in Sterling (£) exclusive of VAT and totalled in clear terms. Tender must remain open for acceptance or non-acceptance for not </w:t>
      </w:r>
      <w:r w:rsidRPr="00054EBB">
        <w:t>less than 90 days from the tender closing date.</w:t>
      </w:r>
    </w:p>
    <w:p w14:paraId="655E2600" w14:textId="73DFC75D" w:rsidR="0000663A" w:rsidRPr="00054EBB" w:rsidRDefault="0000663A" w:rsidP="009E3696">
      <w:pPr>
        <w:pStyle w:val="Level2"/>
      </w:pPr>
      <w:r w:rsidRPr="00054EBB">
        <w:t>Tenders should contain all of the information as required in this ITT.</w:t>
      </w:r>
    </w:p>
    <w:p w14:paraId="67E4C3B6" w14:textId="24791233" w:rsidR="0000663A" w:rsidRPr="00054EBB" w:rsidRDefault="0000663A" w:rsidP="009E3696">
      <w:pPr>
        <w:pStyle w:val="Level2"/>
      </w:pPr>
      <w:r w:rsidRPr="00054EBB">
        <w:t xml:space="preserve">The name of the Participant must be clearly indicated at the top of each Tender. The Tender and all supporting documentation should be page numbered and cross-referenced to this ITT where appropriate and should be fully indexed. </w:t>
      </w:r>
    </w:p>
    <w:p w14:paraId="4E3504AB" w14:textId="3AFBAB10" w:rsidR="0000663A" w:rsidRDefault="0000663A" w:rsidP="009E3696">
      <w:pPr>
        <w:pStyle w:val="Level2"/>
      </w:pPr>
      <w:r w:rsidRPr="00054EBB">
        <w:t>Tenders must be valid for a period of 6 months from the date of submission</w:t>
      </w:r>
      <w:r>
        <w:t>.</w:t>
      </w:r>
    </w:p>
    <w:p w14:paraId="6300EF02" w14:textId="167168C2" w:rsidR="0000663A" w:rsidRDefault="0000663A" w:rsidP="009E3696">
      <w:pPr>
        <w:pStyle w:val="Level2"/>
      </w:pPr>
      <w:r>
        <w:t>OS reserves the right to carry out reference checks and/or financial checks prior to the award of contract(s). By submitting Tenders the Participant will be deemed to have given such consent.</w:t>
      </w:r>
    </w:p>
    <w:p w14:paraId="35DE063B" w14:textId="51222AFF" w:rsidR="0000663A" w:rsidRDefault="0000663A" w:rsidP="009E3696">
      <w:pPr>
        <w:pStyle w:val="Level2"/>
      </w:pPr>
      <w:r>
        <w:t>Do not include publicity material of any kind, for example brochures and web references, unless specifically requested, as it will not be evaluated.</w:t>
      </w:r>
    </w:p>
    <w:p w14:paraId="21A1CB7E" w14:textId="668BA97D" w:rsidR="0000663A" w:rsidRDefault="0000663A" w:rsidP="009E3696">
      <w:pPr>
        <w:pStyle w:val="Level2"/>
      </w:pPr>
      <w:r>
        <w:t>Do not reference your answers from one requirement, or question, to another, even where there is commonality.</w:t>
      </w:r>
    </w:p>
    <w:p w14:paraId="5708743E" w14:textId="7864F3E7" w:rsidR="0000663A" w:rsidRDefault="0000663A" w:rsidP="009E3696">
      <w:pPr>
        <w:pStyle w:val="Level2"/>
      </w:pPr>
      <w:r>
        <w:t xml:space="preserve">Please ensure you allow plenty of time to upload your Tender, to avoid instances where only part bid submissions are received into Delta, due to the tenderbox closing. OS reserves the right to disqualify Participants submissions, where part bids are received, unless there is a valid reason why this has occurred for example, power outages or a fault with Delta. </w:t>
      </w:r>
    </w:p>
    <w:p w14:paraId="64D44509" w14:textId="70BEA123" w:rsidR="0000663A" w:rsidRDefault="0000663A" w:rsidP="009E3696">
      <w:pPr>
        <w:pStyle w:val="Level2"/>
      </w:pPr>
      <w:r>
        <w:t>A limit of 50MB per document applies when lodging a Tender via Delta.</w:t>
      </w:r>
    </w:p>
    <w:p w14:paraId="5C38A583" w14:textId="0252F03A" w:rsidR="009E3696" w:rsidRDefault="009E3696" w:rsidP="009E3696">
      <w:pPr>
        <w:pStyle w:val="Heading1small"/>
      </w:pPr>
      <w:bookmarkStart w:id="8" w:name="_Toc57962828"/>
      <w:r>
        <w:t>Requirements, Evaluation and Award Criteria</w:t>
      </w:r>
      <w:bookmarkEnd w:id="8"/>
    </w:p>
    <w:p w14:paraId="42D69A04" w14:textId="30A50493" w:rsidR="009E3696" w:rsidRDefault="009E3696" w:rsidP="009E3696">
      <w:pPr>
        <w:pStyle w:val="Level2"/>
      </w:pPr>
      <w:r>
        <w:t>The criteria for this ITT are as follows:</w:t>
      </w:r>
    </w:p>
    <w:p w14:paraId="52971E9D" w14:textId="18F128B7" w:rsidR="00F02D3B" w:rsidRDefault="00F02D3B" w:rsidP="00F02D3B">
      <w:pPr>
        <w:pStyle w:val="Level5indent1"/>
      </w:pPr>
      <w:r>
        <w:t xml:space="preserve">the Participant’s response to the governance and due diligence requirements (Part </w:t>
      </w:r>
      <w:r w:rsidR="00184213">
        <w:t>1</w:t>
      </w:r>
      <w:r>
        <w:t>);</w:t>
      </w:r>
    </w:p>
    <w:p w14:paraId="0A7E3F3C" w14:textId="72EC7358" w:rsidR="00F02D3B" w:rsidRDefault="00F02D3B" w:rsidP="00F02D3B">
      <w:pPr>
        <w:pStyle w:val="Level5indent1"/>
      </w:pPr>
      <w:r>
        <w:t xml:space="preserve">the Participant’s response to the technical requirements (Part </w:t>
      </w:r>
      <w:r w:rsidR="00184213">
        <w:t>2</w:t>
      </w:r>
      <w:r>
        <w:t>); and</w:t>
      </w:r>
    </w:p>
    <w:p w14:paraId="45AD5611" w14:textId="46956DE0" w:rsidR="009E3696" w:rsidRDefault="00F02D3B" w:rsidP="00F02D3B">
      <w:pPr>
        <w:pStyle w:val="Level5indent1"/>
      </w:pPr>
      <w:r>
        <w:t xml:space="preserve">the Participant’s response to the pricing requirements (Part </w:t>
      </w:r>
      <w:r w:rsidR="00184213">
        <w:t>3</w:t>
      </w:r>
      <w:r>
        <w:t>).</w:t>
      </w:r>
    </w:p>
    <w:p w14:paraId="438C1B32" w14:textId="44BFD70D" w:rsidR="00F02D3B" w:rsidRPr="00F02D3B" w:rsidRDefault="00F02D3B" w:rsidP="00F02D3B">
      <w:pPr>
        <w:pStyle w:val="Level2"/>
      </w:pPr>
      <w:r w:rsidRPr="00F02D3B">
        <w:t xml:space="preserve">OS’s requirements are set out </w:t>
      </w:r>
      <w:r w:rsidRPr="00512DBC">
        <w:t>in Schedule 1 and</w:t>
      </w:r>
      <w:r w:rsidRPr="00F02D3B">
        <w:t xml:space="preserve"> it has allocated each of the criteria an overall weighting (expressed as a percentage) reflecting its relative importance to OS:</w:t>
      </w:r>
    </w:p>
    <w:p w14:paraId="119DA602" w14:textId="76BF842F" w:rsidR="00F02D3B" w:rsidRPr="00DE04DC" w:rsidRDefault="00F02D3B" w:rsidP="00AE1C18">
      <w:pPr>
        <w:pStyle w:val="Level5"/>
        <w:numPr>
          <w:ilvl w:val="0"/>
          <w:numId w:val="8"/>
        </w:numPr>
        <w:tabs>
          <w:tab w:val="clear" w:pos="1418"/>
          <w:tab w:val="num" w:pos="1701"/>
        </w:tabs>
        <w:ind w:left="1701" w:hanging="850"/>
      </w:pPr>
      <w:r w:rsidRPr="00DE04DC">
        <w:t>response to the Part 1 requirements</w:t>
      </w:r>
      <w:r w:rsidRPr="00DE04DC">
        <w:tab/>
      </w:r>
      <w:r w:rsidR="00ED3825" w:rsidRPr="00DE04DC">
        <w:t>pass/fail</w:t>
      </w:r>
      <w:r w:rsidRPr="00DE04DC">
        <w:t xml:space="preserve"> </w:t>
      </w:r>
    </w:p>
    <w:p w14:paraId="67F64522" w14:textId="4EED324A" w:rsidR="00F02D3B" w:rsidRPr="00171C9B" w:rsidRDefault="00F02D3B" w:rsidP="00AE1C18">
      <w:pPr>
        <w:pStyle w:val="Level5"/>
        <w:numPr>
          <w:ilvl w:val="0"/>
          <w:numId w:val="8"/>
        </w:numPr>
        <w:tabs>
          <w:tab w:val="clear" w:pos="1418"/>
          <w:tab w:val="num" w:pos="1701"/>
        </w:tabs>
        <w:ind w:left="1701" w:hanging="850"/>
      </w:pPr>
      <w:r w:rsidRPr="00DE04DC">
        <w:t xml:space="preserve">response to the Part 2 requirements </w:t>
      </w:r>
      <w:r w:rsidRPr="00DE04DC">
        <w:tab/>
      </w:r>
      <w:r w:rsidR="00D00135">
        <w:t>80</w:t>
      </w:r>
      <w:r w:rsidR="00DE04DC" w:rsidRPr="00171C9B">
        <w:t>% available</w:t>
      </w:r>
    </w:p>
    <w:p w14:paraId="6DC72235" w14:textId="337BBB44" w:rsidR="00F02D3B" w:rsidRPr="00171C9B" w:rsidRDefault="00F02D3B" w:rsidP="00AE1C18">
      <w:pPr>
        <w:pStyle w:val="Level5"/>
        <w:numPr>
          <w:ilvl w:val="0"/>
          <w:numId w:val="8"/>
        </w:numPr>
        <w:tabs>
          <w:tab w:val="clear" w:pos="1418"/>
          <w:tab w:val="num" w:pos="1701"/>
        </w:tabs>
        <w:ind w:left="1701" w:hanging="850"/>
      </w:pPr>
      <w:r w:rsidRPr="00171C9B">
        <w:t>response to the Part 3 requirements</w:t>
      </w:r>
      <w:r w:rsidRPr="00171C9B">
        <w:tab/>
      </w:r>
      <w:r w:rsidR="00D00135">
        <w:t>20</w:t>
      </w:r>
      <w:r w:rsidR="00DE04DC" w:rsidRPr="00171C9B">
        <w:t>%</w:t>
      </w:r>
      <w:r w:rsidR="00237B49" w:rsidRPr="00171C9B">
        <w:t xml:space="preserve"> available</w:t>
      </w:r>
    </w:p>
    <w:p w14:paraId="20087F68" w14:textId="66F9BAB4" w:rsidR="00F02D3B" w:rsidRDefault="00F02D3B" w:rsidP="00DC2102">
      <w:pPr>
        <w:pStyle w:val="Level2"/>
        <w:keepNext/>
      </w:pPr>
      <w:r>
        <w:t xml:space="preserve">The questions </w:t>
      </w:r>
      <w:r w:rsidRPr="00512DBC">
        <w:t>with marks available</w:t>
      </w:r>
      <w:r w:rsidR="00512DBC" w:rsidRPr="00512DBC">
        <w:t xml:space="preserve"> </w:t>
      </w:r>
      <w:r w:rsidRPr="00512DBC">
        <w:t>against</w:t>
      </w:r>
      <w:r w:rsidRPr="00E56D6B">
        <w:t xml:space="preserve"> them wi</w:t>
      </w:r>
      <w:r w:rsidRPr="00F02D3B">
        <w:t>ll be evaluated using the following scoring methodology:</w:t>
      </w:r>
    </w:p>
    <w:tbl>
      <w:tblPr>
        <w:tblStyle w:val="TableGrid"/>
        <w:tblW w:w="0" w:type="auto"/>
        <w:tblInd w:w="-5" w:type="dxa"/>
        <w:tblLook w:val="04A0" w:firstRow="1" w:lastRow="0" w:firstColumn="1" w:lastColumn="0" w:noHBand="0" w:noVBand="1"/>
      </w:tblPr>
      <w:tblGrid>
        <w:gridCol w:w="1560"/>
        <w:gridCol w:w="850"/>
        <w:gridCol w:w="8075"/>
      </w:tblGrid>
      <w:tr w:rsidR="00F02D3B" w14:paraId="12618E02" w14:textId="77777777" w:rsidTr="009F1946">
        <w:tc>
          <w:tcPr>
            <w:tcW w:w="1560" w:type="dxa"/>
          </w:tcPr>
          <w:p w14:paraId="4F7DC2C0" w14:textId="3BEB0A88" w:rsidR="00F02D3B" w:rsidRPr="00DC2102" w:rsidRDefault="00F02D3B" w:rsidP="00DC2102">
            <w:pPr>
              <w:pStyle w:val="Indent"/>
              <w:keepNext/>
              <w:ind w:left="0"/>
              <w:rPr>
                <w:b/>
                <w:bCs/>
              </w:rPr>
            </w:pPr>
            <w:r w:rsidRPr="00DC2102">
              <w:rPr>
                <w:b/>
                <w:bCs/>
              </w:rPr>
              <w:t>Judgement</w:t>
            </w:r>
          </w:p>
        </w:tc>
        <w:tc>
          <w:tcPr>
            <w:tcW w:w="850" w:type="dxa"/>
          </w:tcPr>
          <w:p w14:paraId="26A510F9" w14:textId="4E482EEC" w:rsidR="00F02D3B" w:rsidRPr="00DC2102" w:rsidRDefault="00F02D3B" w:rsidP="00DC2102">
            <w:pPr>
              <w:pStyle w:val="Indent"/>
              <w:keepNext/>
              <w:ind w:left="0"/>
              <w:jc w:val="center"/>
              <w:rPr>
                <w:b/>
                <w:bCs/>
              </w:rPr>
            </w:pPr>
            <w:r w:rsidRPr="00DC2102">
              <w:rPr>
                <w:b/>
                <w:bCs/>
              </w:rPr>
              <w:t>Score</w:t>
            </w:r>
          </w:p>
        </w:tc>
        <w:tc>
          <w:tcPr>
            <w:tcW w:w="8075" w:type="dxa"/>
          </w:tcPr>
          <w:p w14:paraId="2588F667" w14:textId="52B5DE51" w:rsidR="00F02D3B" w:rsidRPr="00DC2102" w:rsidRDefault="00F02D3B" w:rsidP="00DC2102">
            <w:pPr>
              <w:pStyle w:val="Indent"/>
              <w:keepNext/>
              <w:ind w:left="0"/>
              <w:rPr>
                <w:b/>
                <w:bCs/>
              </w:rPr>
            </w:pPr>
            <w:r w:rsidRPr="00DC2102">
              <w:rPr>
                <w:b/>
                <w:bCs/>
              </w:rPr>
              <w:t>Performance Criteria</w:t>
            </w:r>
          </w:p>
        </w:tc>
      </w:tr>
      <w:tr w:rsidR="00F02D3B" w14:paraId="6BDDE63A" w14:textId="77777777" w:rsidTr="009F1946">
        <w:tc>
          <w:tcPr>
            <w:tcW w:w="1560" w:type="dxa"/>
          </w:tcPr>
          <w:p w14:paraId="4391AC3B" w14:textId="4B1E6443" w:rsidR="00F02D3B" w:rsidRDefault="00F02D3B" w:rsidP="00F02D3B">
            <w:pPr>
              <w:pStyle w:val="Indent"/>
              <w:ind w:left="0"/>
            </w:pPr>
            <w:r>
              <w:t>Excellent</w:t>
            </w:r>
          </w:p>
        </w:tc>
        <w:tc>
          <w:tcPr>
            <w:tcW w:w="850" w:type="dxa"/>
          </w:tcPr>
          <w:p w14:paraId="4689348A" w14:textId="55552015" w:rsidR="00F02D3B" w:rsidRDefault="00F02D3B" w:rsidP="00DC2102">
            <w:pPr>
              <w:pStyle w:val="Indent"/>
              <w:ind w:left="0"/>
              <w:jc w:val="center"/>
            </w:pPr>
            <w:r>
              <w:t>5</w:t>
            </w:r>
          </w:p>
        </w:tc>
        <w:tc>
          <w:tcPr>
            <w:tcW w:w="8075" w:type="dxa"/>
          </w:tcPr>
          <w:p w14:paraId="7504F2F5" w14:textId="77777777" w:rsidR="00F02D3B" w:rsidRPr="00F02D3B" w:rsidRDefault="00F02D3B" w:rsidP="00DC2102">
            <w:pPr>
              <w:ind w:left="454" w:hanging="426"/>
            </w:pPr>
            <w:r w:rsidRPr="00F02D3B">
              <w:t>a)</w:t>
            </w:r>
            <w:r w:rsidRPr="00F02D3B">
              <w:tab/>
              <w:t>a comprehensive response which fully meets the requirements identified by OS;</w:t>
            </w:r>
          </w:p>
          <w:p w14:paraId="59E99345" w14:textId="77777777" w:rsidR="00F02D3B" w:rsidRPr="00F02D3B" w:rsidRDefault="00F02D3B" w:rsidP="00DC2102">
            <w:pPr>
              <w:ind w:left="454" w:hanging="426"/>
            </w:pPr>
            <w:r w:rsidRPr="00F02D3B">
              <w:t>b)</w:t>
            </w:r>
            <w:r w:rsidRPr="00F02D3B">
              <w:tab/>
              <w:t xml:space="preserve">is appropriate in terms of detail and accuracy; </w:t>
            </w:r>
          </w:p>
          <w:p w14:paraId="70C3980D" w14:textId="77777777" w:rsidR="00F02D3B" w:rsidRPr="00F02D3B" w:rsidRDefault="00F02D3B" w:rsidP="00DC2102">
            <w:pPr>
              <w:ind w:left="454" w:hanging="426"/>
            </w:pPr>
            <w:r w:rsidRPr="00F02D3B">
              <w:t>c)</w:t>
            </w:r>
            <w:r w:rsidRPr="00F02D3B">
              <w:tab/>
              <w:t>is supported by relevant evidence and</w:t>
            </w:r>
          </w:p>
          <w:p w14:paraId="18B17B8F" w14:textId="1AAD30B2" w:rsidR="00F02D3B" w:rsidRDefault="00F02D3B" w:rsidP="00DC2102">
            <w:pPr>
              <w:ind w:left="454" w:hanging="426"/>
            </w:pPr>
            <w:r w:rsidRPr="00F02D3B">
              <w:t>d)</w:t>
            </w:r>
            <w:r w:rsidRPr="00F02D3B">
              <w:tab/>
              <w:t>provides demonstrable and relevant added value.</w:t>
            </w:r>
          </w:p>
        </w:tc>
      </w:tr>
      <w:tr w:rsidR="00F02D3B" w14:paraId="62828CF4" w14:textId="77777777" w:rsidTr="009F1946">
        <w:tc>
          <w:tcPr>
            <w:tcW w:w="1560" w:type="dxa"/>
          </w:tcPr>
          <w:p w14:paraId="3AD631A3" w14:textId="74DD80F8" w:rsidR="00F02D3B" w:rsidRDefault="00F02D3B" w:rsidP="00F02D3B">
            <w:pPr>
              <w:pStyle w:val="Indent"/>
              <w:ind w:left="0"/>
            </w:pPr>
            <w:r>
              <w:lastRenderedPageBreak/>
              <w:t>Good</w:t>
            </w:r>
          </w:p>
        </w:tc>
        <w:tc>
          <w:tcPr>
            <w:tcW w:w="850" w:type="dxa"/>
          </w:tcPr>
          <w:p w14:paraId="463B09B7" w14:textId="134F3F0F" w:rsidR="00F02D3B" w:rsidRDefault="00F02D3B" w:rsidP="00DC2102">
            <w:pPr>
              <w:pStyle w:val="Indent"/>
              <w:ind w:left="0"/>
              <w:jc w:val="center"/>
            </w:pPr>
            <w:r>
              <w:t>4</w:t>
            </w:r>
          </w:p>
        </w:tc>
        <w:tc>
          <w:tcPr>
            <w:tcW w:w="8075" w:type="dxa"/>
          </w:tcPr>
          <w:p w14:paraId="79A932FB" w14:textId="77777777" w:rsidR="00F02D3B" w:rsidRPr="00F02D3B" w:rsidRDefault="00F02D3B" w:rsidP="00DC2102">
            <w:pPr>
              <w:ind w:left="454" w:hanging="426"/>
            </w:pPr>
            <w:r w:rsidRPr="00F02D3B">
              <w:t>a)</w:t>
            </w:r>
            <w:r w:rsidRPr="00F02D3B">
              <w:tab/>
              <w:t xml:space="preserve">a detailed response which fully meets the requirements identified by OS: </w:t>
            </w:r>
          </w:p>
          <w:p w14:paraId="6B15C0B7" w14:textId="77777777" w:rsidR="00F02D3B" w:rsidRPr="00F02D3B" w:rsidRDefault="00F02D3B" w:rsidP="00DC2102">
            <w:pPr>
              <w:ind w:left="454" w:hanging="426"/>
            </w:pPr>
            <w:r w:rsidRPr="00F02D3B">
              <w:t>b)</w:t>
            </w:r>
            <w:r w:rsidRPr="00F02D3B">
              <w:tab/>
              <w:t>provides information that is directly relevant and compliant;</w:t>
            </w:r>
          </w:p>
          <w:p w14:paraId="3C8F1E4C" w14:textId="77777777" w:rsidR="00F02D3B" w:rsidRPr="00F02D3B" w:rsidRDefault="00F02D3B" w:rsidP="00DC2102">
            <w:pPr>
              <w:ind w:left="454" w:hanging="426"/>
            </w:pPr>
            <w:r w:rsidRPr="00F02D3B">
              <w:t>c)</w:t>
            </w:r>
            <w:r w:rsidRPr="00F02D3B">
              <w:tab/>
              <w:t>has addressed the content in respect of the question and</w:t>
            </w:r>
          </w:p>
          <w:p w14:paraId="61F0809A" w14:textId="598A2026" w:rsidR="00F02D3B" w:rsidRDefault="00F02D3B" w:rsidP="00DC2102">
            <w:pPr>
              <w:ind w:left="454" w:hanging="426"/>
            </w:pPr>
            <w:r w:rsidRPr="00F02D3B">
              <w:t>d)</w:t>
            </w:r>
            <w:r w:rsidRPr="00F02D3B">
              <w:tab/>
              <w:t>supported by relevant evidence.</w:t>
            </w:r>
          </w:p>
        </w:tc>
      </w:tr>
      <w:tr w:rsidR="00F02D3B" w14:paraId="41F9C84D" w14:textId="77777777" w:rsidTr="009F1946">
        <w:tc>
          <w:tcPr>
            <w:tcW w:w="1560" w:type="dxa"/>
          </w:tcPr>
          <w:p w14:paraId="456653E4" w14:textId="3A4E6D89" w:rsidR="00F02D3B" w:rsidRDefault="00F02D3B" w:rsidP="00F02D3B">
            <w:pPr>
              <w:pStyle w:val="Indent"/>
              <w:ind w:left="0"/>
            </w:pPr>
            <w:r>
              <w:t>Satisfactory</w:t>
            </w:r>
          </w:p>
        </w:tc>
        <w:tc>
          <w:tcPr>
            <w:tcW w:w="850" w:type="dxa"/>
          </w:tcPr>
          <w:p w14:paraId="01AD3736" w14:textId="3698A99D" w:rsidR="00F02D3B" w:rsidRDefault="00F02D3B" w:rsidP="00DC2102">
            <w:pPr>
              <w:pStyle w:val="Indent"/>
              <w:ind w:left="0"/>
              <w:jc w:val="center"/>
            </w:pPr>
            <w:r>
              <w:t>3</w:t>
            </w:r>
          </w:p>
        </w:tc>
        <w:tc>
          <w:tcPr>
            <w:tcW w:w="8075" w:type="dxa"/>
          </w:tcPr>
          <w:p w14:paraId="4B9F7C44" w14:textId="77777777" w:rsidR="00F02D3B" w:rsidRPr="00F02D3B" w:rsidRDefault="00F02D3B" w:rsidP="00DC2102">
            <w:pPr>
              <w:ind w:left="454" w:hanging="426"/>
            </w:pPr>
            <w:r w:rsidRPr="00F02D3B">
              <w:t>a)</w:t>
            </w:r>
            <w:r w:rsidRPr="00F02D3B">
              <w:tab/>
              <w:t>a response which adequately meets the requirements identified by OS; and</w:t>
            </w:r>
          </w:p>
          <w:p w14:paraId="406F0994" w14:textId="77777777" w:rsidR="00F02D3B" w:rsidRPr="00F02D3B" w:rsidRDefault="00F02D3B" w:rsidP="00DC2102">
            <w:pPr>
              <w:ind w:left="454" w:hanging="426"/>
            </w:pPr>
            <w:r w:rsidRPr="00F02D3B">
              <w:t>b)</w:t>
            </w:r>
            <w:r w:rsidRPr="00F02D3B">
              <w:tab/>
              <w:t>is supported by relevant evidence; however</w:t>
            </w:r>
          </w:p>
          <w:p w14:paraId="7ECF5A8A" w14:textId="77777777" w:rsidR="00F02D3B" w:rsidRPr="00F02D3B" w:rsidRDefault="00F02D3B" w:rsidP="00DC2102">
            <w:pPr>
              <w:ind w:left="454" w:hanging="426"/>
            </w:pPr>
            <w:r w:rsidRPr="00F02D3B">
              <w:t>c)</w:t>
            </w:r>
            <w:r w:rsidRPr="00F02D3B">
              <w:tab/>
              <w:t xml:space="preserve">raises some minor concerns; and/or </w:t>
            </w:r>
          </w:p>
          <w:p w14:paraId="6D2BBCE0" w14:textId="044E87E3" w:rsidR="00F02D3B" w:rsidRDefault="00F02D3B" w:rsidP="00DC2102">
            <w:pPr>
              <w:ind w:left="454" w:hanging="426"/>
            </w:pPr>
            <w:r w:rsidRPr="00F02D3B">
              <w:t>d)</w:t>
            </w:r>
            <w:r w:rsidRPr="00F02D3B">
              <w:tab/>
              <w:t>provides lack of clarity within the response</w:t>
            </w:r>
            <w:r>
              <w:t>.</w:t>
            </w:r>
          </w:p>
        </w:tc>
      </w:tr>
      <w:tr w:rsidR="00F02D3B" w14:paraId="7C0E020D" w14:textId="77777777" w:rsidTr="009F1946">
        <w:tc>
          <w:tcPr>
            <w:tcW w:w="1560" w:type="dxa"/>
          </w:tcPr>
          <w:p w14:paraId="2686042C" w14:textId="5B2B4420" w:rsidR="00F02D3B" w:rsidRDefault="00F02D3B" w:rsidP="00F02D3B">
            <w:pPr>
              <w:pStyle w:val="Indent"/>
              <w:ind w:left="0"/>
            </w:pPr>
            <w:r>
              <w:t>Unsatisfactory</w:t>
            </w:r>
          </w:p>
        </w:tc>
        <w:tc>
          <w:tcPr>
            <w:tcW w:w="850" w:type="dxa"/>
          </w:tcPr>
          <w:p w14:paraId="7E5AC96C" w14:textId="3E2260CF" w:rsidR="00F02D3B" w:rsidRDefault="00F02D3B" w:rsidP="00DC2102">
            <w:pPr>
              <w:pStyle w:val="Indent"/>
              <w:ind w:left="0"/>
              <w:jc w:val="center"/>
            </w:pPr>
            <w:r>
              <w:t>2</w:t>
            </w:r>
          </w:p>
        </w:tc>
        <w:tc>
          <w:tcPr>
            <w:tcW w:w="8075" w:type="dxa"/>
          </w:tcPr>
          <w:p w14:paraId="55454757" w14:textId="77777777" w:rsidR="00F02D3B" w:rsidRPr="00DC2102" w:rsidRDefault="00F02D3B" w:rsidP="00DC2102">
            <w:pPr>
              <w:ind w:left="454" w:hanging="426"/>
            </w:pPr>
            <w:r w:rsidRPr="00DC2102">
              <w:t>a)</w:t>
            </w:r>
            <w:r w:rsidRPr="00DC2102">
              <w:tab/>
              <w:t>a response which provides information that is generally relevant; however</w:t>
            </w:r>
          </w:p>
          <w:p w14:paraId="5DCEADD8" w14:textId="77777777" w:rsidR="00F02D3B" w:rsidRPr="00DC2102" w:rsidRDefault="00F02D3B" w:rsidP="00DC2102">
            <w:pPr>
              <w:ind w:left="454" w:hanging="426"/>
            </w:pPr>
            <w:r w:rsidRPr="00DC2102">
              <w:t>b)</w:t>
            </w:r>
            <w:r w:rsidRPr="00DC2102">
              <w:tab/>
              <w:t>fails to meet a large part of the requirements identified by OS; and/or</w:t>
            </w:r>
          </w:p>
          <w:p w14:paraId="5CF01E1E" w14:textId="77777777" w:rsidR="00F02D3B" w:rsidRPr="00DC2102" w:rsidRDefault="00F02D3B" w:rsidP="00DC2102">
            <w:pPr>
              <w:ind w:left="454" w:hanging="426"/>
            </w:pPr>
            <w:r w:rsidRPr="00DC2102">
              <w:t>c)</w:t>
            </w:r>
            <w:r w:rsidRPr="00DC2102">
              <w:tab/>
              <w:t>is only partially compliant and demonstrates shortfalls within the response; and/or</w:t>
            </w:r>
          </w:p>
          <w:p w14:paraId="7BEE3256" w14:textId="02C05F43" w:rsidR="00F02D3B" w:rsidRDefault="00F02D3B" w:rsidP="00DC2102">
            <w:pPr>
              <w:ind w:left="454" w:hanging="426"/>
            </w:pPr>
            <w:r w:rsidRPr="00DC2102">
              <w:t>d)</w:t>
            </w:r>
            <w:r w:rsidRPr="00DC2102">
              <w:tab/>
              <w:t xml:space="preserve">lacks supporting evidence.  </w:t>
            </w:r>
          </w:p>
        </w:tc>
      </w:tr>
      <w:tr w:rsidR="00F02D3B" w14:paraId="288900C7" w14:textId="77777777" w:rsidTr="009F1946">
        <w:tc>
          <w:tcPr>
            <w:tcW w:w="1560" w:type="dxa"/>
          </w:tcPr>
          <w:p w14:paraId="4071B3D2" w14:textId="3C82B687" w:rsidR="00F02D3B" w:rsidRDefault="00F02D3B" w:rsidP="00F02D3B">
            <w:pPr>
              <w:pStyle w:val="Indent"/>
              <w:ind w:left="0"/>
            </w:pPr>
            <w:r>
              <w:t>Poor</w:t>
            </w:r>
          </w:p>
        </w:tc>
        <w:tc>
          <w:tcPr>
            <w:tcW w:w="850" w:type="dxa"/>
          </w:tcPr>
          <w:p w14:paraId="650C45F2" w14:textId="1134C43B" w:rsidR="00F02D3B" w:rsidRDefault="00F02D3B" w:rsidP="00DC2102">
            <w:pPr>
              <w:pStyle w:val="Indent"/>
              <w:ind w:left="0"/>
              <w:jc w:val="center"/>
            </w:pPr>
            <w:r>
              <w:t>1</w:t>
            </w:r>
          </w:p>
        </w:tc>
        <w:tc>
          <w:tcPr>
            <w:tcW w:w="8075" w:type="dxa"/>
          </w:tcPr>
          <w:p w14:paraId="17220B0E" w14:textId="77777777" w:rsidR="00DC2102" w:rsidRPr="00DC2102" w:rsidRDefault="00DC2102" w:rsidP="00DC2102">
            <w:pPr>
              <w:ind w:left="454" w:hanging="454"/>
            </w:pPr>
            <w:r w:rsidRPr="00DC2102">
              <w:t>a)</w:t>
            </w:r>
            <w:r w:rsidRPr="00DC2102">
              <w:tab/>
              <w:t>responds to the requirement/s, however, has failed to address the majority of the specific issues (if any) identified by OS; and/or</w:t>
            </w:r>
          </w:p>
          <w:p w14:paraId="100ECBB7" w14:textId="77777777" w:rsidR="00DC2102" w:rsidRPr="00DC2102" w:rsidRDefault="00DC2102" w:rsidP="00DC2102">
            <w:pPr>
              <w:ind w:left="454" w:hanging="454"/>
            </w:pPr>
            <w:r w:rsidRPr="00DC2102">
              <w:t>b)</w:t>
            </w:r>
            <w:r w:rsidRPr="00DC2102">
              <w:tab/>
              <w:t>provides insufficient evidence (where applicable) to support its response; and/or</w:t>
            </w:r>
          </w:p>
          <w:p w14:paraId="22A9E4BA" w14:textId="77777777" w:rsidR="00DC2102" w:rsidRPr="00DC2102" w:rsidRDefault="00DC2102" w:rsidP="00DC2102">
            <w:pPr>
              <w:ind w:left="454" w:hanging="454"/>
            </w:pPr>
            <w:r w:rsidRPr="00DC2102">
              <w:t>c)</w:t>
            </w:r>
            <w:r w:rsidRPr="00DC2102">
              <w:tab/>
              <w:t>responds to all the requirement/s with insufficient detail raising significant concerns about the Participants ability to meet all the requirement/s identified by OS; and/or</w:t>
            </w:r>
          </w:p>
          <w:p w14:paraId="22E439C5" w14:textId="6AB884B7" w:rsidR="00F02D3B" w:rsidRDefault="00DC2102" w:rsidP="00DC2102">
            <w:pPr>
              <w:ind w:left="454" w:hanging="454"/>
            </w:pPr>
            <w:r w:rsidRPr="00DC2102">
              <w:t>d)</w:t>
            </w:r>
            <w:r w:rsidRPr="00DC2102">
              <w:tab/>
              <w:t>provides a response which raises significant concerns about the Participants ability to meet the requirement/s.</w:t>
            </w:r>
          </w:p>
        </w:tc>
      </w:tr>
      <w:tr w:rsidR="00DC2102" w14:paraId="4641787C" w14:textId="77777777" w:rsidTr="009F1946">
        <w:tc>
          <w:tcPr>
            <w:tcW w:w="1560" w:type="dxa"/>
          </w:tcPr>
          <w:p w14:paraId="7BC6A664" w14:textId="3496316C" w:rsidR="00DC2102" w:rsidRDefault="00DC2102" w:rsidP="009F1946">
            <w:pPr>
              <w:pStyle w:val="Indent"/>
              <w:keepNext/>
              <w:ind w:left="0"/>
            </w:pPr>
            <w:r>
              <w:t>Unacceptable</w:t>
            </w:r>
          </w:p>
        </w:tc>
        <w:tc>
          <w:tcPr>
            <w:tcW w:w="850" w:type="dxa"/>
          </w:tcPr>
          <w:p w14:paraId="0EEA4CB5" w14:textId="1DE7ADF3" w:rsidR="00DC2102" w:rsidRDefault="00DC2102" w:rsidP="009F1946">
            <w:pPr>
              <w:pStyle w:val="Indent"/>
              <w:keepNext/>
              <w:ind w:left="0"/>
              <w:jc w:val="center"/>
            </w:pPr>
            <w:r>
              <w:t>0</w:t>
            </w:r>
          </w:p>
        </w:tc>
        <w:tc>
          <w:tcPr>
            <w:tcW w:w="8075" w:type="dxa"/>
          </w:tcPr>
          <w:p w14:paraId="2E670F0D" w14:textId="77777777" w:rsidR="00DC2102" w:rsidRDefault="00DC2102" w:rsidP="009F1946">
            <w:pPr>
              <w:keepNext/>
              <w:ind w:left="454" w:hanging="454"/>
            </w:pPr>
            <w:r>
              <w:t>a)</w:t>
            </w:r>
            <w:r>
              <w:tab/>
              <w:t>does not provide a response to the requirement/s identified by OS; or</w:t>
            </w:r>
          </w:p>
          <w:p w14:paraId="42B926C3" w14:textId="77777777" w:rsidR="00DC2102" w:rsidRDefault="00DC2102" w:rsidP="009F1946">
            <w:pPr>
              <w:keepNext/>
              <w:ind w:left="454" w:hanging="454"/>
            </w:pPr>
            <w:r>
              <w:t>b)</w:t>
            </w:r>
            <w:r>
              <w:tab/>
              <w:t>responds to the requirement/s, however fails to address the specific issues (if any) identified by OS; or</w:t>
            </w:r>
          </w:p>
          <w:p w14:paraId="4D8D7154" w14:textId="5410D3CA" w:rsidR="00DC2102" w:rsidRPr="00DC2102" w:rsidRDefault="00DC2102" w:rsidP="009F1946">
            <w:pPr>
              <w:keepNext/>
              <w:ind w:left="454" w:hanging="454"/>
            </w:pPr>
            <w:r>
              <w:t>c)</w:t>
            </w:r>
            <w:r>
              <w:tab/>
              <w:t>fails to provide any evidence (where applicable) to support its response.</w:t>
            </w:r>
          </w:p>
        </w:tc>
      </w:tr>
    </w:tbl>
    <w:p w14:paraId="72DC19DB" w14:textId="77777777" w:rsidR="007255AE" w:rsidRPr="00763182" w:rsidRDefault="007255AE" w:rsidP="007255AE">
      <w:pPr>
        <w:rPr>
          <w:sz w:val="18"/>
        </w:rPr>
      </w:pPr>
      <w:r w:rsidRPr="00763182">
        <w:rPr>
          <w:sz w:val="18"/>
        </w:rPr>
        <w:t xml:space="preserve">Note that: </w:t>
      </w:r>
    </w:p>
    <w:p w14:paraId="00D8ECFC" w14:textId="2F22AA3D" w:rsidR="007255AE" w:rsidRPr="00763182" w:rsidRDefault="007255AE" w:rsidP="007255AE">
      <w:pPr>
        <w:rPr>
          <w:sz w:val="18"/>
        </w:rPr>
      </w:pPr>
      <w:r w:rsidRPr="00763182">
        <w:rPr>
          <w:sz w:val="18"/>
        </w:rPr>
        <w:t xml:space="preserve">If a score of </w:t>
      </w:r>
      <w:r w:rsidRPr="00763182">
        <w:rPr>
          <w:b/>
          <w:sz w:val="18"/>
        </w:rPr>
        <w:t>0</w:t>
      </w:r>
      <w:r w:rsidRPr="00763182">
        <w:rPr>
          <w:sz w:val="18"/>
        </w:rPr>
        <w:t xml:space="preserve"> is applied, the Participant </w:t>
      </w:r>
      <w:r w:rsidR="00E40507">
        <w:rPr>
          <w:sz w:val="18"/>
        </w:rPr>
        <w:t>will score 0 percent for that question.</w:t>
      </w:r>
    </w:p>
    <w:p w14:paraId="1D082DEE" w14:textId="3F594803" w:rsidR="007255AE" w:rsidRPr="00763182" w:rsidRDefault="007255AE" w:rsidP="007255AE">
      <w:pPr>
        <w:spacing w:before="0"/>
        <w:rPr>
          <w:sz w:val="18"/>
        </w:rPr>
      </w:pPr>
      <w:r w:rsidRPr="00763182">
        <w:rPr>
          <w:sz w:val="18"/>
        </w:rPr>
        <w:t xml:space="preserve">If a score of </w:t>
      </w:r>
      <w:r w:rsidRPr="00763182">
        <w:rPr>
          <w:b/>
          <w:sz w:val="18"/>
        </w:rPr>
        <w:t>1</w:t>
      </w:r>
      <w:r w:rsidRPr="00763182">
        <w:rPr>
          <w:sz w:val="18"/>
        </w:rPr>
        <w:t xml:space="preserve"> is applied, </w:t>
      </w:r>
      <w:r w:rsidRPr="00763182">
        <w:rPr>
          <w:b/>
          <w:sz w:val="18"/>
        </w:rPr>
        <w:t>1/5</w:t>
      </w:r>
      <w:r w:rsidRPr="00763182">
        <w:rPr>
          <w:sz w:val="18"/>
        </w:rPr>
        <w:t xml:space="preserve"> </w:t>
      </w:r>
      <w:r w:rsidR="00E477A5">
        <w:rPr>
          <w:sz w:val="18"/>
        </w:rPr>
        <w:t xml:space="preserve">of the </w:t>
      </w:r>
      <w:r w:rsidRPr="00763182">
        <w:rPr>
          <w:sz w:val="18"/>
        </w:rPr>
        <w:t>available</w:t>
      </w:r>
      <w:r w:rsidR="00E477A5">
        <w:rPr>
          <w:sz w:val="18"/>
        </w:rPr>
        <w:t xml:space="preserve"> % </w:t>
      </w:r>
      <w:r w:rsidRPr="00763182">
        <w:rPr>
          <w:sz w:val="18"/>
        </w:rPr>
        <w:t>for that question will be awarded</w:t>
      </w:r>
      <w:r w:rsidR="00E477A5">
        <w:rPr>
          <w:sz w:val="18"/>
        </w:rPr>
        <w:t>.</w:t>
      </w:r>
    </w:p>
    <w:p w14:paraId="5DD6C7A5" w14:textId="322851CB" w:rsidR="007255AE" w:rsidRPr="00763182" w:rsidRDefault="007255AE" w:rsidP="007255AE">
      <w:pPr>
        <w:spacing w:before="0"/>
        <w:rPr>
          <w:sz w:val="18"/>
        </w:rPr>
      </w:pPr>
      <w:r w:rsidRPr="00763182">
        <w:rPr>
          <w:sz w:val="18"/>
        </w:rPr>
        <w:t xml:space="preserve">If a score of </w:t>
      </w:r>
      <w:r w:rsidRPr="00763182">
        <w:rPr>
          <w:b/>
          <w:sz w:val="18"/>
        </w:rPr>
        <w:t>2</w:t>
      </w:r>
      <w:r w:rsidRPr="00763182">
        <w:rPr>
          <w:sz w:val="18"/>
        </w:rPr>
        <w:t xml:space="preserve"> is applied, </w:t>
      </w:r>
      <w:r w:rsidRPr="00763182">
        <w:rPr>
          <w:b/>
          <w:sz w:val="18"/>
        </w:rPr>
        <w:t>2/5</w:t>
      </w:r>
      <w:r w:rsidRPr="00763182">
        <w:rPr>
          <w:sz w:val="18"/>
        </w:rPr>
        <w:t xml:space="preserve"> </w:t>
      </w:r>
      <w:r w:rsidR="00E477A5">
        <w:rPr>
          <w:sz w:val="18"/>
        </w:rPr>
        <w:t xml:space="preserve">of the </w:t>
      </w:r>
      <w:r w:rsidR="00E477A5" w:rsidRPr="00763182">
        <w:rPr>
          <w:sz w:val="18"/>
        </w:rPr>
        <w:t>available</w:t>
      </w:r>
      <w:r w:rsidR="00E477A5">
        <w:rPr>
          <w:sz w:val="18"/>
        </w:rPr>
        <w:t xml:space="preserve"> % </w:t>
      </w:r>
      <w:r w:rsidR="00E477A5" w:rsidRPr="00763182">
        <w:rPr>
          <w:sz w:val="18"/>
        </w:rPr>
        <w:t>for that question will be awarded</w:t>
      </w:r>
      <w:r w:rsidR="00E477A5">
        <w:rPr>
          <w:sz w:val="18"/>
        </w:rPr>
        <w:t>.</w:t>
      </w:r>
    </w:p>
    <w:p w14:paraId="220CD249" w14:textId="77777777" w:rsidR="00E477A5" w:rsidRDefault="007255AE" w:rsidP="007255AE">
      <w:pPr>
        <w:spacing w:before="0"/>
        <w:rPr>
          <w:sz w:val="18"/>
        </w:rPr>
      </w:pPr>
      <w:r w:rsidRPr="00763182">
        <w:rPr>
          <w:sz w:val="18"/>
        </w:rPr>
        <w:t xml:space="preserve">If a score of </w:t>
      </w:r>
      <w:r w:rsidRPr="00763182">
        <w:rPr>
          <w:b/>
          <w:sz w:val="18"/>
        </w:rPr>
        <w:t>3</w:t>
      </w:r>
      <w:r w:rsidRPr="00763182">
        <w:rPr>
          <w:sz w:val="18"/>
        </w:rPr>
        <w:t xml:space="preserve"> is applied, </w:t>
      </w:r>
      <w:r w:rsidRPr="00763182">
        <w:rPr>
          <w:b/>
          <w:sz w:val="18"/>
        </w:rPr>
        <w:t>3/5</w:t>
      </w:r>
      <w:r w:rsidRPr="00763182">
        <w:rPr>
          <w:sz w:val="18"/>
        </w:rPr>
        <w:t xml:space="preserve"> </w:t>
      </w:r>
      <w:r w:rsidR="00E477A5">
        <w:rPr>
          <w:sz w:val="18"/>
        </w:rPr>
        <w:t xml:space="preserve">of the </w:t>
      </w:r>
      <w:r w:rsidR="00E477A5" w:rsidRPr="00763182">
        <w:rPr>
          <w:sz w:val="18"/>
        </w:rPr>
        <w:t>available</w:t>
      </w:r>
      <w:r w:rsidR="00E477A5">
        <w:rPr>
          <w:sz w:val="18"/>
        </w:rPr>
        <w:t xml:space="preserve"> % </w:t>
      </w:r>
      <w:r w:rsidR="00E477A5" w:rsidRPr="00763182">
        <w:rPr>
          <w:sz w:val="18"/>
        </w:rPr>
        <w:t>for that question will be awarded</w:t>
      </w:r>
      <w:r w:rsidR="00E477A5">
        <w:rPr>
          <w:sz w:val="18"/>
        </w:rPr>
        <w:t>.</w:t>
      </w:r>
    </w:p>
    <w:p w14:paraId="4698D91D" w14:textId="5B7DC4E6" w:rsidR="007255AE" w:rsidRPr="00763182" w:rsidRDefault="007255AE" w:rsidP="007255AE">
      <w:pPr>
        <w:spacing w:before="0"/>
        <w:rPr>
          <w:sz w:val="18"/>
        </w:rPr>
      </w:pPr>
      <w:r w:rsidRPr="00763182">
        <w:rPr>
          <w:sz w:val="18"/>
        </w:rPr>
        <w:t xml:space="preserve">If a score of </w:t>
      </w:r>
      <w:r w:rsidRPr="00763182">
        <w:rPr>
          <w:b/>
          <w:sz w:val="18"/>
        </w:rPr>
        <w:t>4</w:t>
      </w:r>
      <w:r w:rsidRPr="00763182">
        <w:rPr>
          <w:sz w:val="18"/>
        </w:rPr>
        <w:t xml:space="preserve"> is applied, </w:t>
      </w:r>
      <w:r w:rsidRPr="00763182">
        <w:rPr>
          <w:b/>
          <w:sz w:val="18"/>
        </w:rPr>
        <w:t>4/5</w:t>
      </w:r>
      <w:r w:rsidRPr="00763182">
        <w:rPr>
          <w:sz w:val="18"/>
        </w:rPr>
        <w:t xml:space="preserve"> </w:t>
      </w:r>
      <w:r w:rsidR="00E477A5">
        <w:rPr>
          <w:sz w:val="18"/>
        </w:rPr>
        <w:t xml:space="preserve">of the </w:t>
      </w:r>
      <w:r w:rsidR="00E477A5" w:rsidRPr="00763182">
        <w:rPr>
          <w:sz w:val="18"/>
        </w:rPr>
        <w:t>available</w:t>
      </w:r>
      <w:r w:rsidR="00E477A5">
        <w:rPr>
          <w:sz w:val="18"/>
        </w:rPr>
        <w:t xml:space="preserve"> % </w:t>
      </w:r>
      <w:r w:rsidR="00E477A5" w:rsidRPr="00763182">
        <w:rPr>
          <w:sz w:val="18"/>
        </w:rPr>
        <w:t>for that question will be awarded</w:t>
      </w:r>
      <w:r w:rsidR="00E477A5">
        <w:rPr>
          <w:sz w:val="18"/>
        </w:rPr>
        <w:t>.</w:t>
      </w:r>
    </w:p>
    <w:p w14:paraId="70CE19A7" w14:textId="77777777" w:rsidR="007255AE" w:rsidRPr="00763182" w:rsidRDefault="007255AE" w:rsidP="007255AE">
      <w:pPr>
        <w:spacing w:before="0"/>
        <w:rPr>
          <w:sz w:val="18"/>
        </w:rPr>
      </w:pPr>
      <w:r w:rsidRPr="00763182">
        <w:rPr>
          <w:sz w:val="18"/>
        </w:rPr>
        <w:t xml:space="preserve">If a score of </w:t>
      </w:r>
      <w:r w:rsidRPr="00763182">
        <w:rPr>
          <w:b/>
          <w:sz w:val="18"/>
        </w:rPr>
        <w:t>5</w:t>
      </w:r>
      <w:r w:rsidRPr="00763182">
        <w:rPr>
          <w:sz w:val="18"/>
        </w:rPr>
        <w:t xml:space="preserve"> is applied, all available marks for that question will be awarded.</w:t>
      </w:r>
    </w:p>
    <w:p w14:paraId="2DBB1FFE" w14:textId="77777777" w:rsidR="007255AE" w:rsidRPr="00763182" w:rsidRDefault="007255AE" w:rsidP="007255AE">
      <w:pPr>
        <w:rPr>
          <w:sz w:val="18"/>
        </w:rPr>
      </w:pPr>
      <w:r w:rsidRPr="00763182">
        <w:rPr>
          <w:sz w:val="18"/>
        </w:rPr>
        <w:t xml:space="preserve">Example: </w:t>
      </w:r>
    </w:p>
    <w:p w14:paraId="7EC724B8" w14:textId="70014A78" w:rsidR="007255AE" w:rsidRDefault="007255AE" w:rsidP="007255AE">
      <w:pPr>
        <w:rPr>
          <w:sz w:val="18"/>
          <w:szCs w:val="18"/>
        </w:rPr>
      </w:pPr>
      <w:r w:rsidRPr="7234286B">
        <w:rPr>
          <w:sz w:val="18"/>
          <w:szCs w:val="18"/>
        </w:rPr>
        <w:t xml:space="preserve">If there </w:t>
      </w:r>
      <w:r w:rsidR="00E477A5">
        <w:rPr>
          <w:sz w:val="18"/>
          <w:szCs w:val="18"/>
        </w:rPr>
        <w:t>is</w:t>
      </w:r>
      <w:r w:rsidRPr="7234286B">
        <w:rPr>
          <w:sz w:val="18"/>
          <w:szCs w:val="18"/>
        </w:rPr>
        <w:t xml:space="preserve"> 10 </w:t>
      </w:r>
      <w:r w:rsidR="00E477A5">
        <w:rPr>
          <w:sz w:val="18"/>
          <w:szCs w:val="18"/>
        </w:rPr>
        <w:t>%</w:t>
      </w:r>
      <w:r w:rsidRPr="7234286B">
        <w:rPr>
          <w:sz w:val="18"/>
          <w:szCs w:val="18"/>
        </w:rPr>
        <w:t xml:space="preserve"> available for a question and a score of 3 is applied to a Participant’s response, the Participant will be awarded 6 </w:t>
      </w:r>
      <w:r w:rsidR="00E477A5">
        <w:rPr>
          <w:sz w:val="18"/>
          <w:szCs w:val="18"/>
        </w:rPr>
        <w:t>%</w:t>
      </w:r>
      <w:r w:rsidRPr="7234286B">
        <w:rPr>
          <w:sz w:val="18"/>
          <w:szCs w:val="18"/>
        </w:rPr>
        <w:t xml:space="preserve"> for that response.</w:t>
      </w:r>
    </w:p>
    <w:p w14:paraId="4A5C1A32" w14:textId="65EBA14B" w:rsidR="00E11C95" w:rsidRDefault="00E11C95" w:rsidP="007255AE">
      <w:pPr>
        <w:rPr>
          <w:sz w:val="18"/>
          <w:szCs w:val="18"/>
        </w:rPr>
      </w:pPr>
    </w:p>
    <w:p w14:paraId="053B66EC" w14:textId="7C87D23E" w:rsidR="00DA5930" w:rsidRPr="00C071D6" w:rsidRDefault="7234286B" w:rsidP="00253D84">
      <w:pPr>
        <w:pStyle w:val="Heading1small"/>
        <w:numPr>
          <w:ilvl w:val="0"/>
          <w:numId w:val="0"/>
        </w:numPr>
        <w:spacing w:before="120"/>
        <w:contextualSpacing/>
        <w:rPr>
          <w:szCs w:val="20"/>
        </w:rPr>
      </w:pPr>
      <w:r>
        <w:br w:type="page"/>
      </w:r>
      <w:bookmarkStart w:id="9" w:name="_Toc57962829"/>
      <w:r w:rsidR="00A606A9" w:rsidRPr="00A606A9">
        <w:rPr>
          <w:sz w:val="24"/>
          <w:szCs w:val="20"/>
        </w:rPr>
        <w:lastRenderedPageBreak/>
        <w:t>Schedule 1</w:t>
      </w:r>
      <w:r w:rsidR="00A606A9">
        <w:rPr>
          <w:sz w:val="24"/>
          <w:szCs w:val="20"/>
        </w:rPr>
        <w:tab/>
      </w:r>
      <w:r w:rsidR="00A606A9" w:rsidRPr="00A606A9">
        <w:rPr>
          <w:sz w:val="24"/>
          <w:szCs w:val="20"/>
        </w:rPr>
        <w:t>Specification</w:t>
      </w:r>
      <w:bookmarkEnd w:id="9"/>
    </w:p>
    <w:p w14:paraId="2391292B" w14:textId="77777777" w:rsidR="00F5200A" w:rsidRDefault="00F5200A" w:rsidP="00F5200A">
      <w:pPr>
        <w:rPr>
          <w:sz w:val="18"/>
        </w:rPr>
      </w:pPr>
    </w:p>
    <w:p w14:paraId="022CB803" w14:textId="7BE374B9" w:rsidR="00D66192" w:rsidRPr="00F5200A" w:rsidRDefault="00F5200A" w:rsidP="00F5200A">
      <w:pPr>
        <w:keepLines w:val="0"/>
        <w:spacing w:before="0" w:after="240"/>
        <w:rPr>
          <w:rFonts w:ascii="Arial" w:hAnsi="Arial" w:cs="Arial"/>
          <w:i/>
          <w:iCs/>
          <w:sz w:val="18"/>
          <w:szCs w:val="18"/>
        </w:rPr>
      </w:pPr>
      <w:r w:rsidRPr="00F5200A">
        <w:rPr>
          <w:rFonts w:ascii="Arial" w:hAnsi="Arial" w:cs="Arial"/>
          <w:i/>
          <w:iCs/>
          <w:sz w:val="18"/>
          <w:szCs w:val="18"/>
        </w:rPr>
        <w:t>Ordnance Survey are looking to procure a combined E-tender and Contracts Management System for a 5 year fixed term</w:t>
      </w:r>
      <w:r w:rsidR="007C0E86">
        <w:rPr>
          <w:rFonts w:ascii="Arial" w:hAnsi="Arial" w:cs="Arial"/>
          <w:i/>
          <w:iCs/>
          <w:sz w:val="18"/>
          <w:szCs w:val="18"/>
        </w:rPr>
        <w:t xml:space="preserve"> with the following requirements.</w:t>
      </w:r>
    </w:p>
    <w:p w14:paraId="6B63163D" w14:textId="77777777" w:rsidR="00F5200A" w:rsidRDefault="00F5200A" w:rsidP="00E40507">
      <w:pPr>
        <w:pStyle w:val="paragraph"/>
        <w:spacing w:before="120" w:beforeAutospacing="0" w:after="0" w:afterAutospacing="0"/>
        <w:textAlignment w:val="baseline"/>
      </w:pPr>
    </w:p>
    <w:p w14:paraId="2A5487DA" w14:textId="77777777" w:rsidR="00A31769" w:rsidRDefault="00A31769" w:rsidP="00A31769">
      <w:pPr>
        <w:rPr>
          <w:rFonts w:asciiTheme="minorHAnsi" w:hAnsiTheme="minorHAnsi" w:cstheme="minorBidi"/>
          <w:b/>
          <w:bCs/>
          <w:u w:val="single"/>
        </w:rPr>
      </w:pPr>
      <w:r>
        <w:rPr>
          <w:rFonts w:asciiTheme="minorHAnsi" w:hAnsiTheme="minorHAnsi" w:cstheme="minorBidi"/>
          <w:b/>
          <w:bCs/>
          <w:u w:val="single"/>
        </w:rPr>
        <w:t>E-Tender System</w:t>
      </w:r>
    </w:p>
    <w:p w14:paraId="07EC8FAA" w14:textId="77777777" w:rsidR="00A31769" w:rsidRDefault="00A31769" w:rsidP="00A31769">
      <w:pPr>
        <w:rPr>
          <w:rFonts w:ascii="Arial" w:hAnsi="Arial" w:cs="Arial"/>
          <w:b/>
          <w:bCs/>
          <w:sz w:val="18"/>
          <w:szCs w:val="18"/>
          <w:u w:val="single"/>
        </w:rPr>
      </w:pPr>
      <w:r>
        <w:rPr>
          <w:rFonts w:ascii="Arial" w:hAnsi="Arial" w:cs="Arial"/>
          <w:b/>
          <w:bCs/>
          <w:sz w:val="18"/>
          <w:szCs w:val="18"/>
          <w:u w:val="single"/>
        </w:rPr>
        <w:t>Mandatory requirements</w:t>
      </w:r>
    </w:p>
    <w:p w14:paraId="19501B97" w14:textId="77777777" w:rsidR="00A31769" w:rsidRDefault="00A31769" w:rsidP="00A31769">
      <w:pPr>
        <w:rPr>
          <w:rFonts w:ascii="Arial" w:hAnsi="Arial" w:cs="Arial"/>
          <w:i/>
          <w:iCs/>
          <w:sz w:val="18"/>
          <w:szCs w:val="18"/>
        </w:rPr>
      </w:pPr>
    </w:p>
    <w:p w14:paraId="313F377D" w14:textId="77777777" w:rsidR="00A31769" w:rsidRPr="00014EF9" w:rsidRDefault="00A31769" w:rsidP="00A31769">
      <w:pPr>
        <w:pStyle w:val="ListParagraph"/>
        <w:keepLines w:val="0"/>
        <w:numPr>
          <w:ilvl w:val="0"/>
          <w:numId w:val="22"/>
        </w:numPr>
        <w:spacing w:before="0" w:after="240"/>
        <w:rPr>
          <w:rFonts w:ascii="Arial" w:hAnsi="Arial" w:cs="Arial"/>
          <w:i/>
          <w:iCs/>
          <w:sz w:val="18"/>
          <w:szCs w:val="18"/>
        </w:rPr>
      </w:pPr>
      <w:r>
        <w:rPr>
          <w:rFonts w:ascii="Arial" w:hAnsi="Arial" w:cs="Arial"/>
          <w:i/>
          <w:iCs/>
          <w:sz w:val="18"/>
          <w:szCs w:val="18"/>
        </w:rPr>
        <w:t>E-</w:t>
      </w:r>
      <w:r w:rsidRPr="5E8F6466">
        <w:rPr>
          <w:rFonts w:ascii="Arial" w:hAnsi="Arial" w:cs="Arial"/>
          <w:i/>
          <w:iCs/>
          <w:sz w:val="18"/>
          <w:szCs w:val="18"/>
        </w:rPr>
        <w:t>Tender management</w:t>
      </w:r>
    </w:p>
    <w:p w14:paraId="614082C3" w14:textId="77777777" w:rsidR="00A31769" w:rsidRDefault="00A31769" w:rsidP="00A31769">
      <w:pPr>
        <w:pStyle w:val="ListParagraph"/>
        <w:keepLines w:val="0"/>
        <w:numPr>
          <w:ilvl w:val="0"/>
          <w:numId w:val="22"/>
        </w:numPr>
        <w:spacing w:before="0" w:after="240"/>
        <w:rPr>
          <w:rFonts w:ascii="Arial" w:hAnsi="Arial" w:cs="Arial"/>
          <w:i/>
          <w:iCs/>
          <w:sz w:val="18"/>
          <w:szCs w:val="18"/>
        </w:rPr>
      </w:pPr>
      <w:r>
        <w:rPr>
          <w:rFonts w:ascii="Arial" w:hAnsi="Arial" w:cs="Arial"/>
          <w:i/>
          <w:iCs/>
          <w:sz w:val="18"/>
          <w:szCs w:val="18"/>
        </w:rPr>
        <w:t>Integration with GOV sites Find a Tender and Contracts Finder allowing publishing directly to both sites</w:t>
      </w:r>
    </w:p>
    <w:p w14:paraId="02E55034" w14:textId="77777777" w:rsidR="00A31769" w:rsidRPr="00A66589" w:rsidRDefault="00A31769" w:rsidP="00A31769">
      <w:pPr>
        <w:pStyle w:val="ListParagraph"/>
        <w:keepLines w:val="0"/>
        <w:numPr>
          <w:ilvl w:val="0"/>
          <w:numId w:val="22"/>
        </w:numPr>
        <w:spacing w:before="0" w:after="240"/>
        <w:rPr>
          <w:rFonts w:ascii="Arial" w:hAnsi="Arial" w:cs="Arial"/>
          <w:i/>
          <w:iCs/>
          <w:sz w:val="18"/>
          <w:szCs w:val="18"/>
        </w:rPr>
      </w:pPr>
      <w:r>
        <w:rPr>
          <w:rFonts w:ascii="Arial" w:hAnsi="Arial" w:cs="Arial"/>
          <w:i/>
          <w:iCs/>
          <w:sz w:val="18"/>
          <w:szCs w:val="18"/>
        </w:rPr>
        <w:t xml:space="preserve">Ability to cover the full options for procurement processes allowed by PCR’s </w:t>
      </w:r>
    </w:p>
    <w:p w14:paraId="32429ACE" w14:textId="77777777" w:rsidR="00A31769" w:rsidRDefault="00A31769" w:rsidP="00A31769">
      <w:pPr>
        <w:pStyle w:val="ListParagraph"/>
        <w:keepLines w:val="0"/>
        <w:numPr>
          <w:ilvl w:val="0"/>
          <w:numId w:val="22"/>
        </w:numPr>
        <w:spacing w:before="0" w:after="240"/>
        <w:rPr>
          <w:rFonts w:ascii="Arial" w:hAnsi="Arial" w:cs="Arial"/>
          <w:i/>
          <w:iCs/>
          <w:sz w:val="18"/>
          <w:szCs w:val="18"/>
        </w:rPr>
      </w:pPr>
      <w:r>
        <w:rPr>
          <w:rFonts w:ascii="Arial" w:hAnsi="Arial" w:cs="Arial"/>
          <w:i/>
          <w:iCs/>
          <w:sz w:val="18"/>
          <w:szCs w:val="18"/>
        </w:rPr>
        <w:t>Ability for Suppliers register and manage account</w:t>
      </w:r>
    </w:p>
    <w:p w14:paraId="4039A85B" w14:textId="77777777" w:rsidR="00A31769" w:rsidRDefault="00A31769" w:rsidP="00A31769">
      <w:pPr>
        <w:pStyle w:val="ListParagraph"/>
        <w:keepLines w:val="0"/>
        <w:numPr>
          <w:ilvl w:val="0"/>
          <w:numId w:val="22"/>
        </w:numPr>
        <w:spacing w:before="0" w:after="240"/>
        <w:rPr>
          <w:rFonts w:ascii="Arial" w:hAnsi="Arial" w:cs="Arial"/>
          <w:i/>
          <w:iCs/>
          <w:sz w:val="18"/>
          <w:szCs w:val="18"/>
        </w:rPr>
      </w:pPr>
      <w:r>
        <w:rPr>
          <w:rFonts w:ascii="Arial" w:hAnsi="Arial" w:cs="Arial"/>
          <w:i/>
          <w:iCs/>
          <w:sz w:val="18"/>
          <w:szCs w:val="18"/>
        </w:rPr>
        <w:t>Ability to conduct Quick quotes and RFI process through system</w:t>
      </w:r>
    </w:p>
    <w:p w14:paraId="7EFC7B87" w14:textId="77777777" w:rsidR="00A31769" w:rsidRDefault="00A31769" w:rsidP="00A31769">
      <w:pPr>
        <w:pStyle w:val="ListParagraph"/>
        <w:keepLines w:val="0"/>
        <w:numPr>
          <w:ilvl w:val="0"/>
          <w:numId w:val="22"/>
        </w:numPr>
        <w:spacing w:before="0" w:after="240"/>
        <w:rPr>
          <w:rFonts w:ascii="Arial" w:hAnsi="Arial" w:cs="Arial"/>
          <w:i/>
          <w:iCs/>
          <w:sz w:val="18"/>
          <w:szCs w:val="18"/>
        </w:rPr>
      </w:pPr>
      <w:r>
        <w:rPr>
          <w:rFonts w:ascii="Arial" w:hAnsi="Arial" w:cs="Arial"/>
          <w:i/>
          <w:iCs/>
          <w:sz w:val="18"/>
          <w:szCs w:val="18"/>
        </w:rPr>
        <w:t>Ability to create supplier lists within project to allow call-offs within framework</w:t>
      </w:r>
    </w:p>
    <w:p w14:paraId="371BED65" w14:textId="77777777" w:rsidR="00A31769" w:rsidRPr="00A66589" w:rsidRDefault="00A31769" w:rsidP="00A31769">
      <w:pPr>
        <w:pStyle w:val="ListParagraph"/>
        <w:keepLines w:val="0"/>
        <w:numPr>
          <w:ilvl w:val="0"/>
          <w:numId w:val="22"/>
        </w:numPr>
        <w:spacing w:before="0" w:after="240"/>
        <w:rPr>
          <w:rFonts w:ascii="Arial" w:hAnsi="Arial" w:cs="Arial"/>
          <w:i/>
          <w:iCs/>
          <w:sz w:val="18"/>
          <w:szCs w:val="18"/>
        </w:rPr>
      </w:pPr>
      <w:r>
        <w:rPr>
          <w:rFonts w:ascii="Arial" w:hAnsi="Arial" w:cs="Arial"/>
          <w:i/>
          <w:iCs/>
          <w:sz w:val="18"/>
          <w:szCs w:val="18"/>
        </w:rPr>
        <w:t>E-Evaluation – Ability to automate evaluation of responses by providing a summary of responses to questionnaires built in system</w:t>
      </w:r>
    </w:p>
    <w:p w14:paraId="456EFF34" w14:textId="77777777" w:rsidR="00A31769" w:rsidRDefault="00A31769" w:rsidP="00A31769">
      <w:pPr>
        <w:pStyle w:val="ListParagraph"/>
        <w:keepLines w:val="0"/>
        <w:numPr>
          <w:ilvl w:val="0"/>
          <w:numId w:val="22"/>
        </w:numPr>
        <w:spacing w:before="0" w:after="240"/>
        <w:rPr>
          <w:rFonts w:ascii="Arial" w:hAnsi="Arial" w:cs="Arial"/>
          <w:i/>
          <w:iCs/>
          <w:sz w:val="18"/>
          <w:szCs w:val="18"/>
        </w:rPr>
      </w:pPr>
      <w:r>
        <w:rPr>
          <w:rFonts w:ascii="Arial" w:hAnsi="Arial" w:cs="Arial"/>
          <w:i/>
          <w:iCs/>
          <w:sz w:val="18"/>
          <w:szCs w:val="18"/>
        </w:rPr>
        <w:t>Technical Support and Migration from current E-Tender system</w:t>
      </w:r>
    </w:p>
    <w:p w14:paraId="4E413A9E" w14:textId="77777777" w:rsidR="00A31769" w:rsidRDefault="00A31769" w:rsidP="00A31769">
      <w:pPr>
        <w:pStyle w:val="ListParagraph"/>
        <w:keepLines w:val="0"/>
        <w:numPr>
          <w:ilvl w:val="0"/>
          <w:numId w:val="22"/>
        </w:numPr>
        <w:spacing w:before="0" w:after="240"/>
        <w:rPr>
          <w:rFonts w:ascii="Arial" w:hAnsi="Arial" w:cs="Arial"/>
          <w:i/>
          <w:iCs/>
          <w:sz w:val="18"/>
          <w:szCs w:val="18"/>
        </w:rPr>
      </w:pPr>
      <w:r>
        <w:rPr>
          <w:rFonts w:ascii="Arial" w:hAnsi="Arial" w:cs="Arial"/>
          <w:i/>
          <w:iCs/>
          <w:sz w:val="18"/>
          <w:szCs w:val="18"/>
        </w:rPr>
        <w:t>Visual workflow of tender pipeline advising current position and future tasks</w:t>
      </w:r>
    </w:p>
    <w:p w14:paraId="3772993D" w14:textId="77777777" w:rsidR="00A31769" w:rsidRPr="00545262" w:rsidRDefault="00A31769" w:rsidP="00A31769">
      <w:pPr>
        <w:pStyle w:val="ListParagraph"/>
        <w:keepLines w:val="0"/>
        <w:numPr>
          <w:ilvl w:val="0"/>
          <w:numId w:val="22"/>
        </w:numPr>
        <w:spacing w:before="0" w:after="240"/>
        <w:rPr>
          <w:rFonts w:ascii="Arial" w:hAnsi="Arial" w:cs="Arial"/>
          <w:i/>
          <w:iCs/>
          <w:sz w:val="18"/>
          <w:szCs w:val="18"/>
        </w:rPr>
      </w:pPr>
      <w:r>
        <w:rPr>
          <w:rFonts w:ascii="Arial" w:hAnsi="Arial" w:cs="Arial"/>
          <w:i/>
          <w:iCs/>
          <w:sz w:val="18"/>
          <w:szCs w:val="18"/>
        </w:rPr>
        <w:t>Ability to create user groups with varying levels of role based access</w:t>
      </w:r>
    </w:p>
    <w:p w14:paraId="426D8AD5" w14:textId="77777777" w:rsidR="00A31769" w:rsidRDefault="00A31769" w:rsidP="00A31769">
      <w:pPr>
        <w:pStyle w:val="ListParagraph"/>
        <w:keepLines w:val="0"/>
        <w:numPr>
          <w:ilvl w:val="0"/>
          <w:numId w:val="22"/>
        </w:numPr>
        <w:spacing w:before="0" w:after="240"/>
        <w:rPr>
          <w:rFonts w:ascii="Arial" w:hAnsi="Arial" w:cs="Arial"/>
          <w:i/>
          <w:iCs/>
          <w:sz w:val="18"/>
          <w:szCs w:val="18"/>
        </w:rPr>
      </w:pPr>
      <w:r>
        <w:rPr>
          <w:rFonts w:ascii="Arial" w:hAnsi="Arial" w:cs="Arial"/>
          <w:i/>
          <w:iCs/>
          <w:sz w:val="18"/>
          <w:szCs w:val="18"/>
        </w:rPr>
        <w:t>Enterprise License – Unlimited license’s for all users across OS estate</w:t>
      </w:r>
    </w:p>
    <w:p w14:paraId="7F73E6C4" w14:textId="77777777" w:rsidR="00A31769" w:rsidRDefault="00A31769" w:rsidP="00A31769">
      <w:pPr>
        <w:pStyle w:val="ListParagraph"/>
        <w:keepLines w:val="0"/>
        <w:numPr>
          <w:ilvl w:val="0"/>
          <w:numId w:val="22"/>
        </w:numPr>
        <w:spacing w:before="0" w:after="240"/>
        <w:rPr>
          <w:rFonts w:ascii="Arial" w:hAnsi="Arial" w:cs="Arial"/>
          <w:i/>
          <w:iCs/>
          <w:sz w:val="18"/>
          <w:szCs w:val="18"/>
        </w:rPr>
      </w:pPr>
      <w:r>
        <w:rPr>
          <w:rFonts w:ascii="Arial" w:hAnsi="Arial" w:cs="Arial"/>
          <w:i/>
          <w:iCs/>
          <w:sz w:val="18"/>
          <w:szCs w:val="18"/>
        </w:rPr>
        <w:t>Integration with Contract Management System – Ability to pull project details across into CMS</w:t>
      </w:r>
    </w:p>
    <w:p w14:paraId="1C68E1CB" w14:textId="77777777" w:rsidR="00A31769" w:rsidRPr="005346D5" w:rsidRDefault="00A31769" w:rsidP="00A31769">
      <w:pPr>
        <w:pStyle w:val="ListParagraph"/>
        <w:keepLines w:val="0"/>
        <w:numPr>
          <w:ilvl w:val="0"/>
          <w:numId w:val="22"/>
        </w:numPr>
        <w:spacing w:before="0" w:after="240"/>
        <w:rPr>
          <w:rFonts w:ascii="Arial" w:hAnsi="Arial" w:cs="Arial"/>
          <w:i/>
          <w:iCs/>
          <w:sz w:val="18"/>
          <w:szCs w:val="18"/>
        </w:rPr>
      </w:pPr>
      <w:r w:rsidRPr="004F64FE">
        <w:rPr>
          <w:rFonts w:ascii="Arial" w:hAnsi="Arial" w:cs="Arial"/>
          <w:i/>
          <w:iCs/>
          <w:sz w:val="18"/>
          <w:szCs w:val="18"/>
        </w:rPr>
        <w:t>Single sign on process</w:t>
      </w:r>
    </w:p>
    <w:p w14:paraId="7EAAF47F" w14:textId="77777777" w:rsidR="00A31769" w:rsidRPr="00740E47" w:rsidRDefault="00A31769" w:rsidP="00A31769">
      <w:pPr>
        <w:pStyle w:val="ListParagraph"/>
        <w:keepLines w:val="0"/>
        <w:numPr>
          <w:ilvl w:val="0"/>
          <w:numId w:val="22"/>
        </w:numPr>
        <w:spacing w:before="0" w:after="240"/>
        <w:contextualSpacing w:val="0"/>
        <w:rPr>
          <w:rFonts w:ascii="Arial" w:hAnsi="Arial" w:cs="Arial"/>
          <w:i/>
          <w:iCs/>
          <w:sz w:val="18"/>
          <w:szCs w:val="18"/>
        </w:rPr>
      </w:pPr>
      <w:r w:rsidRPr="00740E47">
        <w:rPr>
          <w:rFonts w:ascii="Arial" w:hAnsi="Arial" w:cs="Arial"/>
          <w:i/>
          <w:iCs/>
          <w:sz w:val="18"/>
          <w:szCs w:val="18"/>
        </w:rPr>
        <w:t>Contract reference creation</w:t>
      </w:r>
      <w:r>
        <w:rPr>
          <w:rFonts w:ascii="Arial" w:hAnsi="Arial" w:cs="Arial"/>
          <w:i/>
          <w:iCs/>
          <w:sz w:val="18"/>
          <w:szCs w:val="18"/>
        </w:rPr>
        <w:t xml:space="preserve"> automation</w:t>
      </w:r>
    </w:p>
    <w:p w14:paraId="7F729E79" w14:textId="77777777" w:rsidR="00A31769" w:rsidRDefault="00A31769" w:rsidP="00A31769">
      <w:pPr>
        <w:rPr>
          <w:rFonts w:ascii="Arial" w:hAnsi="Arial" w:cs="Arial"/>
          <w:b/>
          <w:bCs/>
          <w:sz w:val="18"/>
          <w:szCs w:val="18"/>
          <w:u w:val="single"/>
        </w:rPr>
      </w:pPr>
      <w:r>
        <w:rPr>
          <w:rFonts w:ascii="Arial" w:hAnsi="Arial" w:cs="Arial"/>
          <w:b/>
          <w:bCs/>
          <w:sz w:val="18"/>
          <w:szCs w:val="18"/>
          <w:u w:val="single"/>
        </w:rPr>
        <w:t>Contract Management System</w:t>
      </w:r>
    </w:p>
    <w:p w14:paraId="6B368F5A" w14:textId="77777777" w:rsidR="00A31769" w:rsidRDefault="00A31769" w:rsidP="00A31769">
      <w:pPr>
        <w:rPr>
          <w:rFonts w:ascii="Arial" w:hAnsi="Arial" w:cs="Arial"/>
          <w:b/>
          <w:bCs/>
          <w:sz w:val="18"/>
          <w:szCs w:val="18"/>
          <w:u w:val="single"/>
        </w:rPr>
      </w:pPr>
      <w:r>
        <w:rPr>
          <w:rFonts w:ascii="Arial" w:hAnsi="Arial" w:cs="Arial"/>
          <w:b/>
          <w:bCs/>
          <w:sz w:val="18"/>
          <w:szCs w:val="18"/>
          <w:u w:val="single"/>
        </w:rPr>
        <w:t>Mandatory requirements</w:t>
      </w:r>
    </w:p>
    <w:p w14:paraId="2726523A" w14:textId="77777777" w:rsidR="00A31769" w:rsidRPr="004F64FE" w:rsidRDefault="00A31769" w:rsidP="00A31769">
      <w:pPr>
        <w:pStyle w:val="ListParagraph"/>
        <w:ind w:left="360"/>
        <w:rPr>
          <w:rFonts w:ascii="Arial" w:hAnsi="Arial" w:cs="Arial"/>
          <w:i/>
          <w:iCs/>
          <w:sz w:val="18"/>
          <w:szCs w:val="18"/>
        </w:rPr>
      </w:pPr>
    </w:p>
    <w:p w14:paraId="042D4F85" w14:textId="77777777" w:rsidR="00A31769" w:rsidRPr="004F64FE" w:rsidRDefault="00A31769" w:rsidP="00A31769">
      <w:pPr>
        <w:pStyle w:val="ListParagraph"/>
        <w:keepLines w:val="0"/>
        <w:numPr>
          <w:ilvl w:val="0"/>
          <w:numId w:val="22"/>
        </w:numPr>
        <w:spacing w:before="0" w:after="240"/>
        <w:rPr>
          <w:rFonts w:ascii="Arial" w:hAnsi="Arial" w:cs="Arial"/>
          <w:i/>
          <w:iCs/>
          <w:sz w:val="18"/>
          <w:szCs w:val="18"/>
        </w:rPr>
      </w:pPr>
      <w:r>
        <w:rPr>
          <w:rFonts w:ascii="Arial" w:hAnsi="Arial" w:cs="Arial"/>
          <w:i/>
          <w:iCs/>
          <w:sz w:val="18"/>
          <w:szCs w:val="18"/>
        </w:rPr>
        <w:t>Ability to c</w:t>
      </w:r>
      <w:r w:rsidRPr="004F64FE">
        <w:rPr>
          <w:rFonts w:ascii="Arial" w:hAnsi="Arial" w:cs="Arial"/>
          <w:i/>
          <w:iCs/>
          <w:sz w:val="18"/>
          <w:szCs w:val="18"/>
        </w:rPr>
        <w:t xml:space="preserve">reate a contract </w:t>
      </w:r>
      <w:r>
        <w:rPr>
          <w:rFonts w:ascii="Arial" w:hAnsi="Arial" w:cs="Arial"/>
          <w:i/>
          <w:iCs/>
          <w:sz w:val="18"/>
          <w:szCs w:val="18"/>
        </w:rPr>
        <w:t xml:space="preserve">record </w:t>
      </w:r>
      <w:r w:rsidRPr="004F64FE">
        <w:rPr>
          <w:rFonts w:ascii="Arial" w:hAnsi="Arial" w:cs="Arial"/>
          <w:i/>
          <w:iCs/>
          <w:sz w:val="18"/>
          <w:szCs w:val="18"/>
        </w:rPr>
        <w:t xml:space="preserve">from </w:t>
      </w:r>
      <w:r>
        <w:rPr>
          <w:rFonts w:ascii="Arial" w:hAnsi="Arial" w:cs="Arial"/>
          <w:i/>
          <w:iCs/>
          <w:sz w:val="18"/>
          <w:szCs w:val="18"/>
        </w:rPr>
        <w:t xml:space="preserve">a </w:t>
      </w:r>
      <w:r w:rsidRPr="004F64FE">
        <w:rPr>
          <w:rFonts w:ascii="Arial" w:hAnsi="Arial" w:cs="Arial"/>
          <w:i/>
          <w:iCs/>
          <w:sz w:val="18"/>
          <w:szCs w:val="18"/>
        </w:rPr>
        <w:t>tender</w:t>
      </w:r>
    </w:p>
    <w:p w14:paraId="595049A0" w14:textId="77777777" w:rsidR="00A31769" w:rsidRPr="004F64FE" w:rsidRDefault="00A31769" w:rsidP="00A31769">
      <w:pPr>
        <w:pStyle w:val="ListParagraph"/>
        <w:keepLines w:val="0"/>
        <w:numPr>
          <w:ilvl w:val="0"/>
          <w:numId w:val="22"/>
        </w:numPr>
        <w:spacing w:before="0" w:after="240"/>
        <w:rPr>
          <w:rFonts w:ascii="Arial" w:hAnsi="Arial" w:cs="Arial"/>
          <w:i/>
          <w:iCs/>
          <w:sz w:val="18"/>
          <w:szCs w:val="18"/>
        </w:rPr>
      </w:pPr>
      <w:r>
        <w:rPr>
          <w:rFonts w:ascii="Arial" w:hAnsi="Arial" w:cs="Arial"/>
          <w:i/>
          <w:iCs/>
          <w:sz w:val="18"/>
          <w:szCs w:val="18"/>
        </w:rPr>
        <w:t>Ability to a</w:t>
      </w:r>
      <w:r w:rsidRPr="004F64FE">
        <w:rPr>
          <w:rFonts w:ascii="Arial" w:hAnsi="Arial" w:cs="Arial"/>
          <w:i/>
          <w:iCs/>
          <w:sz w:val="18"/>
          <w:szCs w:val="18"/>
        </w:rPr>
        <w:t>dd manage and report on custom fields</w:t>
      </w:r>
    </w:p>
    <w:p w14:paraId="782574AF" w14:textId="77777777" w:rsidR="00A31769" w:rsidRPr="004F64FE" w:rsidRDefault="00A31769" w:rsidP="00A31769">
      <w:pPr>
        <w:pStyle w:val="ListParagraph"/>
        <w:keepLines w:val="0"/>
        <w:numPr>
          <w:ilvl w:val="0"/>
          <w:numId w:val="22"/>
        </w:numPr>
        <w:spacing w:before="0" w:after="240"/>
        <w:rPr>
          <w:rFonts w:ascii="Arial" w:hAnsi="Arial" w:cs="Arial"/>
          <w:i/>
          <w:iCs/>
          <w:sz w:val="18"/>
          <w:szCs w:val="18"/>
        </w:rPr>
      </w:pPr>
      <w:r>
        <w:rPr>
          <w:rFonts w:ascii="Arial" w:hAnsi="Arial" w:cs="Arial"/>
          <w:i/>
          <w:iCs/>
          <w:sz w:val="18"/>
          <w:szCs w:val="18"/>
        </w:rPr>
        <w:t>Ability to a</w:t>
      </w:r>
      <w:r w:rsidRPr="004F64FE">
        <w:rPr>
          <w:rFonts w:ascii="Arial" w:hAnsi="Arial" w:cs="Arial"/>
          <w:i/>
          <w:iCs/>
          <w:sz w:val="18"/>
          <w:szCs w:val="18"/>
        </w:rPr>
        <w:t xml:space="preserve">dd, schedule and manage </w:t>
      </w:r>
      <w:r>
        <w:rPr>
          <w:rFonts w:ascii="Arial" w:hAnsi="Arial" w:cs="Arial"/>
          <w:i/>
          <w:iCs/>
          <w:sz w:val="18"/>
          <w:szCs w:val="18"/>
        </w:rPr>
        <w:t xml:space="preserve">customisable </w:t>
      </w:r>
      <w:r w:rsidRPr="004F64FE">
        <w:rPr>
          <w:rFonts w:ascii="Arial" w:hAnsi="Arial" w:cs="Arial"/>
          <w:i/>
          <w:iCs/>
          <w:sz w:val="18"/>
          <w:szCs w:val="18"/>
        </w:rPr>
        <w:t>alerts for user groups, individuals and suppliers</w:t>
      </w:r>
    </w:p>
    <w:p w14:paraId="4FFA5D8D" w14:textId="77777777" w:rsidR="00A31769" w:rsidRPr="004F64FE" w:rsidRDefault="00A31769" w:rsidP="00A31769">
      <w:pPr>
        <w:pStyle w:val="ListParagraph"/>
        <w:keepLines w:val="0"/>
        <w:numPr>
          <w:ilvl w:val="0"/>
          <w:numId w:val="22"/>
        </w:numPr>
        <w:spacing w:before="0" w:after="240"/>
        <w:rPr>
          <w:rFonts w:ascii="Arial" w:hAnsi="Arial" w:cs="Arial"/>
          <w:i/>
          <w:iCs/>
          <w:sz w:val="18"/>
          <w:szCs w:val="18"/>
        </w:rPr>
      </w:pPr>
      <w:r w:rsidRPr="004F64FE">
        <w:rPr>
          <w:rFonts w:ascii="Arial" w:hAnsi="Arial" w:cs="Arial"/>
          <w:i/>
          <w:iCs/>
          <w:sz w:val="18"/>
          <w:szCs w:val="18"/>
        </w:rPr>
        <w:t>Document management – Ability for users and suppliers to manage documents</w:t>
      </w:r>
    </w:p>
    <w:p w14:paraId="52E3CD5A" w14:textId="77777777" w:rsidR="00A31769" w:rsidRDefault="00A31769" w:rsidP="00A31769">
      <w:pPr>
        <w:pStyle w:val="ListParagraph"/>
        <w:keepLines w:val="0"/>
        <w:numPr>
          <w:ilvl w:val="0"/>
          <w:numId w:val="22"/>
        </w:numPr>
        <w:spacing w:before="0" w:after="240"/>
        <w:rPr>
          <w:rFonts w:ascii="Arial" w:hAnsi="Arial" w:cs="Arial"/>
          <w:i/>
          <w:iCs/>
          <w:sz w:val="18"/>
          <w:szCs w:val="18"/>
        </w:rPr>
      </w:pPr>
      <w:r w:rsidRPr="004F64FE">
        <w:rPr>
          <w:rFonts w:ascii="Arial" w:hAnsi="Arial" w:cs="Arial"/>
          <w:i/>
          <w:iCs/>
          <w:sz w:val="18"/>
          <w:szCs w:val="18"/>
        </w:rPr>
        <w:t>KPI management – ability to assign actions and reminders and hold documentation relevant to KPI tracking</w:t>
      </w:r>
    </w:p>
    <w:p w14:paraId="0849DB74" w14:textId="77777777" w:rsidR="00A31769" w:rsidRPr="00FE0450" w:rsidRDefault="00A31769" w:rsidP="00A31769">
      <w:pPr>
        <w:pStyle w:val="ListParagraph"/>
        <w:keepLines w:val="0"/>
        <w:numPr>
          <w:ilvl w:val="0"/>
          <w:numId w:val="22"/>
        </w:numPr>
        <w:spacing w:before="0" w:after="240"/>
        <w:rPr>
          <w:rFonts w:ascii="Arial" w:hAnsi="Arial" w:cs="Arial"/>
          <w:i/>
          <w:iCs/>
          <w:sz w:val="18"/>
          <w:szCs w:val="18"/>
        </w:rPr>
      </w:pPr>
      <w:r w:rsidRPr="004F64FE">
        <w:rPr>
          <w:rFonts w:ascii="Arial" w:hAnsi="Arial" w:cs="Arial"/>
          <w:i/>
          <w:iCs/>
          <w:sz w:val="18"/>
          <w:szCs w:val="18"/>
        </w:rPr>
        <w:t>Single sign on process</w:t>
      </w:r>
    </w:p>
    <w:p w14:paraId="147497E2" w14:textId="77777777" w:rsidR="00A31769" w:rsidRDefault="00A31769" w:rsidP="00A31769">
      <w:pPr>
        <w:pStyle w:val="ListParagraph"/>
        <w:keepLines w:val="0"/>
        <w:numPr>
          <w:ilvl w:val="0"/>
          <w:numId w:val="21"/>
        </w:numPr>
        <w:spacing w:before="0" w:after="240"/>
        <w:rPr>
          <w:rFonts w:ascii="Arial" w:hAnsi="Arial" w:cs="Arial"/>
          <w:i/>
          <w:iCs/>
          <w:sz w:val="18"/>
          <w:szCs w:val="18"/>
        </w:rPr>
      </w:pPr>
      <w:r w:rsidRPr="5E8F6466">
        <w:rPr>
          <w:rFonts w:ascii="Arial" w:hAnsi="Arial" w:cs="Arial"/>
          <w:i/>
          <w:iCs/>
          <w:sz w:val="18"/>
          <w:szCs w:val="18"/>
        </w:rPr>
        <w:t>Contract and document repository</w:t>
      </w:r>
      <w:r>
        <w:rPr>
          <w:rFonts w:ascii="Arial" w:hAnsi="Arial" w:cs="Arial"/>
          <w:i/>
          <w:iCs/>
          <w:sz w:val="18"/>
          <w:szCs w:val="18"/>
        </w:rPr>
        <w:t xml:space="preserve"> </w:t>
      </w:r>
    </w:p>
    <w:p w14:paraId="57F3690E" w14:textId="77777777" w:rsidR="00A31769" w:rsidRDefault="00A31769" w:rsidP="00A31769">
      <w:pPr>
        <w:pStyle w:val="ListParagraph"/>
        <w:keepLines w:val="0"/>
        <w:numPr>
          <w:ilvl w:val="0"/>
          <w:numId w:val="21"/>
        </w:numPr>
        <w:spacing w:before="0" w:after="240"/>
        <w:rPr>
          <w:rFonts w:ascii="Arial" w:hAnsi="Arial" w:cs="Arial"/>
          <w:i/>
          <w:iCs/>
          <w:sz w:val="18"/>
          <w:szCs w:val="18"/>
        </w:rPr>
      </w:pPr>
      <w:r>
        <w:rPr>
          <w:rFonts w:ascii="Arial" w:hAnsi="Arial" w:cs="Arial"/>
          <w:i/>
          <w:iCs/>
          <w:sz w:val="18"/>
          <w:szCs w:val="18"/>
        </w:rPr>
        <w:t>Complete customisation of columns on contract register</w:t>
      </w:r>
    </w:p>
    <w:p w14:paraId="30122184" w14:textId="77777777" w:rsidR="00A31769" w:rsidRDefault="00A31769" w:rsidP="00A31769">
      <w:pPr>
        <w:pStyle w:val="ListParagraph"/>
        <w:keepLines w:val="0"/>
        <w:numPr>
          <w:ilvl w:val="0"/>
          <w:numId w:val="21"/>
        </w:numPr>
        <w:spacing w:before="0" w:after="240"/>
        <w:rPr>
          <w:rFonts w:ascii="Arial" w:hAnsi="Arial" w:cs="Arial"/>
          <w:i/>
          <w:iCs/>
          <w:sz w:val="18"/>
          <w:szCs w:val="18"/>
        </w:rPr>
      </w:pPr>
      <w:r>
        <w:rPr>
          <w:rFonts w:ascii="Arial" w:hAnsi="Arial" w:cs="Arial"/>
          <w:i/>
          <w:iCs/>
          <w:sz w:val="18"/>
          <w:szCs w:val="18"/>
        </w:rPr>
        <w:t>1GB per file size upload limit for both users and suppliers</w:t>
      </w:r>
    </w:p>
    <w:p w14:paraId="429CA037" w14:textId="77777777" w:rsidR="00A31769" w:rsidRPr="00944E45" w:rsidRDefault="00A31769" w:rsidP="00A31769">
      <w:pPr>
        <w:pStyle w:val="ListParagraph"/>
        <w:keepLines w:val="0"/>
        <w:numPr>
          <w:ilvl w:val="0"/>
          <w:numId w:val="21"/>
        </w:numPr>
        <w:spacing w:before="0" w:after="240"/>
        <w:rPr>
          <w:rFonts w:ascii="Arial" w:hAnsi="Arial" w:cs="Arial"/>
          <w:i/>
          <w:iCs/>
          <w:sz w:val="18"/>
          <w:szCs w:val="18"/>
        </w:rPr>
      </w:pPr>
      <w:r>
        <w:rPr>
          <w:rFonts w:ascii="Arial" w:hAnsi="Arial" w:cs="Arial"/>
          <w:i/>
          <w:iCs/>
          <w:sz w:val="18"/>
          <w:szCs w:val="18"/>
        </w:rPr>
        <w:t>Ability to edit existing contract records and add new ones without a tender process</w:t>
      </w:r>
    </w:p>
    <w:p w14:paraId="0DBB40F7" w14:textId="77777777" w:rsidR="00A31769" w:rsidRDefault="00A31769" w:rsidP="00A31769">
      <w:pPr>
        <w:pStyle w:val="ListParagraph"/>
        <w:keepLines w:val="0"/>
        <w:numPr>
          <w:ilvl w:val="0"/>
          <w:numId w:val="22"/>
        </w:numPr>
        <w:spacing w:before="0" w:after="240"/>
        <w:rPr>
          <w:rFonts w:ascii="Arial" w:hAnsi="Arial" w:cs="Arial"/>
          <w:i/>
          <w:iCs/>
          <w:sz w:val="18"/>
          <w:szCs w:val="18"/>
        </w:rPr>
      </w:pPr>
      <w:r>
        <w:rPr>
          <w:rFonts w:ascii="Arial" w:hAnsi="Arial" w:cs="Arial"/>
          <w:i/>
          <w:iCs/>
          <w:sz w:val="18"/>
          <w:szCs w:val="18"/>
        </w:rPr>
        <w:t>Technical Support and Implementation</w:t>
      </w:r>
    </w:p>
    <w:p w14:paraId="63B7F52E" w14:textId="77777777" w:rsidR="00A31769" w:rsidRDefault="00A31769" w:rsidP="00A31769">
      <w:pPr>
        <w:pStyle w:val="ListParagraph"/>
        <w:keepLines w:val="0"/>
        <w:numPr>
          <w:ilvl w:val="0"/>
          <w:numId w:val="22"/>
        </w:numPr>
        <w:spacing w:before="0" w:after="240"/>
        <w:rPr>
          <w:rFonts w:ascii="Arial" w:hAnsi="Arial" w:cs="Arial"/>
          <w:i/>
          <w:iCs/>
          <w:sz w:val="18"/>
          <w:szCs w:val="18"/>
        </w:rPr>
      </w:pPr>
      <w:r>
        <w:rPr>
          <w:rFonts w:ascii="Arial" w:hAnsi="Arial" w:cs="Arial"/>
          <w:i/>
          <w:iCs/>
          <w:sz w:val="18"/>
          <w:szCs w:val="18"/>
        </w:rPr>
        <w:t>Enterprise License – Unlimited license’s for all users across OS estate</w:t>
      </w:r>
    </w:p>
    <w:p w14:paraId="10FDF841" w14:textId="3EE2D2D7" w:rsidR="00A31769" w:rsidRPr="00A31769" w:rsidRDefault="00A31769" w:rsidP="00A31769">
      <w:pPr>
        <w:pStyle w:val="ListParagraph"/>
        <w:keepLines w:val="0"/>
        <w:numPr>
          <w:ilvl w:val="0"/>
          <w:numId w:val="22"/>
        </w:numPr>
        <w:spacing w:before="0" w:after="240"/>
        <w:rPr>
          <w:rFonts w:ascii="Arial" w:hAnsi="Arial" w:cs="Arial"/>
          <w:i/>
          <w:iCs/>
          <w:sz w:val="18"/>
          <w:szCs w:val="18"/>
        </w:rPr>
      </w:pPr>
      <w:r>
        <w:rPr>
          <w:rFonts w:ascii="Arial" w:hAnsi="Arial" w:cs="Arial"/>
          <w:i/>
          <w:iCs/>
          <w:sz w:val="18"/>
          <w:szCs w:val="18"/>
        </w:rPr>
        <w:t>No limit on Maximum number of contract records</w:t>
      </w:r>
    </w:p>
    <w:p w14:paraId="7A2992D4" w14:textId="77777777" w:rsidR="00A31769" w:rsidRDefault="00A31769" w:rsidP="00A31769">
      <w:pPr>
        <w:rPr>
          <w:rFonts w:ascii="Arial" w:hAnsi="Arial" w:cs="Arial"/>
          <w:i/>
          <w:iCs/>
          <w:sz w:val="18"/>
          <w:szCs w:val="18"/>
        </w:rPr>
      </w:pPr>
    </w:p>
    <w:p w14:paraId="27F2B837" w14:textId="77777777" w:rsidR="00A31769" w:rsidRDefault="00A31769" w:rsidP="00A31769">
      <w:pPr>
        <w:rPr>
          <w:rFonts w:ascii="Arial" w:hAnsi="Arial" w:cs="Arial"/>
          <w:b/>
          <w:bCs/>
          <w:sz w:val="18"/>
          <w:szCs w:val="18"/>
          <w:u w:val="single"/>
        </w:rPr>
      </w:pPr>
      <w:r>
        <w:rPr>
          <w:rFonts w:ascii="Arial" w:hAnsi="Arial" w:cs="Arial"/>
          <w:b/>
          <w:bCs/>
          <w:sz w:val="18"/>
          <w:szCs w:val="18"/>
          <w:u w:val="single"/>
        </w:rPr>
        <w:t>Desirable Requirements</w:t>
      </w:r>
    </w:p>
    <w:p w14:paraId="2591F0B8" w14:textId="77777777" w:rsidR="00A31769" w:rsidRDefault="00A31769" w:rsidP="00A31769">
      <w:pPr>
        <w:pStyle w:val="ListParagraph"/>
        <w:keepLines w:val="0"/>
        <w:numPr>
          <w:ilvl w:val="0"/>
          <w:numId w:val="21"/>
        </w:numPr>
        <w:spacing w:before="0" w:after="240"/>
        <w:rPr>
          <w:rFonts w:ascii="Arial" w:hAnsi="Arial" w:cs="Arial"/>
          <w:i/>
          <w:iCs/>
          <w:sz w:val="18"/>
          <w:szCs w:val="18"/>
        </w:rPr>
      </w:pPr>
      <w:r>
        <w:rPr>
          <w:rFonts w:ascii="Arial" w:hAnsi="Arial" w:cs="Arial"/>
          <w:i/>
          <w:iCs/>
          <w:sz w:val="18"/>
          <w:szCs w:val="18"/>
        </w:rPr>
        <w:t>Ability to export all data in a variety of file formats including Excel and PowerBI</w:t>
      </w:r>
    </w:p>
    <w:p w14:paraId="6ACC9B68" w14:textId="77777777" w:rsidR="00A31769" w:rsidRDefault="00A31769" w:rsidP="00A31769">
      <w:pPr>
        <w:pStyle w:val="ListParagraph"/>
        <w:keepLines w:val="0"/>
        <w:numPr>
          <w:ilvl w:val="0"/>
          <w:numId w:val="21"/>
        </w:numPr>
        <w:spacing w:before="0" w:after="240"/>
        <w:rPr>
          <w:rFonts w:ascii="Arial" w:hAnsi="Arial" w:cs="Arial"/>
          <w:i/>
          <w:iCs/>
          <w:sz w:val="18"/>
          <w:szCs w:val="18"/>
        </w:rPr>
      </w:pPr>
      <w:r>
        <w:rPr>
          <w:rFonts w:ascii="Arial" w:hAnsi="Arial" w:cs="Arial"/>
          <w:i/>
          <w:iCs/>
          <w:sz w:val="18"/>
          <w:szCs w:val="18"/>
        </w:rPr>
        <w:t>Dashboard and contract pipeline</w:t>
      </w:r>
    </w:p>
    <w:p w14:paraId="4672D972" w14:textId="77777777" w:rsidR="00A31769" w:rsidRPr="00A85E0C" w:rsidRDefault="00A31769" w:rsidP="00A31769">
      <w:pPr>
        <w:pStyle w:val="ListParagraph"/>
        <w:ind w:left="360"/>
        <w:rPr>
          <w:rFonts w:ascii="Arial" w:hAnsi="Arial" w:cs="Arial"/>
          <w:i/>
          <w:iCs/>
          <w:sz w:val="18"/>
          <w:szCs w:val="18"/>
        </w:rPr>
      </w:pPr>
    </w:p>
    <w:p w14:paraId="3F0CBD36" w14:textId="77777777" w:rsidR="00A31769" w:rsidRDefault="00A31769" w:rsidP="00A31769">
      <w:pPr>
        <w:rPr>
          <w:rFonts w:ascii="Arial" w:hAnsi="Arial" w:cs="Arial"/>
          <w:b/>
          <w:bCs/>
          <w:sz w:val="18"/>
          <w:szCs w:val="18"/>
          <w:u w:val="single"/>
        </w:rPr>
      </w:pPr>
      <w:r>
        <w:rPr>
          <w:rFonts w:ascii="Arial" w:hAnsi="Arial" w:cs="Arial"/>
          <w:b/>
          <w:bCs/>
          <w:sz w:val="18"/>
          <w:szCs w:val="18"/>
          <w:u w:val="single"/>
        </w:rPr>
        <w:t>Combined System Mandatory Requirements</w:t>
      </w:r>
    </w:p>
    <w:p w14:paraId="66C38F71" w14:textId="77777777" w:rsidR="00A31769" w:rsidRDefault="00A31769" w:rsidP="00A31769">
      <w:pPr>
        <w:pStyle w:val="ListParagraph"/>
        <w:keepLines w:val="0"/>
        <w:numPr>
          <w:ilvl w:val="0"/>
          <w:numId w:val="21"/>
        </w:numPr>
        <w:spacing w:before="0" w:after="240"/>
        <w:rPr>
          <w:rFonts w:ascii="Arial" w:hAnsi="Arial" w:cs="Arial"/>
          <w:i/>
          <w:iCs/>
          <w:sz w:val="18"/>
          <w:szCs w:val="18"/>
        </w:rPr>
      </w:pPr>
      <w:r w:rsidRPr="76D17004">
        <w:rPr>
          <w:rFonts w:ascii="Arial" w:hAnsi="Arial" w:cs="Arial"/>
          <w:i/>
          <w:iCs/>
          <w:sz w:val="18"/>
          <w:szCs w:val="18"/>
        </w:rPr>
        <w:t>Provider to have one of the following accreditations:</w:t>
      </w:r>
    </w:p>
    <w:p w14:paraId="7762BF2F" w14:textId="77777777" w:rsidR="00A31769" w:rsidRDefault="00A31769" w:rsidP="00A31769">
      <w:pPr>
        <w:pStyle w:val="ListParagraph"/>
        <w:keepLines w:val="0"/>
        <w:numPr>
          <w:ilvl w:val="1"/>
          <w:numId w:val="21"/>
        </w:numPr>
        <w:spacing w:before="0" w:after="240"/>
        <w:rPr>
          <w:rFonts w:ascii="Arial" w:hAnsi="Arial" w:cs="Arial"/>
          <w:i/>
          <w:iCs/>
          <w:sz w:val="18"/>
          <w:szCs w:val="18"/>
        </w:rPr>
      </w:pPr>
      <w:r w:rsidRPr="76D17004">
        <w:rPr>
          <w:rFonts w:ascii="Arial" w:hAnsi="Arial" w:cs="Arial"/>
          <w:i/>
          <w:iCs/>
          <w:sz w:val="18"/>
          <w:szCs w:val="18"/>
        </w:rPr>
        <w:t xml:space="preserve"> </w:t>
      </w:r>
      <w:r w:rsidRPr="00740E47">
        <w:rPr>
          <w:rFonts w:ascii="Arial" w:hAnsi="Arial" w:cs="Arial"/>
          <w:i/>
          <w:iCs/>
          <w:sz w:val="18"/>
          <w:szCs w:val="18"/>
        </w:rPr>
        <w:t>27001 certification</w:t>
      </w:r>
    </w:p>
    <w:p w14:paraId="224D65D0" w14:textId="77777777" w:rsidR="00A31769" w:rsidRDefault="00A31769" w:rsidP="00A31769">
      <w:pPr>
        <w:pStyle w:val="ListParagraph"/>
        <w:keepLines w:val="0"/>
        <w:numPr>
          <w:ilvl w:val="1"/>
          <w:numId w:val="21"/>
        </w:numPr>
        <w:spacing w:before="0" w:after="240"/>
        <w:rPr>
          <w:rFonts w:ascii="Arial" w:hAnsi="Arial" w:cs="Arial"/>
          <w:i/>
          <w:iCs/>
          <w:sz w:val="18"/>
          <w:szCs w:val="18"/>
        </w:rPr>
      </w:pPr>
      <w:r w:rsidRPr="76D17004">
        <w:rPr>
          <w:rFonts w:ascii="Arial" w:hAnsi="Arial" w:cs="Arial"/>
          <w:i/>
          <w:iCs/>
          <w:sz w:val="18"/>
          <w:szCs w:val="18"/>
        </w:rPr>
        <w:t>Cyber Essential accreditation</w:t>
      </w:r>
    </w:p>
    <w:p w14:paraId="0E479A3B" w14:textId="77777777" w:rsidR="00A31769" w:rsidRDefault="00A31769" w:rsidP="00A31769">
      <w:pPr>
        <w:pStyle w:val="ListParagraph"/>
        <w:keepLines w:val="0"/>
        <w:numPr>
          <w:ilvl w:val="1"/>
          <w:numId w:val="21"/>
        </w:numPr>
        <w:spacing w:before="0" w:after="240"/>
        <w:rPr>
          <w:rFonts w:ascii="Arial" w:hAnsi="Arial" w:cs="Arial"/>
          <w:i/>
          <w:iCs/>
          <w:sz w:val="18"/>
          <w:szCs w:val="18"/>
        </w:rPr>
      </w:pPr>
      <w:r w:rsidRPr="76D17004">
        <w:rPr>
          <w:rFonts w:ascii="Arial" w:hAnsi="Arial" w:cs="Arial"/>
          <w:i/>
          <w:iCs/>
          <w:sz w:val="18"/>
          <w:szCs w:val="18"/>
        </w:rPr>
        <w:t>SOC 2 certification</w:t>
      </w:r>
    </w:p>
    <w:p w14:paraId="6BF48FB7" w14:textId="406647A7" w:rsidR="00A31769" w:rsidRDefault="00A31769" w:rsidP="00A31769">
      <w:pPr>
        <w:pStyle w:val="ListParagraph"/>
        <w:keepLines w:val="0"/>
        <w:numPr>
          <w:ilvl w:val="0"/>
          <w:numId w:val="21"/>
        </w:numPr>
        <w:spacing w:before="0" w:after="240"/>
        <w:rPr>
          <w:rFonts w:ascii="Arial" w:hAnsi="Arial" w:cs="Arial"/>
          <w:i/>
          <w:iCs/>
          <w:sz w:val="18"/>
          <w:szCs w:val="18"/>
        </w:rPr>
      </w:pPr>
      <w:r w:rsidRPr="00414376">
        <w:rPr>
          <w:rFonts w:ascii="Arial" w:hAnsi="Arial" w:cs="Arial"/>
          <w:i/>
          <w:iCs/>
          <w:sz w:val="18"/>
          <w:szCs w:val="18"/>
        </w:rPr>
        <w:t>Document</w:t>
      </w:r>
      <w:r>
        <w:rPr>
          <w:rFonts w:ascii="Arial" w:hAnsi="Arial" w:cs="Arial"/>
          <w:i/>
          <w:iCs/>
          <w:sz w:val="18"/>
          <w:szCs w:val="18"/>
        </w:rPr>
        <w:t xml:space="preserve">s to </w:t>
      </w:r>
      <w:r w:rsidRPr="00414376">
        <w:rPr>
          <w:rFonts w:ascii="Arial" w:hAnsi="Arial" w:cs="Arial"/>
          <w:i/>
          <w:iCs/>
          <w:sz w:val="18"/>
          <w:szCs w:val="18"/>
        </w:rPr>
        <w:t xml:space="preserve">be </w:t>
      </w:r>
      <w:r>
        <w:rPr>
          <w:rFonts w:ascii="Arial" w:hAnsi="Arial" w:cs="Arial"/>
          <w:i/>
          <w:iCs/>
          <w:sz w:val="18"/>
          <w:szCs w:val="18"/>
        </w:rPr>
        <w:t xml:space="preserve">securely </w:t>
      </w:r>
      <w:r w:rsidRPr="00414376">
        <w:rPr>
          <w:rFonts w:ascii="Arial" w:hAnsi="Arial" w:cs="Arial"/>
          <w:i/>
          <w:iCs/>
          <w:sz w:val="18"/>
          <w:szCs w:val="18"/>
        </w:rPr>
        <w:t>encrypted in transit and at rest</w:t>
      </w:r>
    </w:p>
    <w:p w14:paraId="2ED7A7C3" w14:textId="0A82E818" w:rsidR="007C0E86" w:rsidRPr="00A85E0C" w:rsidRDefault="007C0E86" w:rsidP="00A31769">
      <w:pPr>
        <w:pStyle w:val="ListParagraph"/>
        <w:keepLines w:val="0"/>
        <w:numPr>
          <w:ilvl w:val="0"/>
          <w:numId w:val="21"/>
        </w:numPr>
        <w:spacing w:before="0" w:after="240"/>
        <w:rPr>
          <w:rFonts w:ascii="Arial" w:hAnsi="Arial" w:cs="Arial"/>
          <w:i/>
          <w:iCs/>
          <w:sz w:val="18"/>
          <w:szCs w:val="18"/>
        </w:rPr>
      </w:pPr>
      <w:r>
        <w:rPr>
          <w:rFonts w:ascii="Arial" w:hAnsi="Arial" w:cs="Arial"/>
          <w:i/>
          <w:iCs/>
          <w:sz w:val="18"/>
          <w:szCs w:val="18"/>
        </w:rPr>
        <w:t>Full Implementation of the system within 3 weeks of contract award</w:t>
      </w:r>
    </w:p>
    <w:p w14:paraId="203A47DC" w14:textId="77777777" w:rsidR="00A31769" w:rsidRPr="004369D5" w:rsidRDefault="00A31769" w:rsidP="00A31769">
      <w:pPr>
        <w:rPr>
          <w:rFonts w:ascii="Arial" w:hAnsi="Arial" w:cs="Arial"/>
          <w:b/>
          <w:bCs/>
          <w:sz w:val="18"/>
          <w:szCs w:val="18"/>
          <w:u w:val="single"/>
        </w:rPr>
      </w:pPr>
      <w:r w:rsidRPr="004369D5">
        <w:rPr>
          <w:rFonts w:ascii="Arial" w:hAnsi="Arial" w:cs="Arial"/>
          <w:b/>
          <w:bCs/>
          <w:sz w:val="18"/>
          <w:szCs w:val="18"/>
          <w:u w:val="single"/>
        </w:rPr>
        <w:t>Combined system Desirable requirements</w:t>
      </w:r>
    </w:p>
    <w:p w14:paraId="76E37772" w14:textId="77777777" w:rsidR="00A31769" w:rsidRPr="00CA1499" w:rsidRDefault="00A31769" w:rsidP="00A31769">
      <w:pPr>
        <w:pStyle w:val="ListParagraph"/>
        <w:keepLines w:val="0"/>
        <w:numPr>
          <w:ilvl w:val="0"/>
          <w:numId w:val="21"/>
        </w:numPr>
        <w:spacing w:before="0" w:after="240"/>
        <w:rPr>
          <w:rFonts w:ascii="Arial" w:hAnsi="Arial" w:cs="Arial"/>
          <w:i/>
          <w:iCs/>
          <w:sz w:val="18"/>
          <w:szCs w:val="18"/>
        </w:rPr>
      </w:pPr>
      <w:r w:rsidRPr="00CA1499">
        <w:rPr>
          <w:rFonts w:ascii="Arial" w:hAnsi="Arial" w:cs="Arial"/>
          <w:i/>
          <w:iCs/>
          <w:sz w:val="18"/>
          <w:szCs w:val="18"/>
        </w:rPr>
        <w:t>Ability to</w:t>
      </w:r>
      <w:r>
        <w:rPr>
          <w:rFonts w:ascii="Arial" w:hAnsi="Arial" w:cs="Arial"/>
          <w:i/>
          <w:iCs/>
          <w:sz w:val="18"/>
          <w:szCs w:val="18"/>
        </w:rPr>
        <w:t xml:space="preserve"> securely</w:t>
      </w:r>
      <w:r w:rsidRPr="00CA1499">
        <w:rPr>
          <w:rFonts w:ascii="Arial" w:hAnsi="Arial" w:cs="Arial"/>
          <w:i/>
          <w:iCs/>
          <w:sz w:val="18"/>
          <w:szCs w:val="18"/>
        </w:rPr>
        <w:t xml:space="preserve"> Integrate with D365 finance </w:t>
      </w:r>
      <w:r>
        <w:rPr>
          <w:rFonts w:ascii="Arial" w:hAnsi="Arial" w:cs="Arial"/>
          <w:i/>
          <w:iCs/>
          <w:sz w:val="18"/>
          <w:szCs w:val="18"/>
        </w:rPr>
        <w:t>(future requirement)</w:t>
      </w:r>
    </w:p>
    <w:p w14:paraId="0F6A36EB" w14:textId="77777777" w:rsidR="00A31769" w:rsidRDefault="00A31769" w:rsidP="00A31769">
      <w:pPr>
        <w:pStyle w:val="ListParagraph"/>
        <w:keepLines w:val="0"/>
        <w:numPr>
          <w:ilvl w:val="0"/>
          <w:numId w:val="21"/>
        </w:numPr>
        <w:spacing w:before="0" w:after="240"/>
        <w:rPr>
          <w:rFonts w:ascii="Arial" w:hAnsi="Arial" w:cs="Arial"/>
          <w:i/>
          <w:iCs/>
          <w:sz w:val="18"/>
          <w:szCs w:val="18"/>
        </w:rPr>
      </w:pPr>
      <w:r>
        <w:rPr>
          <w:rFonts w:ascii="Arial" w:hAnsi="Arial" w:cs="Arial"/>
          <w:i/>
          <w:iCs/>
          <w:sz w:val="18"/>
          <w:szCs w:val="18"/>
        </w:rPr>
        <w:t xml:space="preserve">Ability to have secure </w:t>
      </w:r>
      <w:r w:rsidRPr="00CA1499">
        <w:rPr>
          <w:rFonts w:ascii="Arial" w:hAnsi="Arial" w:cs="Arial"/>
          <w:i/>
          <w:iCs/>
          <w:sz w:val="18"/>
          <w:szCs w:val="18"/>
        </w:rPr>
        <w:t>Native integration with DocuSign</w:t>
      </w:r>
      <w:r>
        <w:rPr>
          <w:rFonts w:ascii="Arial" w:hAnsi="Arial" w:cs="Arial"/>
          <w:i/>
          <w:iCs/>
          <w:sz w:val="18"/>
          <w:szCs w:val="18"/>
        </w:rPr>
        <w:t xml:space="preserve"> (future requirement)</w:t>
      </w:r>
    </w:p>
    <w:p w14:paraId="78C99B6D" w14:textId="77777777" w:rsidR="00A31769" w:rsidRDefault="00A31769" w:rsidP="00A31769">
      <w:pPr>
        <w:pStyle w:val="ListParagraph"/>
        <w:keepLines w:val="0"/>
        <w:numPr>
          <w:ilvl w:val="0"/>
          <w:numId w:val="21"/>
        </w:numPr>
        <w:spacing w:before="0" w:after="240"/>
        <w:rPr>
          <w:rFonts w:ascii="Arial" w:hAnsi="Arial" w:cs="Arial"/>
          <w:i/>
          <w:iCs/>
          <w:sz w:val="18"/>
          <w:szCs w:val="18"/>
        </w:rPr>
      </w:pPr>
      <w:r>
        <w:rPr>
          <w:rFonts w:ascii="Arial" w:hAnsi="Arial" w:cs="Arial"/>
          <w:i/>
          <w:iCs/>
          <w:sz w:val="18"/>
          <w:szCs w:val="18"/>
        </w:rPr>
        <w:t>Project management features for projects that have no current contract or tender</w:t>
      </w:r>
    </w:p>
    <w:p w14:paraId="695C9E6E" w14:textId="77777777" w:rsidR="00A31769" w:rsidRDefault="00A31769" w:rsidP="00A31769">
      <w:pPr>
        <w:pStyle w:val="ListParagraph"/>
        <w:keepLines w:val="0"/>
        <w:numPr>
          <w:ilvl w:val="0"/>
          <w:numId w:val="21"/>
        </w:numPr>
        <w:spacing w:before="0" w:after="240"/>
        <w:rPr>
          <w:rFonts w:ascii="Arial" w:hAnsi="Arial" w:cs="Arial"/>
          <w:i/>
          <w:iCs/>
          <w:sz w:val="18"/>
          <w:szCs w:val="18"/>
        </w:rPr>
      </w:pPr>
      <w:r w:rsidRPr="76D17004">
        <w:rPr>
          <w:rFonts w:ascii="Arial" w:hAnsi="Arial" w:cs="Arial"/>
          <w:i/>
          <w:iCs/>
          <w:sz w:val="18"/>
          <w:szCs w:val="18"/>
        </w:rPr>
        <w:t>Appropriate SLAs and availability of system (downtimes etc) with a minimum requirement of remote support available Monday to Friday during usual business hours</w:t>
      </w:r>
    </w:p>
    <w:p w14:paraId="2136C94A" w14:textId="77777777" w:rsidR="00A31769" w:rsidRDefault="00A31769" w:rsidP="00A31769">
      <w:pPr>
        <w:pStyle w:val="ListParagraph"/>
        <w:keepLines w:val="0"/>
        <w:numPr>
          <w:ilvl w:val="0"/>
          <w:numId w:val="21"/>
        </w:numPr>
        <w:spacing w:before="0" w:after="240"/>
        <w:rPr>
          <w:rFonts w:ascii="Arial" w:hAnsi="Arial" w:cs="Arial"/>
          <w:i/>
          <w:iCs/>
          <w:sz w:val="18"/>
          <w:szCs w:val="18"/>
        </w:rPr>
      </w:pPr>
      <w:r w:rsidRPr="76D17004">
        <w:rPr>
          <w:rFonts w:ascii="Arial" w:hAnsi="Arial" w:cs="Arial"/>
          <w:i/>
          <w:iCs/>
          <w:sz w:val="18"/>
          <w:szCs w:val="18"/>
        </w:rPr>
        <w:lastRenderedPageBreak/>
        <w:t>Training package appropriate to support onboarding 15 people</w:t>
      </w:r>
    </w:p>
    <w:p w14:paraId="4DD4E1DE" w14:textId="77777777" w:rsidR="00A31769" w:rsidRPr="00FE0450" w:rsidRDefault="00A31769" w:rsidP="00A31769">
      <w:pPr>
        <w:rPr>
          <w:rFonts w:ascii="Arial" w:hAnsi="Arial" w:cs="Arial"/>
          <w:i/>
          <w:iCs/>
          <w:sz w:val="18"/>
          <w:szCs w:val="18"/>
        </w:rPr>
      </w:pPr>
    </w:p>
    <w:p w14:paraId="7AE9CE26" w14:textId="77777777" w:rsidR="00A31769" w:rsidRPr="000C4656" w:rsidRDefault="00A31769" w:rsidP="00A31769"/>
    <w:p w14:paraId="77540C0E" w14:textId="628BCCA4" w:rsidR="00D66192" w:rsidRDefault="00D66192" w:rsidP="0027696C">
      <w:pPr>
        <w:pStyle w:val="Manualpara"/>
      </w:pPr>
    </w:p>
    <w:p w14:paraId="272386E3" w14:textId="77777777" w:rsidR="00A96701" w:rsidRDefault="00A96701">
      <w:pPr>
        <w:keepLines w:val="0"/>
        <w:spacing w:before="0"/>
        <w:rPr>
          <w:b/>
          <w:sz w:val="24"/>
          <w:szCs w:val="24"/>
        </w:rPr>
      </w:pPr>
      <w:bookmarkStart w:id="10" w:name="_Toc34749648"/>
      <w:bookmarkStart w:id="11" w:name="_Toc57962830"/>
      <w:r>
        <w:rPr>
          <w:sz w:val="24"/>
          <w:szCs w:val="24"/>
        </w:rPr>
        <w:br w:type="page"/>
      </w:r>
    </w:p>
    <w:p w14:paraId="26BF08C4" w14:textId="6B4DEA54" w:rsidR="0027696C" w:rsidRPr="00C071D6" w:rsidRDefault="008C7DF6" w:rsidP="00C071D6">
      <w:pPr>
        <w:pStyle w:val="Heading1small"/>
        <w:numPr>
          <w:ilvl w:val="0"/>
          <w:numId w:val="0"/>
        </w:numPr>
        <w:rPr>
          <w:sz w:val="24"/>
          <w:szCs w:val="24"/>
        </w:rPr>
      </w:pPr>
      <w:r>
        <w:rPr>
          <w:sz w:val="24"/>
          <w:szCs w:val="24"/>
        </w:rPr>
        <w:lastRenderedPageBreak/>
        <w:t>A</w:t>
      </w:r>
      <w:r w:rsidR="0027696C" w:rsidRPr="00C071D6">
        <w:rPr>
          <w:sz w:val="24"/>
          <w:szCs w:val="24"/>
        </w:rPr>
        <w:t>ppendix 1</w:t>
      </w:r>
      <w:r w:rsidR="0027696C" w:rsidRPr="00C071D6">
        <w:rPr>
          <w:sz w:val="24"/>
          <w:szCs w:val="24"/>
        </w:rPr>
        <w:tab/>
        <w:t>Documentation</w:t>
      </w:r>
      <w:bookmarkEnd w:id="10"/>
      <w:bookmarkEnd w:id="11"/>
      <w:r w:rsidR="0027696C" w:rsidRPr="00C071D6">
        <w:rPr>
          <w:sz w:val="24"/>
          <w:szCs w:val="24"/>
        </w:rPr>
        <w:t xml:space="preserve"> </w:t>
      </w:r>
    </w:p>
    <w:p w14:paraId="09C0211F" w14:textId="77777777" w:rsidR="0027696C" w:rsidRDefault="0027696C" w:rsidP="008C7DF6">
      <w:pPr>
        <w:pStyle w:val="Manualheading2"/>
        <w:spacing w:before="120"/>
      </w:pPr>
    </w:p>
    <w:p w14:paraId="2AC3548A" w14:textId="17DAD09D" w:rsidR="0027696C" w:rsidRDefault="0027696C" w:rsidP="008C7DF6">
      <w:pPr>
        <w:pStyle w:val="Manualpara"/>
      </w:pPr>
      <w:r>
        <w:t xml:space="preserve">Please find attached the </w:t>
      </w:r>
      <w:r w:rsidR="00801C7D">
        <w:t>Tender</w:t>
      </w:r>
      <w:r>
        <w:t xml:space="preserve"> Documents. </w:t>
      </w:r>
    </w:p>
    <w:p w14:paraId="641BC904" w14:textId="77777777" w:rsidR="0027696C" w:rsidRDefault="0027696C" w:rsidP="00AE1C18">
      <w:pPr>
        <w:pStyle w:val="Manualpara"/>
        <w:numPr>
          <w:ilvl w:val="0"/>
          <w:numId w:val="9"/>
        </w:numPr>
      </w:pPr>
      <w:r>
        <w:t>Non-Canvassing Form</w:t>
      </w:r>
    </w:p>
    <w:p w14:paraId="18FB8D0D" w14:textId="77777777" w:rsidR="0027696C" w:rsidRDefault="0027696C" w:rsidP="00AE1C18">
      <w:pPr>
        <w:pStyle w:val="Manualpara"/>
        <w:numPr>
          <w:ilvl w:val="0"/>
          <w:numId w:val="9"/>
        </w:numPr>
      </w:pPr>
      <w:r>
        <w:t>FOIA Form</w:t>
      </w:r>
    </w:p>
    <w:p w14:paraId="055EE319" w14:textId="5D45C9C7" w:rsidR="0027696C" w:rsidRDefault="0027696C" w:rsidP="00AE1C18">
      <w:pPr>
        <w:pStyle w:val="Manualpara"/>
        <w:numPr>
          <w:ilvl w:val="0"/>
          <w:numId w:val="9"/>
        </w:numPr>
      </w:pPr>
      <w:r>
        <w:t>Part</w:t>
      </w:r>
      <w:r w:rsidR="00C071D6">
        <w:t>s 1 &amp; 2 - Governance</w:t>
      </w:r>
    </w:p>
    <w:p w14:paraId="0474F53C" w14:textId="77777777" w:rsidR="0027696C" w:rsidRDefault="0027696C" w:rsidP="00AE1C18">
      <w:pPr>
        <w:pStyle w:val="Manualpara"/>
        <w:numPr>
          <w:ilvl w:val="0"/>
          <w:numId w:val="9"/>
        </w:numPr>
      </w:pPr>
      <w:r>
        <w:t xml:space="preserve">Part 3 Technical </w:t>
      </w:r>
    </w:p>
    <w:p w14:paraId="15F0BA25" w14:textId="77777777" w:rsidR="0027696C" w:rsidRDefault="0027696C" w:rsidP="00AE1C18">
      <w:pPr>
        <w:pStyle w:val="Manualpara"/>
        <w:numPr>
          <w:ilvl w:val="0"/>
          <w:numId w:val="9"/>
        </w:numPr>
      </w:pPr>
      <w:r>
        <w:t>Part 4 Pricing</w:t>
      </w:r>
    </w:p>
    <w:p w14:paraId="5E89A25A" w14:textId="4BF3F1E7" w:rsidR="0027696C" w:rsidRDefault="0027696C" w:rsidP="00D00135">
      <w:pPr>
        <w:pStyle w:val="Manualpara"/>
        <w:numPr>
          <w:ilvl w:val="0"/>
          <w:numId w:val="9"/>
        </w:numPr>
      </w:pPr>
      <w:r>
        <w:t>Supplier GDPR Due Diligence Questions</w:t>
      </w:r>
    </w:p>
    <w:p w14:paraId="61264C42" w14:textId="77777777" w:rsidR="0027696C" w:rsidRDefault="0027696C" w:rsidP="008C7DF6">
      <w:pPr>
        <w:pStyle w:val="Manualpara"/>
        <w:ind w:left="720" w:firstLine="0"/>
      </w:pPr>
    </w:p>
    <w:p w14:paraId="15485998" w14:textId="5BD95CEB" w:rsidR="0027696C" w:rsidRDefault="0027696C" w:rsidP="008C7DF6">
      <w:pPr>
        <w:pStyle w:val="Manualpara"/>
      </w:pPr>
      <w:r>
        <w:t>All documents need to be completed and submitted</w:t>
      </w:r>
      <w:r w:rsidR="0027523E">
        <w:t>.</w:t>
      </w:r>
    </w:p>
    <w:p w14:paraId="0C9382C9" w14:textId="77777777" w:rsidR="0027696C" w:rsidRPr="0027696C" w:rsidRDefault="0027696C" w:rsidP="0027696C">
      <w:pPr>
        <w:pStyle w:val="Manualpara"/>
      </w:pPr>
    </w:p>
    <w:sectPr w:rsidR="0027696C" w:rsidRPr="0027696C" w:rsidSect="00E33F17">
      <w:type w:val="continuous"/>
      <w:pgSz w:w="11906" w:h="16838" w:code="9"/>
      <w:pgMar w:top="1304" w:right="707" w:bottom="1304" w:left="709"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CF02D" w14:textId="77777777" w:rsidR="00CE404D" w:rsidRDefault="00CE404D">
      <w:r>
        <w:separator/>
      </w:r>
    </w:p>
  </w:endnote>
  <w:endnote w:type="continuationSeparator" w:id="0">
    <w:p w14:paraId="240B4272" w14:textId="77777777" w:rsidR="00CE404D" w:rsidRDefault="00CE404D">
      <w:r>
        <w:continuationSeparator/>
      </w:r>
    </w:p>
  </w:endnote>
  <w:endnote w:type="continuationNotice" w:id="1">
    <w:p w14:paraId="3FCDA220" w14:textId="77777777" w:rsidR="00CE404D" w:rsidRDefault="00CE404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Source Sans Pro">
    <w:panose1 w:val="020B0503030403020204"/>
    <w:charset w:val="00"/>
    <w:family w:val="swiss"/>
    <w:pitch w:val="variable"/>
    <w:sig w:usb0="20000007" w:usb1="00000001" w:usb2="00000000" w:usb3="00000000" w:csb0="00000193"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ource Sans Pro Light">
    <w:panose1 w:val="020B0403030403020204"/>
    <w:charset w:val="00"/>
    <w:family w:val="swiss"/>
    <w:pitch w:val="variable"/>
    <w:sig w:usb0="20000007" w:usb1="0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05D3" w14:textId="77777777" w:rsidR="00250617" w:rsidRDefault="00250617" w:rsidP="00F02BB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8D35C60" w14:textId="77777777" w:rsidR="00250617" w:rsidRDefault="00250617" w:rsidP="00F02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8340" w14:textId="76EC6B53" w:rsidR="00250617" w:rsidRPr="00834F49" w:rsidRDefault="00250617" w:rsidP="00E05CF6">
    <w:pPr>
      <w:pStyle w:val="Footer"/>
      <w:tabs>
        <w:tab w:val="clear" w:pos="4153"/>
      </w:tabs>
      <w:spacing w:before="120"/>
      <w:jc w:val="left"/>
      <w:rPr>
        <w:sz w:val="18"/>
      </w:rPr>
    </w:pPr>
    <w:r>
      <w:rPr>
        <w:noProof/>
      </w:rPr>
      <w:drawing>
        <wp:anchor distT="0" distB="0" distL="114300" distR="114300" simplePos="0" relativeHeight="251657216" behindDoc="1" locked="0" layoutInCell="1" allowOverlap="1" wp14:anchorId="1394C4A1" wp14:editId="4D480F28">
          <wp:simplePos x="0" y="0"/>
          <wp:positionH relativeFrom="margin">
            <wp:posOffset>5000625</wp:posOffset>
          </wp:positionH>
          <wp:positionV relativeFrom="paragraph">
            <wp:posOffset>99696</wp:posOffset>
          </wp:positionV>
          <wp:extent cx="1720940" cy="4207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 Standard Logo Landscape RGB.png"/>
                  <pic:cNvPicPr/>
                </pic:nvPicPr>
                <pic:blipFill>
                  <a:blip r:embed="rId1">
                    <a:extLst>
                      <a:ext uri="{28A0092B-C50C-407E-A947-70E740481C1C}">
                        <a14:useLocalDpi xmlns:a14="http://schemas.microsoft.com/office/drawing/2010/main" val="0"/>
                      </a:ext>
                    </a:extLst>
                  </a:blip>
                  <a:stretch>
                    <a:fillRect/>
                  </a:stretch>
                </pic:blipFill>
                <pic:spPr>
                  <a:xfrm>
                    <a:off x="0" y="0"/>
                    <a:ext cx="1750129" cy="427917"/>
                  </a:xfrm>
                  <a:prstGeom prst="rect">
                    <a:avLst/>
                  </a:prstGeom>
                </pic:spPr>
              </pic:pic>
            </a:graphicData>
          </a:graphic>
          <wp14:sizeRelH relativeFrom="page">
            <wp14:pctWidth>0</wp14:pctWidth>
          </wp14:sizeRelH>
          <wp14:sizeRelV relativeFrom="page">
            <wp14:pctHeight>0</wp14:pctHeight>
          </wp14:sizeRelV>
        </wp:anchor>
      </w:drawing>
    </w:r>
    <w:r w:rsidRPr="35127233">
      <w:rPr>
        <w:noProof/>
        <w:sz w:val="18"/>
        <w:lang w:val="en-US"/>
      </w:rPr>
      <w:fldChar w:fldCharType="begin"/>
    </w:r>
    <w:r w:rsidRPr="35127233">
      <w:rPr>
        <w:noProof/>
        <w:sz w:val="18"/>
        <w:lang w:val="en-US"/>
      </w:rPr>
      <w:instrText xml:space="preserve"> STYLEREF  Title1  \* MERGEFORMAT </w:instrText>
    </w:r>
    <w:r w:rsidRPr="35127233">
      <w:rPr>
        <w:noProof/>
        <w:sz w:val="18"/>
        <w:lang w:val="en-US"/>
      </w:rPr>
      <w:fldChar w:fldCharType="separate"/>
    </w:r>
    <w:r w:rsidR="00D75823">
      <w:rPr>
        <w:noProof/>
        <w:sz w:val="18"/>
        <w:lang w:val="en-US"/>
      </w:rPr>
      <w:t>Invitation to Tender: Provision of E-Tender and Contract Management System</w:t>
    </w:r>
    <w:r w:rsidRPr="35127233">
      <w:rPr>
        <w:noProof/>
        <w:sz w:val="18"/>
        <w:lang w:val="en-US"/>
      </w:rPr>
      <w:fldChar w:fldCharType="end"/>
    </w:r>
    <w:r w:rsidRPr="35127233">
      <w:rPr>
        <w:noProof/>
        <w:sz w:val="18"/>
      </w:rPr>
      <w:t xml:space="preserve"> – Open Procedure</w:t>
    </w:r>
  </w:p>
  <w:p w14:paraId="0DB10E3D" w14:textId="62B0B0AC" w:rsidR="00250617" w:rsidRPr="00834F49" w:rsidRDefault="00250617" w:rsidP="00EF1709">
    <w:pPr>
      <w:pStyle w:val="Footer"/>
      <w:tabs>
        <w:tab w:val="clear" w:pos="4153"/>
        <w:tab w:val="left" w:pos="8480"/>
      </w:tabs>
      <w:jc w:val="left"/>
      <w:rPr>
        <w:sz w:val="18"/>
      </w:rPr>
    </w:pPr>
    <w:r w:rsidRPr="00834F49">
      <w:rPr>
        <w:sz w:val="18"/>
      </w:rPr>
      <w:t>© Ordnance Survey Limite</w:t>
    </w:r>
    <w:r w:rsidR="0027523E">
      <w:rPr>
        <w:sz w:val="18"/>
      </w:rPr>
      <w:t>d</w:t>
    </w:r>
    <w:r>
      <w:rPr>
        <w:sz w:val="18"/>
      </w:rPr>
      <w:tab/>
    </w:r>
  </w:p>
  <w:p w14:paraId="5C7BE16C" w14:textId="77777777" w:rsidR="00250617" w:rsidRPr="00834F49" w:rsidRDefault="00250617" w:rsidP="00E05CF6">
    <w:pPr>
      <w:pStyle w:val="Footer"/>
      <w:tabs>
        <w:tab w:val="clear" w:pos="4153"/>
      </w:tabs>
      <w:jc w:val="left"/>
      <w:rPr>
        <w:sz w:val="18"/>
      </w:rPr>
    </w:pPr>
    <w:r w:rsidRPr="00834F49">
      <w:rPr>
        <w:sz w:val="18"/>
      </w:rPr>
      <w:t xml:space="preserve">Page </w:t>
    </w:r>
    <w:r w:rsidRPr="00834F49">
      <w:rPr>
        <w:rStyle w:val="PageNumber"/>
        <w:rFonts w:ascii="Source Sans Pro" w:hAnsi="Source Sans Pro"/>
        <w:sz w:val="18"/>
      </w:rPr>
      <w:fldChar w:fldCharType="begin"/>
    </w:r>
    <w:r w:rsidRPr="00834F49">
      <w:rPr>
        <w:rStyle w:val="PageNumber"/>
        <w:rFonts w:ascii="Source Sans Pro" w:hAnsi="Source Sans Pro"/>
        <w:sz w:val="18"/>
      </w:rPr>
      <w:instrText xml:space="preserve"> PAGE </w:instrText>
    </w:r>
    <w:r w:rsidRPr="00834F49">
      <w:rPr>
        <w:rStyle w:val="PageNumber"/>
        <w:rFonts w:ascii="Source Sans Pro" w:hAnsi="Source Sans Pro"/>
        <w:sz w:val="18"/>
      </w:rPr>
      <w:fldChar w:fldCharType="separate"/>
    </w:r>
    <w:r w:rsidRPr="00834F49">
      <w:rPr>
        <w:rStyle w:val="PageNumber"/>
        <w:rFonts w:ascii="Source Sans Pro" w:hAnsi="Source Sans Pro"/>
        <w:noProof/>
        <w:sz w:val="18"/>
      </w:rPr>
      <w:t>3</w:t>
    </w:r>
    <w:r w:rsidRPr="00834F49">
      <w:rPr>
        <w:rStyle w:val="PageNumber"/>
        <w:rFonts w:ascii="Source Sans Pro" w:hAnsi="Source Sans Pro"/>
        <w:sz w:val="18"/>
      </w:rPr>
      <w:fldChar w:fldCharType="end"/>
    </w:r>
    <w:r w:rsidRPr="00834F49">
      <w:rPr>
        <w:rStyle w:val="PageNumber"/>
        <w:rFonts w:ascii="Source Sans Pro" w:hAnsi="Source Sans Pro" w:cs="Times New Roman"/>
        <w:sz w:val="18"/>
      </w:rPr>
      <w:t xml:space="preserve"> of </w:t>
    </w:r>
    <w:r w:rsidRPr="00834F49">
      <w:rPr>
        <w:rStyle w:val="PageNumber"/>
        <w:rFonts w:ascii="Source Sans Pro" w:hAnsi="Source Sans Pro"/>
        <w:sz w:val="18"/>
      </w:rPr>
      <w:fldChar w:fldCharType="begin"/>
    </w:r>
    <w:r w:rsidRPr="00834F49">
      <w:rPr>
        <w:rStyle w:val="PageNumber"/>
        <w:rFonts w:ascii="Source Sans Pro" w:hAnsi="Source Sans Pro"/>
        <w:sz w:val="18"/>
      </w:rPr>
      <w:instrText xml:space="preserve"> NUMPAGES </w:instrText>
    </w:r>
    <w:r w:rsidRPr="00834F49">
      <w:rPr>
        <w:rStyle w:val="PageNumber"/>
        <w:rFonts w:ascii="Source Sans Pro" w:hAnsi="Source Sans Pro"/>
        <w:sz w:val="18"/>
      </w:rPr>
      <w:fldChar w:fldCharType="separate"/>
    </w:r>
    <w:r w:rsidRPr="00834F49">
      <w:rPr>
        <w:rStyle w:val="PageNumber"/>
        <w:rFonts w:ascii="Source Sans Pro" w:hAnsi="Source Sans Pro"/>
        <w:noProof/>
        <w:sz w:val="18"/>
      </w:rPr>
      <w:t>3</w:t>
    </w:r>
    <w:r w:rsidRPr="00834F49">
      <w:rPr>
        <w:rStyle w:val="PageNumber"/>
        <w:rFonts w:ascii="Source Sans Pro" w:hAnsi="Source Sans Pro"/>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611E5" w14:textId="77777777" w:rsidR="00CE404D" w:rsidRDefault="00CE404D">
      <w:r>
        <w:separator/>
      </w:r>
    </w:p>
  </w:footnote>
  <w:footnote w:type="continuationSeparator" w:id="0">
    <w:p w14:paraId="282FE28C" w14:textId="77777777" w:rsidR="00CE404D" w:rsidRDefault="00CE404D">
      <w:r>
        <w:continuationSeparator/>
      </w:r>
    </w:p>
  </w:footnote>
  <w:footnote w:type="continuationNotice" w:id="1">
    <w:p w14:paraId="7C34B60E" w14:textId="77777777" w:rsidR="00CE404D" w:rsidRDefault="00CE404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8"/>
      <w:gridCol w:w="5265"/>
    </w:tblGrid>
    <w:tr w:rsidR="00250617" w14:paraId="559818C5" w14:textId="77777777" w:rsidTr="00A02275">
      <w:tc>
        <w:tcPr>
          <w:tcW w:w="5088" w:type="dxa"/>
          <w:vAlign w:val="center"/>
        </w:tcPr>
        <w:p w14:paraId="24C24721" w14:textId="3ADB987B" w:rsidR="00250617" w:rsidRPr="00D00135" w:rsidRDefault="00250617" w:rsidP="00D00135">
          <w:pPr>
            <w:pStyle w:val="Header"/>
            <w:jc w:val="left"/>
            <w:rPr>
              <w:highlight w:val="yellow"/>
            </w:rPr>
          </w:pPr>
          <w:r w:rsidRPr="00891B9F">
            <w:t xml:space="preserve">Contract Ref: </w:t>
          </w:r>
          <w:r w:rsidR="00D00135">
            <w:rPr>
              <w:rFonts w:ascii="Calibri" w:hAnsi="Calibri" w:cs="Calibri"/>
              <w:color w:val="000000"/>
              <w:sz w:val="22"/>
              <w:szCs w:val="22"/>
            </w:rPr>
            <w:t>OP2422.2022</w:t>
          </w:r>
        </w:p>
      </w:tc>
      <w:tc>
        <w:tcPr>
          <w:tcW w:w="5265" w:type="dxa"/>
          <w:vAlign w:val="center"/>
        </w:tcPr>
        <w:p w14:paraId="4C2F81EC" w14:textId="77777777" w:rsidR="00250617" w:rsidRDefault="00250617" w:rsidP="00E343A0">
          <w:pPr>
            <w:pStyle w:val="Header"/>
          </w:pPr>
          <w:r>
            <w:t>OFFICIAL – SENSITIVE - COMMERCIAL</w:t>
          </w:r>
        </w:p>
      </w:tc>
    </w:tr>
  </w:tbl>
  <w:p w14:paraId="46FB15D5" w14:textId="36E85596" w:rsidR="00250617" w:rsidRDefault="00250617" w:rsidP="00AF069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120" w:legacyIndent="432"/>
      <w:lvlJc w:val="left"/>
      <w:pPr>
        <w:ind w:left="432" w:hanging="432"/>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start w:val="1"/>
      <w:numFmt w:val="decimal"/>
      <w:pStyle w:val="Heading6"/>
      <w:lvlText w:val="%1.%2.%3.%4.%5.%6"/>
      <w:legacy w:legacy="1" w:legacySpace="120" w:legacyIndent="1152"/>
      <w:lvlJc w:val="left"/>
      <w:pPr>
        <w:ind w:left="1152" w:hanging="1152"/>
      </w:pPr>
    </w:lvl>
    <w:lvl w:ilvl="6">
      <w:start w:val="1"/>
      <w:numFmt w:val="decimal"/>
      <w:pStyle w:val="Heading7"/>
      <w:lvlText w:val="%1.%2.%3.%4.%5.%6.%7"/>
      <w:legacy w:legacy="1" w:legacySpace="120" w:legacyIndent="1296"/>
      <w:lvlJc w:val="left"/>
      <w:pPr>
        <w:ind w:left="1296" w:hanging="1296"/>
      </w:pPr>
    </w:lvl>
    <w:lvl w:ilvl="7">
      <w:start w:val="1"/>
      <w:numFmt w:val="decimal"/>
      <w:pStyle w:val="Heading8"/>
      <w:lvlText w:val="%1.%2.%3.%4.%5.%6.%7.%8"/>
      <w:legacy w:legacy="1" w:legacySpace="120" w:legacyIndent="1440"/>
      <w:lvlJc w:val="left"/>
      <w:pPr>
        <w:ind w:left="1440" w:hanging="1440"/>
      </w:pPr>
    </w:lvl>
    <w:lvl w:ilvl="8">
      <w:start w:val="1"/>
      <w:numFmt w:val="decimal"/>
      <w:pStyle w:val="Heading9"/>
      <w:lvlText w:val="%1.%2.%3.%4.%5.%6.%7.%8.%9"/>
      <w:legacy w:legacy="1" w:legacySpace="120" w:legacyIndent="1584"/>
      <w:lvlJc w:val="left"/>
      <w:pPr>
        <w:ind w:left="1584" w:hanging="1584"/>
      </w:pPr>
    </w:lvl>
  </w:abstractNum>
  <w:abstractNum w:abstractNumId="1" w15:restartNumberingAfterBreak="0">
    <w:nsid w:val="046F33F3"/>
    <w:multiLevelType w:val="hybridMultilevel"/>
    <w:tmpl w:val="505E905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31E1685"/>
    <w:multiLevelType w:val="multilevel"/>
    <w:tmpl w:val="F8522D5C"/>
    <w:lvl w:ilvl="0">
      <w:start w:val="1"/>
      <w:numFmt w:val="bullet"/>
      <w:pStyle w:val="Bulletsindent"/>
      <w:lvlText w:val=""/>
      <w:lvlJc w:val="left"/>
      <w:pPr>
        <w:tabs>
          <w:tab w:val="num" w:pos="425"/>
        </w:tabs>
        <w:ind w:left="425" w:firstLine="0"/>
      </w:pPr>
      <w:rPr>
        <w:rFonts w:ascii="Symbol" w:hAnsi="Symbol"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 w15:restartNumberingAfterBreak="0">
    <w:nsid w:val="168C217F"/>
    <w:multiLevelType w:val="hybridMultilevel"/>
    <w:tmpl w:val="6F34A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E11A40"/>
    <w:multiLevelType w:val="hybridMultilevel"/>
    <w:tmpl w:val="6CFC9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DF4203"/>
    <w:multiLevelType w:val="hybridMultilevel"/>
    <w:tmpl w:val="7D5CA6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CC542F8"/>
    <w:multiLevelType w:val="hybridMultilevel"/>
    <w:tmpl w:val="B4E8A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A6611F"/>
    <w:multiLevelType w:val="multilevel"/>
    <w:tmpl w:val="E7D8E38C"/>
    <w:lvl w:ilvl="0">
      <w:start w:val="1"/>
      <w:numFmt w:val="bullet"/>
      <w:pStyle w:val="Bullets"/>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8" w15:restartNumberingAfterBreak="0">
    <w:nsid w:val="35F5419E"/>
    <w:multiLevelType w:val="hybridMultilevel"/>
    <w:tmpl w:val="FFCE42AC"/>
    <w:lvl w:ilvl="0" w:tplc="7D7EE2A0">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ABA33CB"/>
    <w:multiLevelType w:val="multilevel"/>
    <w:tmpl w:val="A6885AA8"/>
    <w:lvl w:ilvl="0">
      <w:start w:val="1"/>
      <w:numFmt w:val="decimal"/>
      <w:pStyle w:val="Appendixheading"/>
      <w:lvlText w:val="Appendix %1"/>
      <w:lvlJc w:val="left"/>
      <w:pPr>
        <w:tabs>
          <w:tab w:val="num" w:pos="2268"/>
        </w:tabs>
        <w:ind w:left="2268" w:hanging="2268"/>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0" w15:restartNumberingAfterBreak="0">
    <w:nsid w:val="413E1928"/>
    <w:multiLevelType w:val="hybridMultilevel"/>
    <w:tmpl w:val="9D123A3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418D72AB"/>
    <w:multiLevelType w:val="hybridMultilevel"/>
    <w:tmpl w:val="89E211BC"/>
    <w:lvl w:ilvl="0" w:tplc="A7CA8910">
      <w:start w:val="4"/>
      <w:numFmt w:val="decimal"/>
      <w:lvlText w:val="%1."/>
      <w:lvlJc w:val="left"/>
      <w:pPr>
        <w:ind w:left="360" w:hanging="360"/>
      </w:pPr>
      <w:rPr>
        <w:rFonts w:hint="default"/>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A1F44F7"/>
    <w:multiLevelType w:val="multilevel"/>
    <w:tmpl w:val="D592CE8A"/>
    <w:styleLink w:val="NumbListFigure"/>
    <w:lvl w:ilvl="0">
      <w:start w:val="1"/>
      <w:numFmt w:val="decimal"/>
      <w:pStyle w:val="FigureTitle"/>
      <w:lvlText w:val="Figure %1:"/>
      <w:lvlJc w:val="left"/>
      <w:pPr>
        <w:tabs>
          <w:tab w:val="num" w:pos="737"/>
        </w:tabs>
        <w:ind w:left="737" w:hanging="737"/>
      </w:pPr>
      <w:rPr>
        <w:rFonts w:ascii="Gill Sans MT" w:hAnsi="Gill Sans MT"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18F31B6"/>
    <w:multiLevelType w:val="multilevel"/>
    <w:tmpl w:val="2318BAAE"/>
    <w:numStyleLink w:val="NumbListBullets"/>
  </w:abstractNum>
  <w:abstractNum w:abstractNumId="14" w15:restartNumberingAfterBreak="0">
    <w:nsid w:val="5731365F"/>
    <w:multiLevelType w:val="multilevel"/>
    <w:tmpl w:val="8DBCCF9E"/>
    <w:lvl w:ilvl="0">
      <w:start w:val="1"/>
      <w:numFmt w:val="lowerLetter"/>
      <w:pStyle w:val="Level5"/>
      <w:lvlText w:val="%1)"/>
      <w:lvlJc w:val="left"/>
      <w:pPr>
        <w:tabs>
          <w:tab w:val="num" w:pos="1418"/>
        </w:tabs>
        <w:ind w:left="1418" w:hanging="567"/>
      </w:pPr>
      <w:rPr>
        <w:rFonts w:hint="default"/>
      </w:rPr>
    </w:lvl>
    <w:lvl w:ilvl="1">
      <w:start w:val="1"/>
      <w:numFmt w:val="lowerRoman"/>
      <w:pStyle w:val="Level6"/>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5" w15:restartNumberingAfterBreak="0">
    <w:nsid w:val="5A832025"/>
    <w:multiLevelType w:val="hybridMultilevel"/>
    <w:tmpl w:val="0BC02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826456"/>
    <w:multiLevelType w:val="hybridMultilevel"/>
    <w:tmpl w:val="2D580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BC7AE2"/>
    <w:multiLevelType w:val="hybridMultilevel"/>
    <w:tmpl w:val="EE084C5A"/>
    <w:lvl w:ilvl="0" w:tplc="FFFFFFFF">
      <w:start w:val="1"/>
      <w:numFmt w:val="bullet"/>
      <w:lvlText w:val="•"/>
      <w:lvlJc w:val="left"/>
      <w:pPr>
        <w:ind w:left="360" w:hanging="360"/>
      </w:pPr>
      <w:rPr>
        <w:rFonts w:ascii="Arial" w:hAnsi="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70320E8A"/>
    <w:multiLevelType w:val="multilevel"/>
    <w:tmpl w:val="F2EA8C90"/>
    <w:lvl w:ilvl="0">
      <w:start w:val="1"/>
      <w:numFmt w:val="decimal"/>
      <w:pStyle w:val="Scheduleheading"/>
      <w:lvlText w:val="Schedule %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9" w15:restartNumberingAfterBreak="0">
    <w:nsid w:val="708E4B42"/>
    <w:multiLevelType w:val="multilevel"/>
    <w:tmpl w:val="2318BAAE"/>
    <w:styleLink w:val="NumbListBullets"/>
    <w:lvl w:ilvl="0">
      <w:start w:val="1"/>
      <w:numFmt w:val="bullet"/>
      <w:pStyle w:val="Bullet1"/>
      <w:lvlText w:val="•"/>
      <w:lvlJc w:val="left"/>
      <w:pPr>
        <w:tabs>
          <w:tab w:val="num" w:pos="340"/>
        </w:tabs>
        <w:ind w:left="340" w:hanging="340"/>
      </w:pPr>
      <w:rPr>
        <w:rFonts w:ascii="Calibri" w:hAnsi="Calibri" w:hint="default"/>
        <w:color w:val="000000" w:themeColor="text1"/>
      </w:rPr>
    </w:lvl>
    <w:lvl w:ilvl="1">
      <w:start w:val="1"/>
      <w:numFmt w:val="bullet"/>
      <w:pStyle w:val="Bullet2"/>
      <w:lvlText w:val="•"/>
      <w:lvlJc w:val="left"/>
      <w:pPr>
        <w:tabs>
          <w:tab w:val="num" w:pos="680"/>
        </w:tabs>
        <w:ind w:left="680" w:hanging="340"/>
      </w:pPr>
      <w:rPr>
        <w:rFonts w:ascii="Calibri" w:hAnsi="Calibri"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19A7B6F"/>
    <w:multiLevelType w:val="multilevel"/>
    <w:tmpl w:val="7F7661B2"/>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num w:numId="1" w16cid:durableId="2011715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2178702">
    <w:abstractNumId w:val="20"/>
  </w:num>
  <w:num w:numId="3" w16cid:durableId="2059739598">
    <w:abstractNumId w:val="2"/>
  </w:num>
  <w:num w:numId="4" w16cid:durableId="1044211089">
    <w:abstractNumId w:val="7"/>
  </w:num>
  <w:num w:numId="5" w16cid:durableId="2009598436">
    <w:abstractNumId w:val="18"/>
  </w:num>
  <w:num w:numId="6" w16cid:durableId="2105682590">
    <w:abstractNumId w:val="9"/>
  </w:num>
  <w:num w:numId="7" w16cid:durableId="1433818580">
    <w:abstractNumId w:val="14"/>
  </w:num>
  <w:num w:numId="8" w16cid:durableId="3132665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6821945">
    <w:abstractNumId w:val="15"/>
  </w:num>
  <w:num w:numId="10" w16cid:durableId="541866853">
    <w:abstractNumId w:val="19"/>
  </w:num>
  <w:num w:numId="11" w16cid:durableId="512837014">
    <w:abstractNumId w:val="13"/>
  </w:num>
  <w:num w:numId="12" w16cid:durableId="565381220">
    <w:abstractNumId w:val="12"/>
  </w:num>
  <w:num w:numId="13" w16cid:durableId="535578835">
    <w:abstractNumId w:val="1"/>
  </w:num>
  <w:num w:numId="14" w16cid:durableId="1316371715">
    <w:abstractNumId w:val="6"/>
  </w:num>
  <w:num w:numId="15" w16cid:durableId="1712076675">
    <w:abstractNumId w:val="4"/>
  </w:num>
  <w:num w:numId="16" w16cid:durableId="1608153096">
    <w:abstractNumId w:val="3"/>
  </w:num>
  <w:num w:numId="17" w16cid:durableId="703214154">
    <w:abstractNumId w:val="5"/>
  </w:num>
  <w:num w:numId="18" w16cid:durableId="1486435973">
    <w:abstractNumId w:val="16"/>
  </w:num>
  <w:num w:numId="19" w16cid:durableId="1514033475">
    <w:abstractNumId w:val="10"/>
  </w:num>
  <w:num w:numId="20" w16cid:durableId="1934783618">
    <w:abstractNumId w:val="11"/>
  </w:num>
  <w:num w:numId="21" w16cid:durableId="1381396976">
    <w:abstractNumId w:val="17"/>
  </w:num>
  <w:num w:numId="22" w16cid:durableId="147070918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0E"/>
    <w:rsid w:val="00004057"/>
    <w:rsid w:val="0000608A"/>
    <w:rsid w:val="0000663A"/>
    <w:rsid w:val="000075A6"/>
    <w:rsid w:val="0001042A"/>
    <w:rsid w:val="00011198"/>
    <w:rsid w:val="00016D31"/>
    <w:rsid w:val="00017F3A"/>
    <w:rsid w:val="00024C21"/>
    <w:rsid w:val="000261BA"/>
    <w:rsid w:val="0002763A"/>
    <w:rsid w:val="0003012F"/>
    <w:rsid w:val="0003090E"/>
    <w:rsid w:val="0003261D"/>
    <w:rsid w:val="00034F7B"/>
    <w:rsid w:val="000353EF"/>
    <w:rsid w:val="00040F46"/>
    <w:rsid w:val="000442E8"/>
    <w:rsid w:val="0004544A"/>
    <w:rsid w:val="0004544C"/>
    <w:rsid w:val="00047A2F"/>
    <w:rsid w:val="00052A96"/>
    <w:rsid w:val="00052C89"/>
    <w:rsid w:val="00052D85"/>
    <w:rsid w:val="00054EBB"/>
    <w:rsid w:val="0005686F"/>
    <w:rsid w:val="000573EF"/>
    <w:rsid w:val="00060F68"/>
    <w:rsid w:val="00062025"/>
    <w:rsid w:val="00064855"/>
    <w:rsid w:val="000706DF"/>
    <w:rsid w:val="00072E09"/>
    <w:rsid w:val="00073F24"/>
    <w:rsid w:val="000871FD"/>
    <w:rsid w:val="00087C48"/>
    <w:rsid w:val="00094D38"/>
    <w:rsid w:val="00095755"/>
    <w:rsid w:val="000A2B0D"/>
    <w:rsid w:val="000A6999"/>
    <w:rsid w:val="000B1965"/>
    <w:rsid w:val="000B1B40"/>
    <w:rsid w:val="000B2DB3"/>
    <w:rsid w:val="000B4EB3"/>
    <w:rsid w:val="000B52FC"/>
    <w:rsid w:val="000B58E5"/>
    <w:rsid w:val="000C1DE4"/>
    <w:rsid w:val="000C4CCB"/>
    <w:rsid w:val="000C5436"/>
    <w:rsid w:val="000D0DFE"/>
    <w:rsid w:val="000D0FAB"/>
    <w:rsid w:val="000D34FC"/>
    <w:rsid w:val="000D3609"/>
    <w:rsid w:val="000D558B"/>
    <w:rsid w:val="000D58AB"/>
    <w:rsid w:val="000D685F"/>
    <w:rsid w:val="000D6B88"/>
    <w:rsid w:val="000D7196"/>
    <w:rsid w:val="000D73B2"/>
    <w:rsid w:val="000D7ACA"/>
    <w:rsid w:val="000E0DA9"/>
    <w:rsid w:val="000E3814"/>
    <w:rsid w:val="000E3FE0"/>
    <w:rsid w:val="000E42AC"/>
    <w:rsid w:val="000E4EC5"/>
    <w:rsid w:val="000E5011"/>
    <w:rsid w:val="000E502F"/>
    <w:rsid w:val="000E5AEA"/>
    <w:rsid w:val="000E6674"/>
    <w:rsid w:val="000E7B93"/>
    <w:rsid w:val="000F2773"/>
    <w:rsid w:val="000F40A6"/>
    <w:rsid w:val="000F4D02"/>
    <w:rsid w:val="000F6789"/>
    <w:rsid w:val="000F7453"/>
    <w:rsid w:val="00103453"/>
    <w:rsid w:val="001040FC"/>
    <w:rsid w:val="00112E50"/>
    <w:rsid w:val="00114180"/>
    <w:rsid w:val="00114578"/>
    <w:rsid w:val="001145AA"/>
    <w:rsid w:val="001160E0"/>
    <w:rsid w:val="00120D43"/>
    <w:rsid w:val="00121075"/>
    <w:rsid w:val="00121A33"/>
    <w:rsid w:val="001258A5"/>
    <w:rsid w:val="00125E8C"/>
    <w:rsid w:val="00134684"/>
    <w:rsid w:val="001444C6"/>
    <w:rsid w:val="00162917"/>
    <w:rsid w:val="00164C86"/>
    <w:rsid w:val="00165FF6"/>
    <w:rsid w:val="00166C32"/>
    <w:rsid w:val="00167319"/>
    <w:rsid w:val="00171C9B"/>
    <w:rsid w:val="00171D10"/>
    <w:rsid w:val="00173DCD"/>
    <w:rsid w:val="00176E99"/>
    <w:rsid w:val="001812BD"/>
    <w:rsid w:val="0018388D"/>
    <w:rsid w:val="00184213"/>
    <w:rsid w:val="00186F3B"/>
    <w:rsid w:val="001945B9"/>
    <w:rsid w:val="001A3036"/>
    <w:rsid w:val="001A4EA5"/>
    <w:rsid w:val="001A614A"/>
    <w:rsid w:val="001A6740"/>
    <w:rsid w:val="001A6F0A"/>
    <w:rsid w:val="001A7445"/>
    <w:rsid w:val="001A7984"/>
    <w:rsid w:val="001B0BC1"/>
    <w:rsid w:val="001B0F3D"/>
    <w:rsid w:val="001B107A"/>
    <w:rsid w:val="001B1B75"/>
    <w:rsid w:val="001B2A56"/>
    <w:rsid w:val="001B2BD5"/>
    <w:rsid w:val="001B6963"/>
    <w:rsid w:val="001C0B2F"/>
    <w:rsid w:val="001C29A5"/>
    <w:rsid w:val="001C4C33"/>
    <w:rsid w:val="001D0393"/>
    <w:rsid w:val="001D256D"/>
    <w:rsid w:val="001D777D"/>
    <w:rsid w:val="001E0F5A"/>
    <w:rsid w:val="001E351E"/>
    <w:rsid w:val="001E381B"/>
    <w:rsid w:val="001E590A"/>
    <w:rsid w:val="001F2305"/>
    <w:rsid w:val="001F389B"/>
    <w:rsid w:val="001F6F9C"/>
    <w:rsid w:val="00201EA5"/>
    <w:rsid w:val="00202577"/>
    <w:rsid w:val="002046B1"/>
    <w:rsid w:val="00213CC1"/>
    <w:rsid w:val="0022165E"/>
    <w:rsid w:val="00223632"/>
    <w:rsid w:val="002319B9"/>
    <w:rsid w:val="00235EB3"/>
    <w:rsid w:val="00237B49"/>
    <w:rsid w:val="0024037B"/>
    <w:rsid w:val="002406EB"/>
    <w:rsid w:val="00250617"/>
    <w:rsid w:val="002523E5"/>
    <w:rsid w:val="00253D84"/>
    <w:rsid w:val="002616DB"/>
    <w:rsid w:val="002620F2"/>
    <w:rsid w:val="0026382A"/>
    <w:rsid w:val="00266E22"/>
    <w:rsid w:val="00272B53"/>
    <w:rsid w:val="002734FA"/>
    <w:rsid w:val="0027386E"/>
    <w:rsid w:val="00275023"/>
    <w:rsid w:val="0027523E"/>
    <w:rsid w:val="00275D19"/>
    <w:rsid w:val="0027696C"/>
    <w:rsid w:val="00280491"/>
    <w:rsid w:val="002857C2"/>
    <w:rsid w:val="00286E8F"/>
    <w:rsid w:val="00290CAE"/>
    <w:rsid w:val="00294297"/>
    <w:rsid w:val="00296505"/>
    <w:rsid w:val="00297427"/>
    <w:rsid w:val="002A0C26"/>
    <w:rsid w:val="002B48D8"/>
    <w:rsid w:val="002B4E61"/>
    <w:rsid w:val="002B5CC3"/>
    <w:rsid w:val="002B7F85"/>
    <w:rsid w:val="002C1783"/>
    <w:rsid w:val="002C4674"/>
    <w:rsid w:val="002C643A"/>
    <w:rsid w:val="002D10FA"/>
    <w:rsid w:val="002D183A"/>
    <w:rsid w:val="002D3C27"/>
    <w:rsid w:val="002E3653"/>
    <w:rsid w:val="002E4D20"/>
    <w:rsid w:val="002E6929"/>
    <w:rsid w:val="002F4F20"/>
    <w:rsid w:val="0030141F"/>
    <w:rsid w:val="003020F5"/>
    <w:rsid w:val="00306274"/>
    <w:rsid w:val="003063FD"/>
    <w:rsid w:val="00306561"/>
    <w:rsid w:val="00307332"/>
    <w:rsid w:val="00307ABA"/>
    <w:rsid w:val="00307F1A"/>
    <w:rsid w:val="003110DE"/>
    <w:rsid w:val="003110DF"/>
    <w:rsid w:val="00315F6E"/>
    <w:rsid w:val="00317098"/>
    <w:rsid w:val="003206C7"/>
    <w:rsid w:val="00321449"/>
    <w:rsid w:val="0032486A"/>
    <w:rsid w:val="00324D92"/>
    <w:rsid w:val="00325603"/>
    <w:rsid w:val="00342385"/>
    <w:rsid w:val="00342B15"/>
    <w:rsid w:val="00342F58"/>
    <w:rsid w:val="003435D4"/>
    <w:rsid w:val="00344433"/>
    <w:rsid w:val="0034727D"/>
    <w:rsid w:val="00350026"/>
    <w:rsid w:val="00351FDB"/>
    <w:rsid w:val="003534E2"/>
    <w:rsid w:val="00353CFF"/>
    <w:rsid w:val="00354161"/>
    <w:rsid w:val="00354742"/>
    <w:rsid w:val="00355609"/>
    <w:rsid w:val="003563BC"/>
    <w:rsid w:val="00360903"/>
    <w:rsid w:val="0036205F"/>
    <w:rsid w:val="00362E46"/>
    <w:rsid w:val="00372FB9"/>
    <w:rsid w:val="00374FA1"/>
    <w:rsid w:val="003766FE"/>
    <w:rsid w:val="00380FA8"/>
    <w:rsid w:val="00381D39"/>
    <w:rsid w:val="00384958"/>
    <w:rsid w:val="003854CC"/>
    <w:rsid w:val="003866EE"/>
    <w:rsid w:val="00386766"/>
    <w:rsid w:val="00390778"/>
    <w:rsid w:val="0039285B"/>
    <w:rsid w:val="003A2FDE"/>
    <w:rsid w:val="003A3DBF"/>
    <w:rsid w:val="003B30B9"/>
    <w:rsid w:val="003B36E1"/>
    <w:rsid w:val="003B3DD8"/>
    <w:rsid w:val="003B5CC7"/>
    <w:rsid w:val="003B5FA3"/>
    <w:rsid w:val="003C10F4"/>
    <w:rsid w:val="003C20E0"/>
    <w:rsid w:val="003C3622"/>
    <w:rsid w:val="003D2D51"/>
    <w:rsid w:val="003D5367"/>
    <w:rsid w:val="003F3AB3"/>
    <w:rsid w:val="00400827"/>
    <w:rsid w:val="0040129C"/>
    <w:rsid w:val="0040298C"/>
    <w:rsid w:val="0040334C"/>
    <w:rsid w:val="0040446D"/>
    <w:rsid w:val="004116D9"/>
    <w:rsid w:val="00412C6D"/>
    <w:rsid w:val="00421434"/>
    <w:rsid w:val="0042216C"/>
    <w:rsid w:val="004228E6"/>
    <w:rsid w:val="00423258"/>
    <w:rsid w:val="00423462"/>
    <w:rsid w:val="00426653"/>
    <w:rsid w:val="00430C2C"/>
    <w:rsid w:val="00435CE9"/>
    <w:rsid w:val="004400D9"/>
    <w:rsid w:val="00440827"/>
    <w:rsid w:val="00441AD9"/>
    <w:rsid w:val="00441DE2"/>
    <w:rsid w:val="00442810"/>
    <w:rsid w:val="00446CA1"/>
    <w:rsid w:val="0044765B"/>
    <w:rsid w:val="00454226"/>
    <w:rsid w:val="00454CBF"/>
    <w:rsid w:val="004567F1"/>
    <w:rsid w:val="00457741"/>
    <w:rsid w:val="004644C8"/>
    <w:rsid w:val="0046647B"/>
    <w:rsid w:val="00467B72"/>
    <w:rsid w:val="0047091B"/>
    <w:rsid w:val="00470E76"/>
    <w:rsid w:val="004771D1"/>
    <w:rsid w:val="00477DA1"/>
    <w:rsid w:val="00480B73"/>
    <w:rsid w:val="00481C11"/>
    <w:rsid w:val="00484684"/>
    <w:rsid w:val="004917FE"/>
    <w:rsid w:val="00491B88"/>
    <w:rsid w:val="00493877"/>
    <w:rsid w:val="00495D8A"/>
    <w:rsid w:val="0049603E"/>
    <w:rsid w:val="004974F8"/>
    <w:rsid w:val="00497E2D"/>
    <w:rsid w:val="004A7A6C"/>
    <w:rsid w:val="004B39DA"/>
    <w:rsid w:val="004B3DDE"/>
    <w:rsid w:val="004B5AE9"/>
    <w:rsid w:val="004B5E2C"/>
    <w:rsid w:val="004C50D4"/>
    <w:rsid w:val="004C63FC"/>
    <w:rsid w:val="004C692E"/>
    <w:rsid w:val="004C7F19"/>
    <w:rsid w:val="004D188B"/>
    <w:rsid w:val="004D4A2E"/>
    <w:rsid w:val="004D4D36"/>
    <w:rsid w:val="004D7DA2"/>
    <w:rsid w:val="004D7F5A"/>
    <w:rsid w:val="004E0B9C"/>
    <w:rsid w:val="004E1EE1"/>
    <w:rsid w:val="004E32A3"/>
    <w:rsid w:val="004E3B12"/>
    <w:rsid w:val="004E466D"/>
    <w:rsid w:val="004E55A7"/>
    <w:rsid w:val="004F3DDF"/>
    <w:rsid w:val="004F4779"/>
    <w:rsid w:val="004F6FBD"/>
    <w:rsid w:val="004F7493"/>
    <w:rsid w:val="00500CEE"/>
    <w:rsid w:val="00503816"/>
    <w:rsid w:val="0051208D"/>
    <w:rsid w:val="00512DBC"/>
    <w:rsid w:val="00513B24"/>
    <w:rsid w:val="00513EFE"/>
    <w:rsid w:val="00514907"/>
    <w:rsid w:val="00514F96"/>
    <w:rsid w:val="005171CD"/>
    <w:rsid w:val="0051766F"/>
    <w:rsid w:val="0052127C"/>
    <w:rsid w:val="00521C4C"/>
    <w:rsid w:val="00527F74"/>
    <w:rsid w:val="0053053C"/>
    <w:rsid w:val="0053222B"/>
    <w:rsid w:val="00532418"/>
    <w:rsid w:val="00532792"/>
    <w:rsid w:val="005334D7"/>
    <w:rsid w:val="0054304C"/>
    <w:rsid w:val="00543B84"/>
    <w:rsid w:val="00543C13"/>
    <w:rsid w:val="00553B2C"/>
    <w:rsid w:val="0055445C"/>
    <w:rsid w:val="00554746"/>
    <w:rsid w:val="005570E3"/>
    <w:rsid w:val="00557D48"/>
    <w:rsid w:val="005643DD"/>
    <w:rsid w:val="0056528C"/>
    <w:rsid w:val="00571C77"/>
    <w:rsid w:val="00571D2B"/>
    <w:rsid w:val="00572BBC"/>
    <w:rsid w:val="0057354D"/>
    <w:rsid w:val="00582ED9"/>
    <w:rsid w:val="00590202"/>
    <w:rsid w:val="00592595"/>
    <w:rsid w:val="00592E70"/>
    <w:rsid w:val="005947F8"/>
    <w:rsid w:val="00597A10"/>
    <w:rsid w:val="005A2EBF"/>
    <w:rsid w:val="005A3A79"/>
    <w:rsid w:val="005A3B25"/>
    <w:rsid w:val="005B2444"/>
    <w:rsid w:val="005D425F"/>
    <w:rsid w:val="005D4484"/>
    <w:rsid w:val="005D4D81"/>
    <w:rsid w:val="005D59A1"/>
    <w:rsid w:val="005D72D8"/>
    <w:rsid w:val="005D79A8"/>
    <w:rsid w:val="005E11E9"/>
    <w:rsid w:val="005E13DE"/>
    <w:rsid w:val="005E6BBE"/>
    <w:rsid w:val="005F0670"/>
    <w:rsid w:val="005F0AEB"/>
    <w:rsid w:val="005F0CDD"/>
    <w:rsid w:val="005F308C"/>
    <w:rsid w:val="005F3E60"/>
    <w:rsid w:val="0060062E"/>
    <w:rsid w:val="00602A4D"/>
    <w:rsid w:val="00602A78"/>
    <w:rsid w:val="00603543"/>
    <w:rsid w:val="00603544"/>
    <w:rsid w:val="00604C0E"/>
    <w:rsid w:val="0060586D"/>
    <w:rsid w:val="00614C00"/>
    <w:rsid w:val="00617D37"/>
    <w:rsid w:val="00620DD4"/>
    <w:rsid w:val="006213DB"/>
    <w:rsid w:val="00623377"/>
    <w:rsid w:val="00624D1C"/>
    <w:rsid w:val="00631CFA"/>
    <w:rsid w:val="00632235"/>
    <w:rsid w:val="006379DD"/>
    <w:rsid w:val="006411D7"/>
    <w:rsid w:val="00642736"/>
    <w:rsid w:val="00644BB7"/>
    <w:rsid w:val="00646745"/>
    <w:rsid w:val="0064685B"/>
    <w:rsid w:val="006565F3"/>
    <w:rsid w:val="0065683A"/>
    <w:rsid w:val="00657787"/>
    <w:rsid w:val="006605BC"/>
    <w:rsid w:val="00661A0A"/>
    <w:rsid w:val="00663DC5"/>
    <w:rsid w:val="00666718"/>
    <w:rsid w:val="00667721"/>
    <w:rsid w:val="00667C8A"/>
    <w:rsid w:val="00676B72"/>
    <w:rsid w:val="00677AFC"/>
    <w:rsid w:val="00684827"/>
    <w:rsid w:val="00684E6C"/>
    <w:rsid w:val="00692F01"/>
    <w:rsid w:val="006B2619"/>
    <w:rsid w:val="006B35B1"/>
    <w:rsid w:val="006B458B"/>
    <w:rsid w:val="006B5064"/>
    <w:rsid w:val="006B5762"/>
    <w:rsid w:val="006C2036"/>
    <w:rsid w:val="006C21C2"/>
    <w:rsid w:val="006C3CCC"/>
    <w:rsid w:val="006C6EA9"/>
    <w:rsid w:val="006E4BC3"/>
    <w:rsid w:val="006E7DEF"/>
    <w:rsid w:val="00702965"/>
    <w:rsid w:val="00702D4E"/>
    <w:rsid w:val="00703170"/>
    <w:rsid w:val="00705000"/>
    <w:rsid w:val="007131BD"/>
    <w:rsid w:val="00713A1F"/>
    <w:rsid w:val="00716B6D"/>
    <w:rsid w:val="0072153D"/>
    <w:rsid w:val="00721CE6"/>
    <w:rsid w:val="007255AE"/>
    <w:rsid w:val="00726ACF"/>
    <w:rsid w:val="0073257B"/>
    <w:rsid w:val="007331A1"/>
    <w:rsid w:val="00733FCE"/>
    <w:rsid w:val="00742CA9"/>
    <w:rsid w:val="00742F00"/>
    <w:rsid w:val="00746169"/>
    <w:rsid w:val="0074692F"/>
    <w:rsid w:val="007509E4"/>
    <w:rsid w:val="00751577"/>
    <w:rsid w:val="00751BC1"/>
    <w:rsid w:val="0075216C"/>
    <w:rsid w:val="00752236"/>
    <w:rsid w:val="00752497"/>
    <w:rsid w:val="00755869"/>
    <w:rsid w:val="00760B9E"/>
    <w:rsid w:val="007707EB"/>
    <w:rsid w:val="00782655"/>
    <w:rsid w:val="007851CE"/>
    <w:rsid w:val="00786F20"/>
    <w:rsid w:val="007918F5"/>
    <w:rsid w:val="00794C6C"/>
    <w:rsid w:val="00795BEF"/>
    <w:rsid w:val="007A3FAF"/>
    <w:rsid w:val="007B1E8E"/>
    <w:rsid w:val="007B2A0B"/>
    <w:rsid w:val="007B388E"/>
    <w:rsid w:val="007B72C9"/>
    <w:rsid w:val="007C0E86"/>
    <w:rsid w:val="007C4428"/>
    <w:rsid w:val="007C7A5B"/>
    <w:rsid w:val="007D0283"/>
    <w:rsid w:val="007D12F8"/>
    <w:rsid w:val="007D2C24"/>
    <w:rsid w:val="007D3EE2"/>
    <w:rsid w:val="007D4BCC"/>
    <w:rsid w:val="007D6683"/>
    <w:rsid w:val="007E0180"/>
    <w:rsid w:val="007E0DE0"/>
    <w:rsid w:val="007E7925"/>
    <w:rsid w:val="007F0214"/>
    <w:rsid w:val="007F11F9"/>
    <w:rsid w:val="00801C7D"/>
    <w:rsid w:val="008022D8"/>
    <w:rsid w:val="00810002"/>
    <w:rsid w:val="00812B6F"/>
    <w:rsid w:val="008140F2"/>
    <w:rsid w:val="00816DCE"/>
    <w:rsid w:val="00820BC2"/>
    <w:rsid w:val="0082224F"/>
    <w:rsid w:val="008249F4"/>
    <w:rsid w:val="00826278"/>
    <w:rsid w:val="00834F49"/>
    <w:rsid w:val="0084258D"/>
    <w:rsid w:val="00845A80"/>
    <w:rsid w:val="00845FD2"/>
    <w:rsid w:val="00850BA3"/>
    <w:rsid w:val="008521C5"/>
    <w:rsid w:val="008522E0"/>
    <w:rsid w:val="00855232"/>
    <w:rsid w:val="00856F78"/>
    <w:rsid w:val="00861F0B"/>
    <w:rsid w:val="008662B5"/>
    <w:rsid w:val="008667D9"/>
    <w:rsid w:val="00866FA8"/>
    <w:rsid w:val="0087215C"/>
    <w:rsid w:val="00874C4A"/>
    <w:rsid w:val="0087731C"/>
    <w:rsid w:val="0088096B"/>
    <w:rsid w:val="00884E5C"/>
    <w:rsid w:val="00891B9F"/>
    <w:rsid w:val="00892296"/>
    <w:rsid w:val="00892629"/>
    <w:rsid w:val="0089314A"/>
    <w:rsid w:val="008933C3"/>
    <w:rsid w:val="008971FA"/>
    <w:rsid w:val="008A7E24"/>
    <w:rsid w:val="008B5DF9"/>
    <w:rsid w:val="008B6BDB"/>
    <w:rsid w:val="008B7731"/>
    <w:rsid w:val="008C29BA"/>
    <w:rsid w:val="008C7DF6"/>
    <w:rsid w:val="008D063F"/>
    <w:rsid w:val="008D3EC3"/>
    <w:rsid w:val="008D4878"/>
    <w:rsid w:val="008E1226"/>
    <w:rsid w:val="008F12AC"/>
    <w:rsid w:val="008F3CC7"/>
    <w:rsid w:val="008F513E"/>
    <w:rsid w:val="00900D08"/>
    <w:rsid w:val="009016D2"/>
    <w:rsid w:val="009025DF"/>
    <w:rsid w:val="009076DB"/>
    <w:rsid w:val="00910FEE"/>
    <w:rsid w:val="0091119A"/>
    <w:rsid w:val="00911EC2"/>
    <w:rsid w:val="009147BE"/>
    <w:rsid w:val="00916632"/>
    <w:rsid w:val="00917752"/>
    <w:rsid w:val="00925433"/>
    <w:rsid w:val="00930FE2"/>
    <w:rsid w:val="009313C2"/>
    <w:rsid w:val="009325B2"/>
    <w:rsid w:val="00936CB8"/>
    <w:rsid w:val="0093777E"/>
    <w:rsid w:val="00940E2D"/>
    <w:rsid w:val="009464C1"/>
    <w:rsid w:val="00950096"/>
    <w:rsid w:val="009600CB"/>
    <w:rsid w:val="00961A92"/>
    <w:rsid w:val="009654B1"/>
    <w:rsid w:val="00965D03"/>
    <w:rsid w:val="00965D2F"/>
    <w:rsid w:val="00966FB9"/>
    <w:rsid w:val="00967249"/>
    <w:rsid w:val="00970503"/>
    <w:rsid w:val="00970AAA"/>
    <w:rsid w:val="00981B00"/>
    <w:rsid w:val="009831B4"/>
    <w:rsid w:val="0098354A"/>
    <w:rsid w:val="009847BA"/>
    <w:rsid w:val="00987199"/>
    <w:rsid w:val="00991408"/>
    <w:rsid w:val="00996C41"/>
    <w:rsid w:val="009A43C1"/>
    <w:rsid w:val="009A4E5D"/>
    <w:rsid w:val="009B0DD9"/>
    <w:rsid w:val="009B163F"/>
    <w:rsid w:val="009B49AA"/>
    <w:rsid w:val="009B683E"/>
    <w:rsid w:val="009B76DB"/>
    <w:rsid w:val="009C33CD"/>
    <w:rsid w:val="009C45BD"/>
    <w:rsid w:val="009C496A"/>
    <w:rsid w:val="009C52EB"/>
    <w:rsid w:val="009C57AA"/>
    <w:rsid w:val="009D3D76"/>
    <w:rsid w:val="009D6525"/>
    <w:rsid w:val="009E2B80"/>
    <w:rsid w:val="009E3696"/>
    <w:rsid w:val="009E3EAA"/>
    <w:rsid w:val="009F0C1D"/>
    <w:rsid w:val="009F17A5"/>
    <w:rsid w:val="009F1946"/>
    <w:rsid w:val="009F2F73"/>
    <w:rsid w:val="009F3C42"/>
    <w:rsid w:val="009F7CB1"/>
    <w:rsid w:val="00A02275"/>
    <w:rsid w:val="00A03262"/>
    <w:rsid w:val="00A03D5E"/>
    <w:rsid w:val="00A0619F"/>
    <w:rsid w:val="00A105C8"/>
    <w:rsid w:val="00A11252"/>
    <w:rsid w:val="00A11DD8"/>
    <w:rsid w:val="00A13A65"/>
    <w:rsid w:val="00A1577A"/>
    <w:rsid w:val="00A166D1"/>
    <w:rsid w:val="00A16986"/>
    <w:rsid w:val="00A223F8"/>
    <w:rsid w:val="00A22412"/>
    <w:rsid w:val="00A25E38"/>
    <w:rsid w:val="00A27F64"/>
    <w:rsid w:val="00A31769"/>
    <w:rsid w:val="00A32DE1"/>
    <w:rsid w:val="00A351F0"/>
    <w:rsid w:val="00A43249"/>
    <w:rsid w:val="00A43A1B"/>
    <w:rsid w:val="00A520E3"/>
    <w:rsid w:val="00A57227"/>
    <w:rsid w:val="00A606A9"/>
    <w:rsid w:val="00A61C3F"/>
    <w:rsid w:val="00A70252"/>
    <w:rsid w:val="00A71385"/>
    <w:rsid w:val="00A8069F"/>
    <w:rsid w:val="00A8252C"/>
    <w:rsid w:val="00A82951"/>
    <w:rsid w:val="00A833E8"/>
    <w:rsid w:val="00A85309"/>
    <w:rsid w:val="00A86232"/>
    <w:rsid w:val="00A86BC5"/>
    <w:rsid w:val="00A931D1"/>
    <w:rsid w:val="00A96701"/>
    <w:rsid w:val="00A96FF4"/>
    <w:rsid w:val="00A9729A"/>
    <w:rsid w:val="00A97395"/>
    <w:rsid w:val="00A97B81"/>
    <w:rsid w:val="00AA0713"/>
    <w:rsid w:val="00AA1EE7"/>
    <w:rsid w:val="00AA5220"/>
    <w:rsid w:val="00AA53D8"/>
    <w:rsid w:val="00AB3EB9"/>
    <w:rsid w:val="00AB6AD2"/>
    <w:rsid w:val="00AC4713"/>
    <w:rsid w:val="00AC503B"/>
    <w:rsid w:val="00AC5202"/>
    <w:rsid w:val="00AC6273"/>
    <w:rsid w:val="00AD659C"/>
    <w:rsid w:val="00AE00D9"/>
    <w:rsid w:val="00AE1022"/>
    <w:rsid w:val="00AE16F1"/>
    <w:rsid w:val="00AE1C18"/>
    <w:rsid w:val="00AE7C6F"/>
    <w:rsid w:val="00AF0697"/>
    <w:rsid w:val="00AF16D9"/>
    <w:rsid w:val="00AF281A"/>
    <w:rsid w:val="00AF41A7"/>
    <w:rsid w:val="00AF5712"/>
    <w:rsid w:val="00AF65DC"/>
    <w:rsid w:val="00B1618A"/>
    <w:rsid w:val="00B21190"/>
    <w:rsid w:val="00B21A10"/>
    <w:rsid w:val="00B266A2"/>
    <w:rsid w:val="00B35367"/>
    <w:rsid w:val="00B40EF5"/>
    <w:rsid w:val="00B4232D"/>
    <w:rsid w:val="00B43A04"/>
    <w:rsid w:val="00B60E78"/>
    <w:rsid w:val="00B6251D"/>
    <w:rsid w:val="00B651E0"/>
    <w:rsid w:val="00B65FB0"/>
    <w:rsid w:val="00B66226"/>
    <w:rsid w:val="00B67104"/>
    <w:rsid w:val="00B70F48"/>
    <w:rsid w:val="00B7553B"/>
    <w:rsid w:val="00B76BD5"/>
    <w:rsid w:val="00B9041D"/>
    <w:rsid w:val="00B908E7"/>
    <w:rsid w:val="00B921CA"/>
    <w:rsid w:val="00B92E9D"/>
    <w:rsid w:val="00B9399B"/>
    <w:rsid w:val="00B94417"/>
    <w:rsid w:val="00B94B85"/>
    <w:rsid w:val="00BA0094"/>
    <w:rsid w:val="00BA0ACE"/>
    <w:rsid w:val="00BA19E9"/>
    <w:rsid w:val="00BA60F5"/>
    <w:rsid w:val="00BA708F"/>
    <w:rsid w:val="00BA758B"/>
    <w:rsid w:val="00BB0B25"/>
    <w:rsid w:val="00BB160D"/>
    <w:rsid w:val="00BB3137"/>
    <w:rsid w:val="00BC03DC"/>
    <w:rsid w:val="00BD08A1"/>
    <w:rsid w:val="00BD5740"/>
    <w:rsid w:val="00BD6A15"/>
    <w:rsid w:val="00BE0D16"/>
    <w:rsid w:val="00BE1742"/>
    <w:rsid w:val="00BE503D"/>
    <w:rsid w:val="00BE5147"/>
    <w:rsid w:val="00BE651D"/>
    <w:rsid w:val="00BF10C2"/>
    <w:rsid w:val="00BF14DF"/>
    <w:rsid w:val="00BF7C97"/>
    <w:rsid w:val="00C00A1B"/>
    <w:rsid w:val="00C02391"/>
    <w:rsid w:val="00C049FE"/>
    <w:rsid w:val="00C05274"/>
    <w:rsid w:val="00C05FF0"/>
    <w:rsid w:val="00C071D6"/>
    <w:rsid w:val="00C11249"/>
    <w:rsid w:val="00C12E51"/>
    <w:rsid w:val="00C13EA6"/>
    <w:rsid w:val="00C14ACA"/>
    <w:rsid w:val="00C16110"/>
    <w:rsid w:val="00C20A0E"/>
    <w:rsid w:val="00C21DF7"/>
    <w:rsid w:val="00C23620"/>
    <w:rsid w:val="00C25434"/>
    <w:rsid w:val="00C274C7"/>
    <w:rsid w:val="00C30032"/>
    <w:rsid w:val="00C4264F"/>
    <w:rsid w:val="00C42888"/>
    <w:rsid w:val="00C43020"/>
    <w:rsid w:val="00C4310D"/>
    <w:rsid w:val="00C43F5A"/>
    <w:rsid w:val="00C45011"/>
    <w:rsid w:val="00C46F5E"/>
    <w:rsid w:val="00C52F16"/>
    <w:rsid w:val="00C5444E"/>
    <w:rsid w:val="00C54D8D"/>
    <w:rsid w:val="00C608CE"/>
    <w:rsid w:val="00C674AD"/>
    <w:rsid w:val="00C817B6"/>
    <w:rsid w:val="00C82489"/>
    <w:rsid w:val="00C83D41"/>
    <w:rsid w:val="00C85B41"/>
    <w:rsid w:val="00C8767B"/>
    <w:rsid w:val="00C91170"/>
    <w:rsid w:val="00C9577E"/>
    <w:rsid w:val="00C95D28"/>
    <w:rsid w:val="00CA6590"/>
    <w:rsid w:val="00CB3977"/>
    <w:rsid w:val="00CB5EAF"/>
    <w:rsid w:val="00CB6E9A"/>
    <w:rsid w:val="00CC152B"/>
    <w:rsid w:val="00CC2211"/>
    <w:rsid w:val="00CD4094"/>
    <w:rsid w:val="00CD595C"/>
    <w:rsid w:val="00CD6024"/>
    <w:rsid w:val="00CD6B22"/>
    <w:rsid w:val="00CE2A4C"/>
    <w:rsid w:val="00CE404D"/>
    <w:rsid w:val="00CE5531"/>
    <w:rsid w:val="00CE76BF"/>
    <w:rsid w:val="00CF1B47"/>
    <w:rsid w:val="00CF3521"/>
    <w:rsid w:val="00CF4D83"/>
    <w:rsid w:val="00CF54CD"/>
    <w:rsid w:val="00CF6291"/>
    <w:rsid w:val="00CF6544"/>
    <w:rsid w:val="00CF7C38"/>
    <w:rsid w:val="00D00135"/>
    <w:rsid w:val="00D043C7"/>
    <w:rsid w:val="00D0661C"/>
    <w:rsid w:val="00D1403D"/>
    <w:rsid w:val="00D15326"/>
    <w:rsid w:val="00D17CEF"/>
    <w:rsid w:val="00D2186C"/>
    <w:rsid w:val="00D25DE7"/>
    <w:rsid w:val="00D30727"/>
    <w:rsid w:val="00D30D31"/>
    <w:rsid w:val="00D3753B"/>
    <w:rsid w:val="00D40FE0"/>
    <w:rsid w:val="00D429CB"/>
    <w:rsid w:val="00D45A2B"/>
    <w:rsid w:val="00D50A45"/>
    <w:rsid w:val="00D52647"/>
    <w:rsid w:val="00D549CC"/>
    <w:rsid w:val="00D57D5E"/>
    <w:rsid w:val="00D625EB"/>
    <w:rsid w:val="00D66192"/>
    <w:rsid w:val="00D75823"/>
    <w:rsid w:val="00D76BC0"/>
    <w:rsid w:val="00D774A3"/>
    <w:rsid w:val="00D82907"/>
    <w:rsid w:val="00D845F5"/>
    <w:rsid w:val="00D8780C"/>
    <w:rsid w:val="00D9150E"/>
    <w:rsid w:val="00D93CEF"/>
    <w:rsid w:val="00DA0EEC"/>
    <w:rsid w:val="00DA1089"/>
    <w:rsid w:val="00DA1372"/>
    <w:rsid w:val="00DA3B7F"/>
    <w:rsid w:val="00DA5930"/>
    <w:rsid w:val="00DA6DAE"/>
    <w:rsid w:val="00DA73EA"/>
    <w:rsid w:val="00DA7AE0"/>
    <w:rsid w:val="00DB05F5"/>
    <w:rsid w:val="00DB1738"/>
    <w:rsid w:val="00DB397F"/>
    <w:rsid w:val="00DB5588"/>
    <w:rsid w:val="00DB60F5"/>
    <w:rsid w:val="00DC136C"/>
    <w:rsid w:val="00DC2102"/>
    <w:rsid w:val="00DC4335"/>
    <w:rsid w:val="00DD0195"/>
    <w:rsid w:val="00DD3A28"/>
    <w:rsid w:val="00DD3EE4"/>
    <w:rsid w:val="00DD6024"/>
    <w:rsid w:val="00DD6A9A"/>
    <w:rsid w:val="00DE04DC"/>
    <w:rsid w:val="00DE426D"/>
    <w:rsid w:val="00DF1117"/>
    <w:rsid w:val="00DF1324"/>
    <w:rsid w:val="00DF16F2"/>
    <w:rsid w:val="00DF2666"/>
    <w:rsid w:val="00DF2DB9"/>
    <w:rsid w:val="00DF41DC"/>
    <w:rsid w:val="00DF54B3"/>
    <w:rsid w:val="00E0171C"/>
    <w:rsid w:val="00E0367E"/>
    <w:rsid w:val="00E03B71"/>
    <w:rsid w:val="00E05075"/>
    <w:rsid w:val="00E05CF6"/>
    <w:rsid w:val="00E07ABC"/>
    <w:rsid w:val="00E1028C"/>
    <w:rsid w:val="00E11C95"/>
    <w:rsid w:val="00E14645"/>
    <w:rsid w:val="00E154CD"/>
    <w:rsid w:val="00E24288"/>
    <w:rsid w:val="00E27A2C"/>
    <w:rsid w:val="00E33F17"/>
    <w:rsid w:val="00E343A0"/>
    <w:rsid w:val="00E40507"/>
    <w:rsid w:val="00E41E6A"/>
    <w:rsid w:val="00E423E3"/>
    <w:rsid w:val="00E471E2"/>
    <w:rsid w:val="00E4733D"/>
    <w:rsid w:val="00E477A5"/>
    <w:rsid w:val="00E50E8D"/>
    <w:rsid w:val="00E5399D"/>
    <w:rsid w:val="00E5422C"/>
    <w:rsid w:val="00E54784"/>
    <w:rsid w:val="00E56A42"/>
    <w:rsid w:val="00E56D6B"/>
    <w:rsid w:val="00E60763"/>
    <w:rsid w:val="00E6259E"/>
    <w:rsid w:val="00E62CC7"/>
    <w:rsid w:val="00E631D8"/>
    <w:rsid w:val="00E65229"/>
    <w:rsid w:val="00E70E4C"/>
    <w:rsid w:val="00E7261C"/>
    <w:rsid w:val="00E72901"/>
    <w:rsid w:val="00E72BE5"/>
    <w:rsid w:val="00E74925"/>
    <w:rsid w:val="00E75666"/>
    <w:rsid w:val="00E80111"/>
    <w:rsid w:val="00E80F18"/>
    <w:rsid w:val="00E83BB9"/>
    <w:rsid w:val="00E864A3"/>
    <w:rsid w:val="00E86C8C"/>
    <w:rsid w:val="00E87278"/>
    <w:rsid w:val="00E874F3"/>
    <w:rsid w:val="00E920AD"/>
    <w:rsid w:val="00E93E01"/>
    <w:rsid w:val="00E97C51"/>
    <w:rsid w:val="00EA18A8"/>
    <w:rsid w:val="00EA21FC"/>
    <w:rsid w:val="00EA67A0"/>
    <w:rsid w:val="00EA7A90"/>
    <w:rsid w:val="00EC2B49"/>
    <w:rsid w:val="00EC505B"/>
    <w:rsid w:val="00EC5147"/>
    <w:rsid w:val="00EC5745"/>
    <w:rsid w:val="00ED005E"/>
    <w:rsid w:val="00ED2123"/>
    <w:rsid w:val="00ED264D"/>
    <w:rsid w:val="00ED269C"/>
    <w:rsid w:val="00ED3825"/>
    <w:rsid w:val="00EE2557"/>
    <w:rsid w:val="00EE489A"/>
    <w:rsid w:val="00EE598A"/>
    <w:rsid w:val="00EF0D5A"/>
    <w:rsid w:val="00EF1709"/>
    <w:rsid w:val="00EF39E1"/>
    <w:rsid w:val="00EF40C6"/>
    <w:rsid w:val="00EF47E5"/>
    <w:rsid w:val="00EF5123"/>
    <w:rsid w:val="00F0081D"/>
    <w:rsid w:val="00F02072"/>
    <w:rsid w:val="00F02BBD"/>
    <w:rsid w:val="00F02D3B"/>
    <w:rsid w:val="00F108D2"/>
    <w:rsid w:val="00F10C0C"/>
    <w:rsid w:val="00F16E39"/>
    <w:rsid w:val="00F21214"/>
    <w:rsid w:val="00F21F6F"/>
    <w:rsid w:val="00F237EF"/>
    <w:rsid w:val="00F27987"/>
    <w:rsid w:val="00F313A6"/>
    <w:rsid w:val="00F3516A"/>
    <w:rsid w:val="00F5200A"/>
    <w:rsid w:val="00F54AAC"/>
    <w:rsid w:val="00F5707B"/>
    <w:rsid w:val="00F57B89"/>
    <w:rsid w:val="00F6078E"/>
    <w:rsid w:val="00F62920"/>
    <w:rsid w:val="00F6478D"/>
    <w:rsid w:val="00F67A1C"/>
    <w:rsid w:val="00F67BBC"/>
    <w:rsid w:val="00F724CC"/>
    <w:rsid w:val="00F755D7"/>
    <w:rsid w:val="00F80FD7"/>
    <w:rsid w:val="00F8503A"/>
    <w:rsid w:val="00F95430"/>
    <w:rsid w:val="00F97DBA"/>
    <w:rsid w:val="00FA3C3E"/>
    <w:rsid w:val="00FA3E61"/>
    <w:rsid w:val="00FA4978"/>
    <w:rsid w:val="00FB3396"/>
    <w:rsid w:val="00FB4651"/>
    <w:rsid w:val="00FB49B6"/>
    <w:rsid w:val="00FB6B4B"/>
    <w:rsid w:val="00FB748D"/>
    <w:rsid w:val="00FB7A49"/>
    <w:rsid w:val="00FC172D"/>
    <w:rsid w:val="00FC225B"/>
    <w:rsid w:val="00FC2F0F"/>
    <w:rsid w:val="00FC4221"/>
    <w:rsid w:val="00FC687F"/>
    <w:rsid w:val="00FD0AC7"/>
    <w:rsid w:val="00FD2277"/>
    <w:rsid w:val="00FD3586"/>
    <w:rsid w:val="00FD3834"/>
    <w:rsid w:val="00FD3C4F"/>
    <w:rsid w:val="00FD5B87"/>
    <w:rsid w:val="00FE0B00"/>
    <w:rsid w:val="00FE1E95"/>
    <w:rsid w:val="00FE247A"/>
    <w:rsid w:val="00FE3553"/>
    <w:rsid w:val="00FE594F"/>
    <w:rsid w:val="00FE5B98"/>
    <w:rsid w:val="00FF5825"/>
    <w:rsid w:val="0392A208"/>
    <w:rsid w:val="085D875E"/>
    <w:rsid w:val="09FB8B0A"/>
    <w:rsid w:val="0C7165A1"/>
    <w:rsid w:val="0F64E9C1"/>
    <w:rsid w:val="1012B8CE"/>
    <w:rsid w:val="11C61A0B"/>
    <w:rsid w:val="138F6485"/>
    <w:rsid w:val="18C62D9C"/>
    <w:rsid w:val="1C2AA10B"/>
    <w:rsid w:val="1C9DCD6F"/>
    <w:rsid w:val="1D4D3E9A"/>
    <w:rsid w:val="1ED6EB2D"/>
    <w:rsid w:val="20660854"/>
    <w:rsid w:val="21ED368B"/>
    <w:rsid w:val="2363B7DC"/>
    <w:rsid w:val="24ED609D"/>
    <w:rsid w:val="25F81FE3"/>
    <w:rsid w:val="27CBCE11"/>
    <w:rsid w:val="2817C1F8"/>
    <w:rsid w:val="28610B23"/>
    <w:rsid w:val="286C9E2F"/>
    <w:rsid w:val="2F359511"/>
    <w:rsid w:val="301284BD"/>
    <w:rsid w:val="3049CFED"/>
    <w:rsid w:val="35127233"/>
    <w:rsid w:val="3877E64C"/>
    <w:rsid w:val="409C736C"/>
    <w:rsid w:val="42AC307C"/>
    <w:rsid w:val="42BB97E9"/>
    <w:rsid w:val="4307E85C"/>
    <w:rsid w:val="489CB695"/>
    <w:rsid w:val="48F32231"/>
    <w:rsid w:val="48FEE607"/>
    <w:rsid w:val="4A3A6FD3"/>
    <w:rsid w:val="4C1A373E"/>
    <w:rsid w:val="4C5BFC67"/>
    <w:rsid w:val="4E092BE6"/>
    <w:rsid w:val="4E0CB205"/>
    <w:rsid w:val="51F1AA0C"/>
    <w:rsid w:val="52922F96"/>
    <w:rsid w:val="538F2AF0"/>
    <w:rsid w:val="566CAD47"/>
    <w:rsid w:val="5E72C76B"/>
    <w:rsid w:val="624A0352"/>
    <w:rsid w:val="62E98B1D"/>
    <w:rsid w:val="63F72887"/>
    <w:rsid w:val="664A5B40"/>
    <w:rsid w:val="6916341E"/>
    <w:rsid w:val="6A31690A"/>
    <w:rsid w:val="6ABCEFCA"/>
    <w:rsid w:val="6BCEFBB6"/>
    <w:rsid w:val="6D3AACEA"/>
    <w:rsid w:val="7234286B"/>
    <w:rsid w:val="7276590D"/>
    <w:rsid w:val="734659E4"/>
    <w:rsid w:val="73E1DFBD"/>
    <w:rsid w:val="76EBAC70"/>
    <w:rsid w:val="778E464B"/>
    <w:rsid w:val="79B5368A"/>
    <w:rsid w:val="7EA0FB7E"/>
    <w:rsid w:val="7F897E94"/>
    <w:rsid w:val="7FF37E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4DE4F"/>
  <w15:docId w15:val="{C742F29C-1C11-415B-AAA4-FFFAC203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1B9F"/>
    <w:pPr>
      <w:keepLines/>
      <w:spacing w:before="120"/>
    </w:pPr>
    <w:rPr>
      <w:rFonts w:ascii="Source Sans Pro" w:hAnsi="Source Sans Pro"/>
      <w:color w:val="3C3C3B"/>
    </w:rPr>
  </w:style>
  <w:style w:type="paragraph" w:styleId="Heading1">
    <w:name w:val="heading 1"/>
    <w:next w:val="Normal"/>
    <w:rsid w:val="003563BC"/>
    <w:pPr>
      <w:keepNext/>
      <w:keepLines/>
      <w:numPr>
        <w:numId w:val="2"/>
      </w:numPr>
      <w:spacing w:before="200"/>
      <w:outlineLvl w:val="0"/>
    </w:pPr>
    <w:rPr>
      <w:rFonts w:ascii="Source Sans Pro" w:hAnsi="Source Sans Pro"/>
      <w:b/>
      <w:sz w:val="30"/>
    </w:rPr>
  </w:style>
  <w:style w:type="paragraph" w:styleId="Heading2">
    <w:name w:val="heading 2"/>
    <w:basedOn w:val="Heading1"/>
    <w:next w:val="Normal"/>
    <w:rsid w:val="00590202"/>
    <w:pPr>
      <w:numPr>
        <w:ilvl w:val="1"/>
      </w:numPr>
      <w:outlineLvl w:val="1"/>
    </w:pPr>
    <w:rPr>
      <w:sz w:val="26"/>
    </w:rPr>
  </w:style>
  <w:style w:type="paragraph" w:styleId="Heading3">
    <w:name w:val="heading 3"/>
    <w:basedOn w:val="Heading1"/>
    <w:next w:val="Normal"/>
    <w:rsid w:val="00590202"/>
    <w:pPr>
      <w:numPr>
        <w:ilvl w:val="2"/>
      </w:numPr>
      <w:outlineLvl w:val="2"/>
    </w:pPr>
    <w:rPr>
      <w:sz w:val="22"/>
    </w:rPr>
  </w:style>
  <w:style w:type="paragraph" w:styleId="Heading4">
    <w:name w:val="heading 4"/>
    <w:basedOn w:val="Normal"/>
    <w:next w:val="Normal"/>
    <w:rsid w:val="007D4BCC"/>
    <w:pPr>
      <w:keepNext/>
      <w:numPr>
        <w:ilvl w:val="3"/>
        <w:numId w:val="2"/>
      </w:numPr>
      <w:tabs>
        <w:tab w:val="clear" w:pos="851"/>
      </w:tabs>
      <w:ind w:left="2029" w:hanging="360"/>
      <w:jc w:val="both"/>
      <w:outlineLvl w:val="3"/>
    </w:pPr>
    <w:rPr>
      <w:b/>
      <w:bCs/>
      <w:sz w:val="24"/>
    </w:rPr>
  </w:style>
  <w:style w:type="paragraph" w:styleId="Heading5">
    <w:name w:val="heading 5"/>
    <w:basedOn w:val="Normal"/>
    <w:next w:val="Normal"/>
    <w:rsid w:val="007D4BCC"/>
    <w:pPr>
      <w:keepNext/>
      <w:numPr>
        <w:ilvl w:val="4"/>
        <w:numId w:val="1"/>
      </w:numPr>
      <w:spacing w:before="60" w:after="60"/>
      <w:outlineLvl w:val="4"/>
    </w:pPr>
    <w:rPr>
      <w:b/>
    </w:rPr>
  </w:style>
  <w:style w:type="paragraph" w:styleId="Heading6">
    <w:name w:val="heading 6"/>
    <w:basedOn w:val="Normal"/>
    <w:next w:val="Normal"/>
    <w:rsid w:val="007D4BCC"/>
    <w:pPr>
      <w:keepNext/>
      <w:numPr>
        <w:ilvl w:val="5"/>
        <w:numId w:val="1"/>
      </w:numPr>
      <w:spacing w:after="120"/>
      <w:outlineLvl w:val="5"/>
    </w:pPr>
    <w:rPr>
      <w:b/>
      <w:color w:val="C0C0C0"/>
    </w:rPr>
  </w:style>
  <w:style w:type="paragraph" w:styleId="Heading7">
    <w:name w:val="heading 7"/>
    <w:basedOn w:val="Normal"/>
    <w:next w:val="Normal"/>
    <w:rsid w:val="008522E0"/>
    <w:pPr>
      <w:keepNext/>
      <w:numPr>
        <w:ilvl w:val="6"/>
        <w:numId w:val="1"/>
      </w:numPr>
      <w:spacing w:after="120"/>
      <w:outlineLvl w:val="6"/>
    </w:pPr>
    <w:rPr>
      <w:b/>
      <w:color w:val="808080"/>
    </w:rPr>
  </w:style>
  <w:style w:type="paragraph" w:styleId="Heading8">
    <w:name w:val="heading 8"/>
    <w:basedOn w:val="Normal"/>
    <w:next w:val="Normal"/>
    <w:rsid w:val="008522E0"/>
    <w:pPr>
      <w:keepNext/>
      <w:numPr>
        <w:ilvl w:val="7"/>
        <w:numId w:val="1"/>
      </w:numPr>
      <w:spacing w:after="120"/>
      <w:outlineLvl w:val="7"/>
    </w:pPr>
    <w:rPr>
      <w:rFonts w:ascii="Times" w:hAnsi="Times"/>
      <w:color w:val="FF0000"/>
    </w:rPr>
  </w:style>
  <w:style w:type="paragraph" w:styleId="Heading9">
    <w:name w:val="heading 9"/>
    <w:basedOn w:val="Normal"/>
    <w:next w:val="Normal"/>
    <w:rsid w:val="008522E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522E0"/>
    <w:pPr>
      <w:spacing w:before="280"/>
    </w:pPr>
    <w:rPr>
      <w:rFonts w:ascii="Tahoma" w:hAnsi="Tahoma" w:cs="Tahoma"/>
      <w:sz w:val="16"/>
      <w:szCs w:val="16"/>
    </w:rPr>
  </w:style>
  <w:style w:type="paragraph" w:styleId="CommentText">
    <w:name w:val="annotation text"/>
    <w:basedOn w:val="Normal"/>
    <w:link w:val="CommentTextChar"/>
    <w:uiPriority w:val="99"/>
    <w:semiHidden/>
    <w:rsid w:val="00B43A04"/>
  </w:style>
  <w:style w:type="paragraph" w:styleId="CommentSubject">
    <w:name w:val="annotation subject"/>
    <w:basedOn w:val="CommentText"/>
    <w:next w:val="CommentText"/>
    <w:semiHidden/>
    <w:rsid w:val="00B43A04"/>
    <w:rPr>
      <w:b/>
      <w:bCs/>
    </w:rPr>
  </w:style>
  <w:style w:type="paragraph" w:styleId="EndnoteText">
    <w:name w:val="endnote text"/>
    <w:basedOn w:val="Normal"/>
    <w:semiHidden/>
    <w:rsid w:val="00B43A04"/>
  </w:style>
  <w:style w:type="paragraph" w:styleId="Footer">
    <w:name w:val="footer"/>
    <w:basedOn w:val="Normal"/>
    <w:semiHidden/>
    <w:rsid w:val="00F02BBD"/>
    <w:pPr>
      <w:tabs>
        <w:tab w:val="center" w:pos="4153"/>
      </w:tabs>
      <w:spacing w:before="0"/>
      <w:jc w:val="right"/>
    </w:pPr>
    <w:rPr>
      <w:sz w:val="16"/>
      <w:szCs w:val="18"/>
    </w:rPr>
  </w:style>
  <w:style w:type="paragraph" w:styleId="Header">
    <w:name w:val="header"/>
    <w:basedOn w:val="Normal"/>
    <w:semiHidden/>
    <w:rsid w:val="00201EA5"/>
    <w:pPr>
      <w:tabs>
        <w:tab w:val="right" w:pos="9072"/>
      </w:tabs>
      <w:spacing w:before="0"/>
      <w:jc w:val="right"/>
    </w:pPr>
    <w:rPr>
      <w:b/>
    </w:rPr>
  </w:style>
  <w:style w:type="character" w:styleId="FootnoteReference">
    <w:name w:val="footnote reference"/>
    <w:semiHidden/>
    <w:rsid w:val="00FB748D"/>
    <w:rPr>
      <w:rFonts w:ascii="Arial" w:hAnsi="Arial"/>
      <w:sz w:val="18"/>
      <w:vertAlign w:val="superscript"/>
    </w:rPr>
  </w:style>
  <w:style w:type="character" w:styleId="PageNumber">
    <w:name w:val="page number"/>
    <w:semiHidden/>
    <w:rsid w:val="00FB748D"/>
    <w:rPr>
      <w:rFonts w:ascii="Arial" w:hAnsi="Arial" w:cs="Arial" w:hint="default"/>
      <w:sz w:val="16"/>
    </w:rPr>
  </w:style>
  <w:style w:type="paragraph" w:customStyle="1" w:styleId="Level2">
    <w:name w:val="Level 2"/>
    <w:basedOn w:val="Heading2"/>
    <w:qFormat/>
    <w:rsid w:val="00891B9F"/>
    <w:pPr>
      <w:keepNext w:val="0"/>
      <w:spacing w:before="120"/>
    </w:pPr>
    <w:rPr>
      <w:b w:val="0"/>
      <w:color w:val="3C3C3B"/>
      <w:sz w:val="20"/>
    </w:rPr>
  </w:style>
  <w:style w:type="paragraph" w:customStyle="1" w:styleId="Level3">
    <w:name w:val="Level 3"/>
    <w:basedOn w:val="Heading3"/>
    <w:qFormat/>
    <w:rsid w:val="00891B9F"/>
    <w:pPr>
      <w:keepNext w:val="0"/>
      <w:tabs>
        <w:tab w:val="left" w:pos="851"/>
      </w:tabs>
      <w:spacing w:before="120"/>
    </w:pPr>
    <w:rPr>
      <w:b w:val="0"/>
      <w:color w:val="3C3C3B"/>
      <w:sz w:val="20"/>
    </w:rPr>
  </w:style>
  <w:style w:type="paragraph" w:customStyle="1" w:styleId="Level4">
    <w:name w:val="Level 4"/>
    <w:basedOn w:val="Heading4"/>
    <w:qFormat/>
    <w:rsid w:val="00016D31"/>
    <w:pPr>
      <w:keepNext w:val="0"/>
      <w:tabs>
        <w:tab w:val="left" w:pos="851"/>
      </w:tabs>
      <w:jc w:val="left"/>
    </w:pPr>
    <w:rPr>
      <w:b w:val="0"/>
      <w:sz w:val="20"/>
    </w:rPr>
  </w:style>
  <w:style w:type="paragraph" w:customStyle="1" w:styleId="Bulletsindent">
    <w:name w:val="Bullets indent"/>
    <w:basedOn w:val="Normal"/>
    <w:qFormat/>
    <w:rsid w:val="007D4BCC"/>
    <w:pPr>
      <w:numPr>
        <w:numId w:val="3"/>
      </w:numPr>
      <w:tabs>
        <w:tab w:val="clear" w:pos="425"/>
        <w:tab w:val="left" w:pos="851"/>
      </w:tabs>
      <w:ind w:left="850" w:hanging="425"/>
    </w:pPr>
  </w:style>
  <w:style w:type="paragraph" w:customStyle="1" w:styleId="Bullets">
    <w:name w:val="Bullets"/>
    <w:basedOn w:val="Normal"/>
    <w:qFormat/>
    <w:rsid w:val="007D4BCC"/>
    <w:pPr>
      <w:numPr>
        <w:numId w:val="4"/>
      </w:numPr>
    </w:pPr>
  </w:style>
  <w:style w:type="paragraph" w:customStyle="1" w:styleId="Level5">
    <w:name w:val="Level 5"/>
    <w:basedOn w:val="Normal"/>
    <w:qFormat/>
    <w:rsid w:val="00016D31"/>
    <w:pPr>
      <w:numPr>
        <w:numId w:val="7"/>
      </w:numPr>
      <w:tabs>
        <w:tab w:val="num" w:pos="851"/>
      </w:tabs>
      <w:ind w:left="851" w:hanging="851"/>
      <w:outlineLvl w:val="3"/>
    </w:pPr>
  </w:style>
  <w:style w:type="paragraph" w:customStyle="1" w:styleId="Level6">
    <w:name w:val="Level 6"/>
    <w:basedOn w:val="Normal"/>
    <w:qFormat/>
    <w:rsid w:val="00016D31"/>
    <w:pPr>
      <w:numPr>
        <w:ilvl w:val="1"/>
        <w:numId w:val="7"/>
      </w:numPr>
      <w:tabs>
        <w:tab w:val="num" w:pos="851"/>
      </w:tabs>
      <w:ind w:left="851" w:hanging="851"/>
      <w:outlineLvl w:val="3"/>
    </w:pPr>
  </w:style>
  <w:style w:type="paragraph" w:customStyle="1" w:styleId="Scheduleheading">
    <w:name w:val="Schedule heading"/>
    <w:basedOn w:val="Normal"/>
    <w:next w:val="Manualheading2"/>
    <w:qFormat/>
    <w:rsid w:val="00DC2102"/>
    <w:pPr>
      <w:keepNext/>
      <w:pageBreakBefore/>
      <w:numPr>
        <w:numId w:val="5"/>
      </w:numPr>
      <w:tabs>
        <w:tab w:val="clear" w:pos="851"/>
        <w:tab w:val="num" w:pos="2268"/>
      </w:tabs>
      <w:spacing w:before="0"/>
      <w:ind w:left="2268" w:hanging="2268"/>
    </w:pPr>
    <w:rPr>
      <w:sz w:val="36"/>
    </w:rPr>
  </w:style>
  <w:style w:type="paragraph" w:customStyle="1" w:styleId="Manualheading2">
    <w:name w:val="Manual heading 2"/>
    <w:basedOn w:val="Heading2"/>
    <w:next w:val="Manualpara"/>
    <w:qFormat/>
    <w:rsid w:val="00590202"/>
    <w:pPr>
      <w:numPr>
        <w:ilvl w:val="0"/>
        <w:numId w:val="0"/>
      </w:numPr>
      <w:tabs>
        <w:tab w:val="left" w:pos="851"/>
      </w:tabs>
      <w:ind w:left="851" w:hanging="851"/>
    </w:pPr>
  </w:style>
  <w:style w:type="paragraph" w:customStyle="1" w:styleId="Manualheading3">
    <w:name w:val="Manual heading 3"/>
    <w:basedOn w:val="Heading3"/>
    <w:next w:val="Manualpara"/>
    <w:qFormat/>
    <w:rsid w:val="00590202"/>
    <w:pPr>
      <w:numPr>
        <w:ilvl w:val="0"/>
        <w:numId w:val="0"/>
      </w:numPr>
      <w:tabs>
        <w:tab w:val="left" w:pos="851"/>
      </w:tabs>
      <w:ind w:left="851" w:hanging="851"/>
    </w:pPr>
  </w:style>
  <w:style w:type="paragraph" w:customStyle="1" w:styleId="Manualpara">
    <w:name w:val="Manual para"/>
    <w:basedOn w:val="Normal"/>
    <w:qFormat/>
    <w:rsid w:val="00016D31"/>
    <w:pPr>
      <w:tabs>
        <w:tab w:val="left" w:pos="851"/>
      </w:tabs>
      <w:ind w:left="851" w:hanging="851"/>
    </w:pPr>
  </w:style>
  <w:style w:type="paragraph" w:customStyle="1" w:styleId="Appendixheading">
    <w:name w:val="Appendix heading"/>
    <w:basedOn w:val="Normal"/>
    <w:next w:val="Manualheading2"/>
    <w:qFormat/>
    <w:rsid w:val="007D4BCC"/>
    <w:pPr>
      <w:keepNext/>
      <w:pageBreakBefore/>
      <w:numPr>
        <w:numId w:val="6"/>
      </w:numPr>
      <w:spacing w:before="0"/>
    </w:pPr>
    <w:rPr>
      <w:b/>
      <w:sz w:val="36"/>
    </w:rPr>
  </w:style>
  <w:style w:type="paragraph" w:customStyle="1" w:styleId="Indent">
    <w:name w:val="Indent"/>
    <w:basedOn w:val="Normal"/>
    <w:qFormat/>
    <w:rsid w:val="00746169"/>
    <w:pPr>
      <w:ind w:left="851"/>
    </w:pPr>
  </w:style>
  <w:style w:type="paragraph" w:customStyle="1" w:styleId="Title1">
    <w:name w:val="Title1"/>
    <w:basedOn w:val="Normal"/>
    <w:next w:val="Normal"/>
    <w:qFormat/>
    <w:rsid w:val="00016D31"/>
    <w:pPr>
      <w:spacing w:before="0" w:after="360"/>
    </w:pPr>
    <w:rPr>
      <w:sz w:val="56"/>
    </w:rPr>
  </w:style>
  <w:style w:type="paragraph" w:customStyle="1" w:styleId="Title2">
    <w:name w:val="Title2"/>
    <w:basedOn w:val="Normal"/>
    <w:qFormat/>
    <w:rsid w:val="00016D31"/>
    <w:pPr>
      <w:spacing w:before="0" w:after="240"/>
    </w:pPr>
    <w:rPr>
      <w:sz w:val="40"/>
    </w:rPr>
  </w:style>
  <w:style w:type="character" w:styleId="Hyperlink">
    <w:name w:val="Hyperlink"/>
    <w:uiPriority w:val="99"/>
    <w:rsid w:val="007D4BCC"/>
    <w:rPr>
      <w:rFonts w:ascii="Source Sans Pro" w:hAnsi="Source Sans Pro"/>
      <w:color w:val="0000FF"/>
      <w:sz w:val="20"/>
      <w:u w:val="none"/>
    </w:rPr>
  </w:style>
  <w:style w:type="character" w:styleId="FollowedHyperlink">
    <w:name w:val="FollowedHyperlink"/>
    <w:semiHidden/>
    <w:rsid w:val="00E41E6A"/>
    <w:rPr>
      <w:rFonts w:ascii="Arial" w:hAnsi="Arial"/>
      <w:color w:val="0000FF"/>
      <w:sz w:val="20"/>
      <w:u w:val="none"/>
    </w:rPr>
  </w:style>
  <w:style w:type="table" w:styleId="TableGrid">
    <w:name w:val="Table Grid"/>
    <w:basedOn w:val="TableNormal"/>
    <w:semiHidden/>
    <w:rsid w:val="00742CA9"/>
    <w:pPr>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rsid w:val="00052D85"/>
    <w:pPr>
      <w:spacing w:before="60" w:after="60"/>
    </w:pPr>
  </w:style>
  <w:style w:type="paragraph" w:customStyle="1" w:styleId="Manualheading1">
    <w:name w:val="Manual heading 1"/>
    <w:basedOn w:val="Heading1"/>
    <w:next w:val="Manualpara"/>
    <w:qFormat/>
    <w:rsid w:val="003435D4"/>
    <w:pPr>
      <w:numPr>
        <w:numId w:val="0"/>
      </w:numPr>
      <w:tabs>
        <w:tab w:val="left" w:pos="851"/>
      </w:tabs>
      <w:ind w:left="851" w:hanging="851"/>
    </w:pPr>
  </w:style>
  <w:style w:type="paragraph" w:styleId="TOC1">
    <w:name w:val="toc 1"/>
    <w:basedOn w:val="Normal"/>
    <w:next w:val="Normal"/>
    <w:autoRedefine/>
    <w:uiPriority w:val="39"/>
    <w:rsid w:val="00891B9F"/>
    <w:pPr>
      <w:tabs>
        <w:tab w:val="left" w:pos="397"/>
        <w:tab w:val="right" w:leader="dot" w:pos="10490"/>
      </w:tabs>
      <w:spacing w:before="0"/>
    </w:pPr>
    <w:rPr>
      <w:color w:val="453C90"/>
    </w:rPr>
  </w:style>
  <w:style w:type="paragraph" w:styleId="TOC2">
    <w:name w:val="toc 2"/>
    <w:basedOn w:val="Normal"/>
    <w:next w:val="Normal"/>
    <w:autoRedefine/>
    <w:semiHidden/>
    <w:rsid w:val="00EA7A90"/>
    <w:pPr>
      <w:tabs>
        <w:tab w:val="left" w:pos="964"/>
        <w:tab w:val="right" w:leader="dot" w:pos="9639"/>
      </w:tabs>
      <w:spacing w:before="0"/>
      <w:ind w:left="397"/>
    </w:pPr>
    <w:rPr>
      <w:color w:val="0000FF"/>
    </w:rPr>
  </w:style>
  <w:style w:type="paragraph" w:styleId="TOC3">
    <w:name w:val="toc 3"/>
    <w:basedOn w:val="Normal"/>
    <w:next w:val="Normal"/>
    <w:autoRedefine/>
    <w:uiPriority w:val="39"/>
    <w:rsid w:val="00EA7A90"/>
    <w:pPr>
      <w:tabs>
        <w:tab w:val="left" w:pos="1701"/>
        <w:tab w:val="right" w:leader="dot" w:pos="9639"/>
      </w:tabs>
      <w:spacing w:before="0"/>
      <w:ind w:left="964"/>
    </w:pPr>
    <w:rPr>
      <w:color w:val="0000FF"/>
    </w:rPr>
  </w:style>
  <w:style w:type="paragraph" w:styleId="Title">
    <w:name w:val="Title"/>
    <w:basedOn w:val="Normal"/>
    <w:qFormat/>
    <w:rsid w:val="00602A78"/>
    <w:pPr>
      <w:spacing w:before="1320" w:after="60"/>
      <w:outlineLvl w:val="0"/>
    </w:pPr>
    <w:rPr>
      <w:rFonts w:cs="Arial"/>
      <w:bCs/>
      <w:kern w:val="28"/>
      <w:sz w:val="56"/>
      <w:szCs w:val="32"/>
    </w:rPr>
  </w:style>
  <w:style w:type="paragraph" w:customStyle="1" w:styleId="Heading1small">
    <w:name w:val="Heading 1 small"/>
    <w:basedOn w:val="Heading1"/>
    <w:next w:val="Normal"/>
    <w:qFormat/>
    <w:rsid w:val="00891B9F"/>
    <w:rPr>
      <w:color w:val="3C3C3B"/>
      <w:sz w:val="20"/>
      <w:szCs w:val="16"/>
    </w:rPr>
  </w:style>
  <w:style w:type="paragraph" w:customStyle="1" w:styleId="Level2indent">
    <w:name w:val="Level 2 indent"/>
    <w:basedOn w:val="Level2"/>
    <w:qFormat/>
    <w:rsid w:val="004F7493"/>
    <w:pPr>
      <w:ind w:left="1702"/>
    </w:pPr>
  </w:style>
  <w:style w:type="paragraph" w:customStyle="1" w:styleId="Level3indent1">
    <w:name w:val="Level 3 indent 1"/>
    <w:basedOn w:val="Level3"/>
    <w:qFormat/>
    <w:rsid w:val="004F7493"/>
    <w:pPr>
      <w:ind w:left="1702"/>
    </w:pPr>
  </w:style>
  <w:style w:type="paragraph" w:customStyle="1" w:styleId="Level3indent2">
    <w:name w:val="Level 3 indent 2"/>
    <w:basedOn w:val="Level3indent1"/>
    <w:qFormat/>
    <w:rsid w:val="004F7493"/>
    <w:pPr>
      <w:tabs>
        <w:tab w:val="clear" w:pos="851"/>
      </w:tabs>
      <w:ind w:left="2552"/>
    </w:pPr>
  </w:style>
  <w:style w:type="paragraph" w:customStyle="1" w:styleId="Level4indent1">
    <w:name w:val="Level 4 indent 1"/>
    <w:basedOn w:val="Level4"/>
    <w:qFormat/>
    <w:rsid w:val="004F7493"/>
    <w:pPr>
      <w:tabs>
        <w:tab w:val="clear" w:pos="851"/>
      </w:tabs>
      <w:ind w:left="1702"/>
    </w:pPr>
  </w:style>
  <w:style w:type="paragraph" w:customStyle="1" w:styleId="Level4indent2">
    <w:name w:val="Level 4 indent 2"/>
    <w:basedOn w:val="Level4indent1"/>
    <w:qFormat/>
    <w:rsid w:val="004F7493"/>
    <w:pPr>
      <w:ind w:left="2552"/>
    </w:pPr>
  </w:style>
  <w:style w:type="paragraph" w:customStyle="1" w:styleId="Level5indent1">
    <w:name w:val="Level 5 indent 1"/>
    <w:basedOn w:val="Level5"/>
    <w:qFormat/>
    <w:rsid w:val="004F7493"/>
    <w:pPr>
      <w:tabs>
        <w:tab w:val="clear" w:pos="851"/>
        <w:tab w:val="clear" w:pos="1418"/>
        <w:tab w:val="left" w:pos="840"/>
      </w:tabs>
      <w:ind w:left="1702"/>
    </w:pPr>
  </w:style>
  <w:style w:type="paragraph" w:customStyle="1" w:styleId="Level5indent2">
    <w:name w:val="Level 5 indent 2"/>
    <w:basedOn w:val="Level5indent1"/>
    <w:qFormat/>
    <w:rsid w:val="004F7493"/>
    <w:pPr>
      <w:ind w:left="2552"/>
    </w:pPr>
  </w:style>
  <w:style w:type="paragraph" w:customStyle="1" w:styleId="Level6indent1">
    <w:name w:val="Level 6 indent 1"/>
    <w:basedOn w:val="Level6"/>
    <w:qFormat/>
    <w:rsid w:val="004F7493"/>
    <w:pPr>
      <w:tabs>
        <w:tab w:val="clear" w:pos="851"/>
        <w:tab w:val="clear" w:pos="1985"/>
        <w:tab w:val="left" w:pos="840"/>
      </w:tabs>
      <w:ind w:left="1702"/>
    </w:pPr>
  </w:style>
  <w:style w:type="paragraph" w:customStyle="1" w:styleId="Level6indent2">
    <w:name w:val="Level 6 indent 2"/>
    <w:basedOn w:val="Level6indent1"/>
    <w:qFormat/>
    <w:rsid w:val="00E05075"/>
    <w:pPr>
      <w:ind w:left="2552"/>
    </w:pPr>
  </w:style>
  <w:style w:type="paragraph" w:customStyle="1" w:styleId="Level6indent3">
    <w:name w:val="Level 6 indent 3"/>
    <w:basedOn w:val="Level6indent2"/>
    <w:next w:val="Level6indent2"/>
    <w:qFormat/>
    <w:rsid w:val="00E05075"/>
    <w:pPr>
      <w:ind w:left="3403"/>
    </w:pPr>
  </w:style>
  <w:style w:type="character" w:styleId="UnresolvedMention">
    <w:name w:val="Unresolved Mention"/>
    <w:basedOn w:val="DefaultParagraphFont"/>
    <w:uiPriority w:val="99"/>
    <w:unhideWhenUsed/>
    <w:rsid w:val="00C54D8D"/>
    <w:rPr>
      <w:color w:val="605E5C"/>
      <w:shd w:val="clear" w:color="auto" w:fill="E1DFDD"/>
    </w:rPr>
  </w:style>
  <w:style w:type="character" w:styleId="CommentReference">
    <w:name w:val="annotation reference"/>
    <w:basedOn w:val="DefaultParagraphFont"/>
    <w:uiPriority w:val="99"/>
    <w:semiHidden/>
    <w:unhideWhenUsed/>
    <w:rsid w:val="00FC2F0F"/>
    <w:rPr>
      <w:sz w:val="16"/>
      <w:szCs w:val="16"/>
    </w:rPr>
  </w:style>
  <w:style w:type="table" w:styleId="GridTable4-Accent2">
    <w:name w:val="Grid Table 4 Accent 2"/>
    <w:basedOn w:val="TableNormal"/>
    <w:uiPriority w:val="49"/>
    <w:rsid w:val="00BB160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ListParagraph">
    <w:name w:val="List Paragraph"/>
    <w:basedOn w:val="Normal"/>
    <w:uiPriority w:val="49"/>
    <w:qFormat/>
    <w:rsid w:val="00BB160D"/>
    <w:pPr>
      <w:ind w:left="720"/>
      <w:contextualSpacing/>
    </w:pPr>
  </w:style>
  <w:style w:type="table" w:styleId="ListTable3">
    <w:name w:val="List Table 3"/>
    <w:basedOn w:val="TableNormal"/>
    <w:uiPriority w:val="48"/>
    <w:rsid w:val="00BB160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2">
    <w:name w:val="Plain Table 2"/>
    <w:basedOn w:val="TableNormal"/>
    <w:uiPriority w:val="42"/>
    <w:rsid w:val="00632235"/>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graph">
    <w:name w:val="paragraph"/>
    <w:basedOn w:val="Normal"/>
    <w:rsid w:val="00632235"/>
    <w:pPr>
      <w:keepLines w:val="0"/>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632235"/>
  </w:style>
  <w:style w:type="table" w:styleId="TableGridLight">
    <w:name w:val="Grid Table Light"/>
    <w:basedOn w:val="TableNormal"/>
    <w:uiPriority w:val="40"/>
    <w:rsid w:val="00632235"/>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892629"/>
    <w:rPr>
      <w:color w:val="2B579A"/>
      <w:shd w:val="clear" w:color="auto" w:fill="E1DFDD"/>
    </w:rPr>
  </w:style>
  <w:style w:type="paragraph" w:customStyle="1" w:styleId="Bullet1">
    <w:name w:val="Bullet 1"/>
    <w:basedOn w:val="Normal"/>
    <w:uiPriority w:val="3"/>
    <w:qFormat/>
    <w:rsid w:val="00D82907"/>
    <w:pPr>
      <w:keepLines w:val="0"/>
      <w:numPr>
        <w:numId w:val="11"/>
      </w:numPr>
      <w:spacing w:before="0"/>
    </w:pPr>
    <w:rPr>
      <w:rFonts w:ascii="Calibri" w:eastAsiaTheme="minorHAnsi" w:hAnsi="Calibri" w:cs="Calibri"/>
      <w:color w:val="auto"/>
      <w:sz w:val="24"/>
      <w:szCs w:val="24"/>
    </w:rPr>
  </w:style>
  <w:style w:type="paragraph" w:customStyle="1" w:styleId="Bullet2">
    <w:name w:val="Bullet 2"/>
    <w:basedOn w:val="Normal"/>
    <w:uiPriority w:val="3"/>
    <w:qFormat/>
    <w:rsid w:val="00D82907"/>
    <w:pPr>
      <w:keepLines w:val="0"/>
      <w:numPr>
        <w:ilvl w:val="1"/>
        <w:numId w:val="11"/>
      </w:numPr>
      <w:spacing w:before="0"/>
    </w:pPr>
    <w:rPr>
      <w:rFonts w:ascii="Calibri" w:eastAsiaTheme="minorHAnsi" w:hAnsi="Calibri" w:cs="Calibri"/>
      <w:color w:val="auto"/>
      <w:sz w:val="24"/>
      <w:szCs w:val="24"/>
    </w:rPr>
  </w:style>
  <w:style w:type="numbering" w:customStyle="1" w:styleId="NumbListBullets">
    <w:name w:val="NumbListBullets"/>
    <w:uiPriority w:val="99"/>
    <w:rsid w:val="00D82907"/>
    <w:pPr>
      <w:numPr>
        <w:numId w:val="10"/>
      </w:numPr>
    </w:pPr>
  </w:style>
  <w:style w:type="paragraph" w:customStyle="1" w:styleId="TableText">
    <w:name w:val="TableText"/>
    <w:basedOn w:val="Normal"/>
    <w:uiPriority w:val="22"/>
    <w:qFormat/>
    <w:rsid w:val="00125E8C"/>
    <w:pPr>
      <w:keepLines w:val="0"/>
      <w:spacing w:before="60" w:after="60"/>
      <w:ind w:left="57" w:right="57"/>
    </w:pPr>
    <w:rPr>
      <w:rFonts w:ascii="Gill Sans MT" w:eastAsiaTheme="minorHAnsi" w:hAnsi="Gill Sans MT" w:cs="Calibri Light"/>
      <w:color w:val="auto"/>
      <w:sz w:val="22"/>
      <w:szCs w:val="22"/>
      <w:lang w:eastAsia="en-US"/>
    </w:rPr>
  </w:style>
  <w:style w:type="paragraph" w:customStyle="1" w:styleId="FigureTitle">
    <w:name w:val="Figure Title"/>
    <w:basedOn w:val="Normal"/>
    <w:uiPriority w:val="19"/>
    <w:qFormat/>
    <w:rsid w:val="00A43249"/>
    <w:pPr>
      <w:keepLines w:val="0"/>
      <w:numPr>
        <w:numId w:val="12"/>
      </w:numPr>
      <w:spacing w:before="60" w:after="240"/>
    </w:pPr>
    <w:rPr>
      <w:rFonts w:ascii="Gill Sans MT" w:eastAsiaTheme="minorHAnsi" w:hAnsi="Gill Sans MT" w:cs="Calibri Light"/>
      <w:color w:val="1F497D" w:themeColor="text2"/>
      <w:sz w:val="18"/>
      <w:szCs w:val="22"/>
      <w:lang w:eastAsia="en-US"/>
    </w:rPr>
  </w:style>
  <w:style w:type="numbering" w:customStyle="1" w:styleId="NumbListFigure">
    <w:name w:val="NumbListFigure"/>
    <w:uiPriority w:val="99"/>
    <w:rsid w:val="00A43249"/>
    <w:pPr>
      <w:numPr>
        <w:numId w:val="12"/>
      </w:numPr>
    </w:pPr>
  </w:style>
  <w:style w:type="character" w:customStyle="1" w:styleId="BalloonTextChar">
    <w:name w:val="Balloon Text Char"/>
    <w:basedOn w:val="DefaultParagraphFont"/>
    <w:link w:val="BalloonText"/>
    <w:uiPriority w:val="99"/>
    <w:semiHidden/>
    <w:rsid w:val="00684827"/>
    <w:rPr>
      <w:rFonts w:ascii="Tahoma" w:hAnsi="Tahoma" w:cs="Tahoma"/>
      <w:color w:val="3C3C3B"/>
      <w:sz w:val="16"/>
      <w:szCs w:val="16"/>
    </w:rPr>
  </w:style>
  <w:style w:type="paragraph" w:customStyle="1" w:styleId="p2">
    <w:name w:val="p2"/>
    <w:basedOn w:val="Normal"/>
    <w:uiPriority w:val="99"/>
    <w:semiHidden/>
    <w:rsid w:val="00A03D5E"/>
    <w:pPr>
      <w:keepLines w:val="0"/>
      <w:spacing w:before="100" w:beforeAutospacing="1" w:after="100" w:afterAutospacing="1"/>
    </w:pPr>
    <w:rPr>
      <w:rFonts w:ascii="Calibri" w:eastAsiaTheme="minorHAnsi" w:hAnsi="Calibri" w:cs="Calibri"/>
      <w:color w:val="auto"/>
      <w:sz w:val="22"/>
      <w:szCs w:val="22"/>
    </w:rPr>
  </w:style>
  <w:style w:type="paragraph" w:customStyle="1" w:styleId="p3">
    <w:name w:val="p3"/>
    <w:basedOn w:val="Normal"/>
    <w:uiPriority w:val="99"/>
    <w:semiHidden/>
    <w:rsid w:val="00A03D5E"/>
    <w:pPr>
      <w:keepLines w:val="0"/>
      <w:spacing w:before="100" w:beforeAutospacing="1" w:after="100" w:afterAutospacing="1"/>
    </w:pPr>
    <w:rPr>
      <w:rFonts w:ascii="Calibri" w:eastAsiaTheme="minorHAnsi" w:hAnsi="Calibri" w:cs="Calibri"/>
      <w:color w:val="auto"/>
      <w:sz w:val="22"/>
      <w:szCs w:val="22"/>
    </w:rPr>
  </w:style>
  <w:style w:type="character" w:customStyle="1" w:styleId="s2">
    <w:name w:val="s2"/>
    <w:basedOn w:val="DefaultParagraphFont"/>
    <w:rsid w:val="00A03D5E"/>
  </w:style>
  <w:style w:type="character" w:customStyle="1" w:styleId="CommentTextChar">
    <w:name w:val="Comment Text Char"/>
    <w:basedOn w:val="DefaultParagraphFont"/>
    <w:link w:val="CommentText"/>
    <w:uiPriority w:val="99"/>
    <w:semiHidden/>
    <w:rsid w:val="00A03D5E"/>
    <w:rPr>
      <w:rFonts w:ascii="Source Sans Pro" w:hAnsi="Source Sans Pro"/>
      <w:color w:val="3C3C3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04423">
      <w:bodyDiv w:val="1"/>
      <w:marLeft w:val="0"/>
      <w:marRight w:val="0"/>
      <w:marTop w:val="0"/>
      <w:marBottom w:val="0"/>
      <w:divBdr>
        <w:top w:val="none" w:sz="0" w:space="0" w:color="auto"/>
        <w:left w:val="none" w:sz="0" w:space="0" w:color="auto"/>
        <w:bottom w:val="none" w:sz="0" w:space="0" w:color="auto"/>
        <w:right w:val="none" w:sz="0" w:space="0" w:color="auto"/>
      </w:divBdr>
    </w:div>
    <w:div w:id="995374591">
      <w:bodyDiv w:val="1"/>
      <w:marLeft w:val="0"/>
      <w:marRight w:val="0"/>
      <w:marTop w:val="0"/>
      <w:marBottom w:val="0"/>
      <w:divBdr>
        <w:top w:val="none" w:sz="0" w:space="0" w:color="auto"/>
        <w:left w:val="none" w:sz="0" w:space="0" w:color="auto"/>
        <w:bottom w:val="none" w:sz="0" w:space="0" w:color="auto"/>
        <w:right w:val="none" w:sz="0" w:space="0" w:color="auto"/>
      </w:divBdr>
    </w:div>
    <w:div w:id="1083261243">
      <w:bodyDiv w:val="1"/>
      <w:marLeft w:val="0"/>
      <w:marRight w:val="0"/>
      <w:marTop w:val="0"/>
      <w:marBottom w:val="0"/>
      <w:divBdr>
        <w:top w:val="none" w:sz="0" w:space="0" w:color="auto"/>
        <w:left w:val="none" w:sz="0" w:space="0" w:color="auto"/>
        <w:bottom w:val="none" w:sz="0" w:space="0" w:color="auto"/>
        <w:right w:val="none" w:sz="0" w:space="0" w:color="auto"/>
      </w:divBdr>
    </w:div>
    <w:div w:id="1192845388">
      <w:bodyDiv w:val="1"/>
      <w:marLeft w:val="0"/>
      <w:marRight w:val="0"/>
      <w:marTop w:val="0"/>
      <w:marBottom w:val="0"/>
      <w:divBdr>
        <w:top w:val="none" w:sz="0" w:space="0" w:color="auto"/>
        <w:left w:val="none" w:sz="0" w:space="0" w:color="auto"/>
        <w:bottom w:val="none" w:sz="0" w:space="0" w:color="auto"/>
        <w:right w:val="none" w:sz="0" w:space="0" w:color="auto"/>
      </w:divBdr>
    </w:div>
    <w:div w:id="1271202481">
      <w:bodyDiv w:val="1"/>
      <w:marLeft w:val="0"/>
      <w:marRight w:val="0"/>
      <w:marTop w:val="0"/>
      <w:marBottom w:val="0"/>
      <w:divBdr>
        <w:top w:val="none" w:sz="0" w:space="0" w:color="auto"/>
        <w:left w:val="none" w:sz="0" w:space="0" w:color="auto"/>
        <w:bottom w:val="none" w:sz="0" w:space="0" w:color="auto"/>
        <w:right w:val="none" w:sz="0" w:space="0" w:color="auto"/>
      </w:divBdr>
    </w:div>
    <w:div w:id="1660234916">
      <w:bodyDiv w:val="1"/>
      <w:marLeft w:val="0"/>
      <w:marRight w:val="0"/>
      <w:marTop w:val="0"/>
      <w:marBottom w:val="0"/>
      <w:divBdr>
        <w:top w:val="none" w:sz="0" w:space="0" w:color="auto"/>
        <w:left w:val="none" w:sz="0" w:space="0" w:color="auto"/>
        <w:bottom w:val="none" w:sz="0" w:space="0" w:color="auto"/>
        <w:right w:val="none" w:sz="0" w:space="0" w:color="auto"/>
      </w:divBdr>
    </w:div>
    <w:div w:id="1840463524">
      <w:bodyDiv w:val="1"/>
      <w:marLeft w:val="0"/>
      <w:marRight w:val="0"/>
      <w:marTop w:val="0"/>
      <w:marBottom w:val="0"/>
      <w:divBdr>
        <w:top w:val="none" w:sz="0" w:space="0" w:color="auto"/>
        <w:left w:val="none" w:sz="0" w:space="0" w:color="auto"/>
        <w:bottom w:val="none" w:sz="0" w:space="0" w:color="auto"/>
        <w:right w:val="none" w:sz="0" w:space="0" w:color="auto"/>
      </w:divBdr>
      <w:divsChild>
        <w:div w:id="455099071">
          <w:marLeft w:val="0"/>
          <w:marRight w:val="0"/>
          <w:marTop w:val="0"/>
          <w:marBottom w:val="0"/>
          <w:divBdr>
            <w:top w:val="none" w:sz="0" w:space="0" w:color="auto"/>
            <w:left w:val="none" w:sz="0" w:space="0" w:color="auto"/>
            <w:bottom w:val="none" w:sz="0" w:space="0" w:color="auto"/>
            <w:right w:val="none" w:sz="0" w:space="0" w:color="auto"/>
          </w:divBdr>
        </w:div>
        <w:div w:id="807698248">
          <w:marLeft w:val="0"/>
          <w:marRight w:val="0"/>
          <w:marTop w:val="0"/>
          <w:marBottom w:val="0"/>
          <w:divBdr>
            <w:top w:val="none" w:sz="0" w:space="0" w:color="auto"/>
            <w:left w:val="none" w:sz="0" w:space="0" w:color="auto"/>
            <w:bottom w:val="none" w:sz="0" w:space="0" w:color="auto"/>
            <w:right w:val="none" w:sz="0" w:space="0" w:color="auto"/>
          </w:divBdr>
        </w:div>
        <w:div w:id="1020471691">
          <w:marLeft w:val="0"/>
          <w:marRight w:val="0"/>
          <w:marTop w:val="0"/>
          <w:marBottom w:val="0"/>
          <w:divBdr>
            <w:top w:val="none" w:sz="0" w:space="0" w:color="auto"/>
            <w:left w:val="none" w:sz="0" w:space="0" w:color="auto"/>
            <w:bottom w:val="none" w:sz="0" w:space="0" w:color="auto"/>
            <w:right w:val="none" w:sz="0" w:space="0" w:color="auto"/>
          </w:divBdr>
        </w:div>
        <w:div w:id="1140001712">
          <w:marLeft w:val="0"/>
          <w:marRight w:val="0"/>
          <w:marTop w:val="0"/>
          <w:marBottom w:val="0"/>
          <w:divBdr>
            <w:top w:val="none" w:sz="0" w:space="0" w:color="auto"/>
            <w:left w:val="none" w:sz="0" w:space="0" w:color="auto"/>
            <w:bottom w:val="none" w:sz="0" w:space="0" w:color="auto"/>
            <w:right w:val="none" w:sz="0" w:space="0" w:color="auto"/>
          </w:divBdr>
        </w:div>
        <w:div w:id="1549533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contractsfinder.service.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os.uk" TargetMode="External"/><Relationship Id="rId2" Type="http://schemas.openxmlformats.org/officeDocument/2006/relationships/customXml" Target="../customXml/item2.xml"/><Relationship Id="rId16" Type="http://schemas.openxmlformats.org/officeDocument/2006/relationships/hyperlink" Target="mailto:helpdesk@delta-esourcing.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elta-esourcing.com" TargetMode="External"/><Relationship Id="rId10" Type="http://schemas.openxmlformats.org/officeDocument/2006/relationships/footnotes" Target="footnotes.xml"/><Relationship Id="rId19" Type="http://schemas.openxmlformats.org/officeDocument/2006/relationships/hyperlink" Target="https://www.find-tender.service.gov.uk/Searc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rimRecordNumber xmlns="de56e394-0367-485b-886a-0cb92a1ad385" xsi:nil="true"/>
    <TrimNotes xmlns="de56e394-0367-485b-886a-0cb92a1ad385" xsi:nil="true"/>
    <TrimCreatedByText xmlns="de56e394-0367-485b-886a-0cb92a1ad385" xsi:nil="true"/>
    <_dlc_DocId xmlns="8d1ecc67-7491-4d2b-8aca-0b3a5cd48aba">H2Q7UJKCTAZT-456672213-20069</_dlc_DocId>
    <_dlc_DocIdUrl xmlns="8d1ecc67-7491-4d2b-8aca-0b3a5cd48aba">
      <Url>https://ordnancesurvey.sharepoint.com/sites/spsm/_layouts/15/DocIdRedir.aspx?ID=H2Q7UJKCTAZT-456672213-20069</Url>
      <Description>H2Q7UJKCTAZT-456672213-20069</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F6D9374A8BA034CA3C14DB9353342B9" ma:contentTypeVersion="64" ma:contentTypeDescription="Create a new document." ma:contentTypeScope="" ma:versionID="58a4c6a9e1a9183bb3d8dcc12ee75a19">
  <xsd:schema xmlns:xsd="http://www.w3.org/2001/XMLSchema" xmlns:xs="http://www.w3.org/2001/XMLSchema" xmlns:p="http://schemas.microsoft.com/office/2006/metadata/properties" xmlns:ns2="8d1ecc67-7491-4d2b-8aca-0b3a5cd48aba" xmlns:ns3="de56e394-0367-485b-886a-0cb92a1ad385" xmlns:ns4="0f51db1d-430c-4f4f-93b6-c7b111843124" targetNamespace="http://schemas.microsoft.com/office/2006/metadata/properties" ma:root="true" ma:fieldsID="5d96a8b045a3288e52893ef79dc222b7" ns2:_="" ns3:_="" ns4:_="">
    <xsd:import namespace="8d1ecc67-7491-4d2b-8aca-0b3a5cd48aba"/>
    <xsd:import namespace="de56e394-0367-485b-886a-0cb92a1ad385"/>
    <xsd:import namespace="0f51db1d-430c-4f4f-93b6-c7b111843124"/>
    <xsd:element name="properties">
      <xsd:complexType>
        <xsd:sequence>
          <xsd:element name="documentManagement">
            <xsd:complexType>
              <xsd:all>
                <xsd:element ref="ns2:_dlc_DocId" minOccurs="0"/>
                <xsd:element ref="ns2:_dlc_DocIdUrl" minOccurs="0"/>
                <xsd:element ref="ns2:_dlc_DocIdPersistId" minOccurs="0"/>
                <xsd:element ref="ns3:TrimRecordNumber" minOccurs="0"/>
                <xsd:element ref="ns3:TrimNotes" minOccurs="0"/>
                <xsd:element ref="ns3:TrimCreatedByText" minOccurs="0"/>
                <xsd:element ref="ns4:MediaServiceMetadata" minOccurs="0"/>
                <xsd:element ref="ns4:MediaServiceFastMetadata" minOccurs="0"/>
                <xsd:element ref="ns2:SharedWithUsers" minOccurs="0"/>
                <xsd:element ref="ns2:SharedWithDetails"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ecc67-7491-4d2b-8aca-0b3a5cd48ab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6e394-0367-485b-886a-0cb92a1ad385" elementFormDefault="qualified">
    <xsd:import namespace="http://schemas.microsoft.com/office/2006/documentManagement/types"/>
    <xsd:import namespace="http://schemas.microsoft.com/office/infopath/2007/PartnerControls"/>
    <xsd:element name="TrimRecordNumber" ma:index="7" nillable="true" ma:displayName="Record Number" ma:internalName="TrimRecordNumber" ma:readOnly="false">
      <xsd:simpleType>
        <xsd:restriction base="dms:Text"/>
      </xsd:simpleType>
    </xsd:element>
    <xsd:element name="TrimNotes" ma:index="8" nillable="true" ma:displayName="Notes" ma:internalName="TrimNotes" ma:readOnly="false">
      <xsd:simpleType>
        <xsd:restriction base="dms:Text"/>
      </xsd:simpleType>
    </xsd:element>
    <xsd:element name="TrimCreatedByText" ma:index="9" nillable="true" ma:displayName="Created By Text" ma:internalName="TrimCreatedByTex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db1d-430c-4f4f-93b6-c7b11184312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EAE9C-9EB9-4F25-AB07-042248DD6713}">
  <ds:schemaRefs>
    <ds:schemaRef ds:uri="http://schemas.microsoft.com/office/2006/metadata/properties"/>
    <ds:schemaRef ds:uri="http://schemas.microsoft.com/office/infopath/2007/PartnerControls"/>
    <ds:schemaRef ds:uri="de56e394-0367-485b-886a-0cb92a1ad385"/>
    <ds:schemaRef ds:uri="8d1ecc67-7491-4d2b-8aca-0b3a5cd48aba"/>
  </ds:schemaRefs>
</ds:datastoreItem>
</file>

<file path=customXml/itemProps2.xml><?xml version="1.0" encoding="utf-8"?>
<ds:datastoreItem xmlns:ds="http://schemas.openxmlformats.org/officeDocument/2006/customXml" ds:itemID="{D57432CA-2552-4452-ABED-626AF8CEBFE3}">
  <ds:schemaRefs>
    <ds:schemaRef ds:uri="http://schemas.openxmlformats.org/officeDocument/2006/bibliography"/>
  </ds:schemaRefs>
</ds:datastoreItem>
</file>

<file path=customXml/itemProps3.xml><?xml version="1.0" encoding="utf-8"?>
<ds:datastoreItem xmlns:ds="http://schemas.openxmlformats.org/officeDocument/2006/customXml" ds:itemID="{8C486531-A02B-4925-B2C7-82D483645B30}">
  <ds:schemaRefs>
    <ds:schemaRef ds:uri="http://schemas.microsoft.com/sharepoint/events"/>
  </ds:schemaRefs>
</ds:datastoreItem>
</file>

<file path=customXml/itemProps4.xml><?xml version="1.0" encoding="utf-8"?>
<ds:datastoreItem xmlns:ds="http://schemas.openxmlformats.org/officeDocument/2006/customXml" ds:itemID="{BF26283F-4268-4DB7-8C60-0CDE68318275}">
  <ds:schemaRefs>
    <ds:schemaRef ds:uri="http://schemas.microsoft.com/sharepoint/v3/contenttype/forms"/>
  </ds:schemaRefs>
</ds:datastoreItem>
</file>

<file path=customXml/itemProps5.xml><?xml version="1.0" encoding="utf-8"?>
<ds:datastoreItem xmlns:ds="http://schemas.openxmlformats.org/officeDocument/2006/customXml" ds:itemID="{A36038EF-8EA2-4A08-AF10-79A8407C4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ecc67-7491-4d2b-8aca-0b3a5cd48aba"/>
    <ds:schemaRef ds:uri="de56e394-0367-485b-886a-0cb92a1ad385"/>
    <ds:schemaRef ds:uri="0f51db1d-430c-4f4f-93b6-c7b111843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10</Pages>
  <Words>3946</Words>
  <Characters>22493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OS Legal Template</vt:lpstr>
    </vt:vector>
  </TitlesOfParts>
  <Manager>LegalEnquiries@ordnancesurvey.co.uk</Manager>
  <Company>Ordnance Survey</Company>
  <LinksUpToDate>false</LinksUpToDate>
  <CharactersWithSpaces>26387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 Legal Template</dc:title>
  <dc:subject/>
  <dc:creator>Victoria Lavender</dc:creator>
  <cp:keywords>OS Legal Template</cp:keywords>
  <dc:description>OS Legal Template</dc:description>
  <cp:lastModifiedBy>Tony Fay</cp:lastModifiedBy>
  <cp:revision>42</cp:revision>
  <cp:lastPrinted>2014-12-06T01:10:00Z</cp:lastPrinted>
  <dcterms:created xsi:type="dcterms:W3CDTF">2020-12-07T15:23:00Z</dcterms:created>
  <dcterms:modified xsi:type="dcterms:W3CDTF">2022-07-06T15:27:00Z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gFAAsdpvfP9KDXJMWUK0CTKTfVKF17OU9w5mAVKZpAlyu5LZObAd9sVOOgweTJLphVZ1DmpkEJMtFKB2_x000d_
SRLXlKPUq0kzO056tG9eW1PFwHn/mupTsI9twI8WWcMoLcrugSCI/JPjadQj939AMjDwor462YOE_x000d_
3xzr3dV/9ioIaDQRDryTnvyDsYtTMWIe2nIoWrkC7ZN2T0X8Ldb7NPwNInH5tmRE+u5EODV78eMv_x000d_
1jEnrFg5HdE8G4UfB</vt:lpwstr>
  </property>
  <property fmtid="{D5CDD505-2E9C-101B-9397-08002B2CF9AE}" pid="3" name="MAIL_MSG_ID2">
    <vt:lpwstr>cIiAeYYCdIfWzK0VPcrUHkHoYdlbltztQLRoWsAaYuuAY7+TsdhIwEBb6UH_x000d_
d6KfgXoZvDurBD/55DS8QFASztaxPJcv8QBokA==</vt:lpwstr>
  </property>
  <property fmtid="{D5CDD505-2E9C-101B-9397-08002B2CF9AE}" pid="4" name="RESPONSE_SENDER_NAME">
    <vt:lpwstr>ABAAMV6B7YzPbaKCo6FCXY7vlzIDaSVEWFzV3wPOCtMWYjS+gABSjd0C7ioEq/huP8A0</vt:lpwstr>
  </property>
  <property fmtid="{D5CDD505-2E9C-101B-9397-08002B2CF9AE}" pid="5" name="EMAIL_OWNER_ADDRESS">
    <vt:lpwstr>MBAAug5tyHKiyJ8H8zlgBWEltABa7Gdt23fGfCvBP1nwzKNLk5A5UeTd7261/7MkwFtMTDO+mrnVu7s=</vt:lpwstr>
  </property>
  <property fmtid="{D5CDD505-2E9C-101B-9397-08002B2CF9AE}" pid="6" name="ContentTypeId">
    <vt:lpwstr>0x010100FF6D9374A8BA034CA3C14DB9353342B9</vt:lpwstr>
  </property>
  <property fmtid="{D5CDD505-2E9C-101B-9397-08002B2CF9AE}" pid="7" name="_dlc_DocIdItemGuid">
    <vt:lpwstr>5d4ca6b0-10dd-4e20-a24d-b67d3fb07006</vt:lpwstr>
  </property>
  <property fmtid="{D5CDD505-2E9C-101B-9397-08002B2CF9AE}" pid="8" name="MSIP_Label_05f3b2b5-6cd6-4844-bcf5-24ee153c47a6_Enabled">
    <vt:lpwstr>true</vt:lpwstr>
  </property>
  <property fmtid="{D5CDD505-2E9C-101B-9397-08002B2CF9AE}" pid="9" name="MSIP_Label_05f3b2b5-6cd6-4844-bcf5-24ee153c47a6_SetDate">
    <vt:lpwstr>2022-03-21T09:11:39Z</vt:lpwstr>
  </property>
  <property fmtid="{D5CDD505-2E9C-101B-9397-08002B2CF9AE}" pid="10" name="MSIP_Label_05f3b2b5-6cd6-4844-bcf5-24ee153c47a6_Method">
    <vt:lpwstr>Privileged</vt:lpwstr>
  </property>
  <property fmtid="{D5CDD505-2E9C-101B-9397-08002B2CF9AE}" pid="11" name="MSIP_Label_05f3b2b5-6cd6-4844-bcf5-24ee153c47a6_Name">
    <vt:lpwstr>OFFICIAL-SENSITIVE-COMMERCIAL</vt:lpwstr>
  </property>
  <property fmtid="{D5CDD505-2E9C-101B-9397-08002B2CF9AE}" pid="12" name="MSIP_Label_05f3b2b5-6cd6-4844-bcf5-24ee153c47a6_SiteId">
    <vt:lpwstr>7988742d-c543-4b9a-87a9-10a7b354d289</vt:lpwstr>
  </property>
  <property fmtid="{D5CDD505-2E9C-101B-9397-08002B2CF9AE}" pid="13" name="MSIP_Label_05f3b2b5-6cd6-4844-bcf5-24ee153c47a6_ActionId">
    <vt:lpwstr>940d5dff-cbe8-48e2-9bd0-a894297c184f</vt:lpwstr>
  </property>
  <property fmtid="{D5CDD505-2E9C-101B-9397-08002B2CF9AE}" pid="14" name="MSIP_Label_05f3b2b5-6cd6-4844-bcf5-24ee153c47a6_ContentBits">
    <vt:lpwstr>0</vt:lpwstr>
  </property>
</Properties>
</file>