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shd w:val="clear" w:color="auto" w:fill="1F4E79" w:themeFill="accent5" w:themeFillShade="80"/>
        <w:tblLook w:val="04A0" w:firstRow="1" w:lastRow="0" w:firstColumn="1" w:lastColumn="0" w:noHBand="0" w:noVBand="1"/>
      </w:tblPr>
      <w:tblGrid>
        <w:gridCol w:w="9026"/>
      </w:tblGrid>
      <w:tr w:rsidR="004239AC" w:rsidTr="3C26B3C1" w14:paraId="059C5F6A" w14:textId="77777777">
        <w:trPr>
          <w:trHeight w:val="837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  <w:tcMar/>
          </w:tcPr>
          <w:p w:rsidRPr="003F3CEE" w:rsidR="004239AC" w:rsidP="003B5743" w:rsidRDefault="00014CEB" w14:paraId="15C0196E" w14:textId="23D06924">
            <w:pPr>
              <w:ind w:left="-394" w:right="-251"/>
              <w:rPr>
                <w:rFonts w:cs="Arial"/>
                <w:sz w:val="2"/>
                <w:szCs w:val="2"/>
              </w:rPr>
            </w:pPr>
            <w:r>
              <w:rPr>
                <w:noProof/>
              </w:rPr>
              <w:drawing>
                <wp:inline distT="0" distB="0" distL="0" distR="0" wp14:anchorId="0D5E4008" wp14:editId="73CB1DFD">
                  <wp:extent cx="5553760" cy="5997818"/>
                  <wp:effectExtent l="0" t="0" r="0" b="0"/>
                  <wp:docPr id="360839895" name="Picture 3" descr="A large building with a staircase and a staircase&#10;&#10;Description automatically generated with medium confidence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39895" name="Picture 3" descr="A large building with a staircase and a staircase&#10;&#10;Description automatically generated with medium confidence"/>
                          <pic:cNvPicPr/>
                        </pic:nvPicPr>
                        <pic:blipFill rotWithShape="1">
                          <a:blip r:embed="rId7" cstate="print">
                            <a:extLst xmlns:a="http://schemas.openxmlformats.org/drawingml/2006/main"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838" t="0" r="19299" b="0"/>
                          <a:stretch/>
                        </pic:blipFill>
                        <pic:spPr xmlns:pic="http://schemas.openxmlformats.org/drawingml/2006/picture" bwMode="auto">
                          <a:xfrm xmlns:a="http://schemas.openxmlformats.org/drawingml/2006/main" rot="0" flipH="0" flipV="0">
                            <a:off x="0" y="0"/>
                            <a:ext cx="5553760" cy="5997818"/>
                          </a:xfrm>
                          <a:prstGeom xmlns:a="http://schemas.openxmlformats.org/drawingml/2006/main" prst="rect">
                            <a:avLst/>
                          </a:prstGeom>
                          <a:ln xmlns:a="http://schemas.openxmlformats.org/drawingml/2006/main">
                            <a:noFill/>
                          </a:ln>
                          <a:extLst xmlns:a="http://schemas.openxmlformats.org/drawingml/2006/main"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9AC" w:rsidTr="3C26B3C1" w14:paraId="1537A704" w14:textId="77777777">
        <w:trPr>
          <w:trHeight w:val="254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 w:themeFill="accent5" w:themeFillShade="80"/>
            <w:tcMar/>
            <w:vAlign w:val="center"/>
          </w:tcPr>
          <w:p w:rsidRPr="00F54EC1" w:rsidR="004239AC" w:rsidP="003B5743" w:rsidRDefault="004239AC" w14:paraId="5B051FCD" w14:textId="77777777">
            <w:pPr>
              <w:spacing w:after="120"/>
              <w:ind w:left="601" w:right="885"/>
              <w:rPr>
                <w:color w:val="FFFFFF"/>
                <w:sz w:val="52"/>
                <w:szCs w:val="52"/>
              </w:rPr>
            </w:pPr>
            <w:r w:rsidRPr="00F54EC1">
              <w:rPr>
                <w:color w:val="FFFFFF"/>
                <w:sz w:val="52"/>
                <w:szCs w:val="52"/>
              </w:rPr>
              <w:t xml:space="preserve">Design </w:t>
            </w:r>
            <w:r>
              <w:rPr>
                <w:color w:val="FFFFFF"/>
                <w:sz w:val="52"/>
                <w:szCs w:val="52"/>
              </w:rPr>
              <w:t xml:space="preserve">and Build </w:t>
            </w:r>
            <w:r w:rsidRPr="00F54EC1">
              <w:rPr>
                <w:color w:val="FFFFFF"/>
                <w:sz w:val="52"/>
                <w:szCs w:val="52"/>
              </w:rPr>
              <w:t>Tender</w:t>
            </w:r>
          </w:p>
          <w:p w:rsidR="00377C3E" w:rsidP="006173E3" w:rsidRDefault="00377C3E" w14:paraId="73AB0349" w14:textId="02A9F106">
            <w:pPr>
              <w:spacing w:after="120"/>
              <w:ind w:left="601" w:right="885"/>
              <w:rPr>
                <w:color w:val="FFFFFF"/>
                <w:sz w:val="32"/>
                <w:szCs w:val="32"/>
                <w:lang w:val="en-US"/>
              </w:rPr>
            </w:pPr>
            <w:r>
              <w:rPr>
                <w:color w:val="FFFFFF"/>
                <w:sz w:val="32"/>
                <w:szCs w:val="32"/>
                <w:lang w:val="en-US"/>
              </w:rPr>
              <w:t>H</w:t>
            </w:r>
            <w:r w:rsidRPr="00256C98">
              <w:rPr>
                <w:color w:val="FFFFFF"/>
                <w:sz w:val="32"/>
                <w:szCs w:val="32"/>
                <w:lang w:val="en-US"/>
              </w:rPr>
              <w:t>eart of Cornwall &amp; Nature Gallery - Royal Institution of Cornwall</w:t>
            </w:r>
          </w:p>
          <w:p w:rsidRPr="006173E3" w:rsidR="006173E3" w:rsidP="006173E3" w:rsidRDefault="006173E3" w14:paraId="164CAE41" w14:textId="6A705CF5">
            <w:pPr>
              <w:spacing w:after="120"/>
              <w:ind w:left="601" w:right="885"/>
              <w:rPr>
                <w:color w:val="FFFFFF"/>
                <w:sz w:val="32"/>
                <w:szCs w:val="32"/>
              </w:rPr>
            </w:pPr>
            <w:r w:rsidRPr="006173E3">
              <w:rPr>
                <w:color w:val="FFFFFF"/>
                <w:sz w:val="32"/>
                <w:szCs w:val="32"/>
              </w:rPr>
              <w:t>APPENDIX 2 - Key Contract Conditions</w:t>
            </w:r>
          </w:p>
          <w:p w:rsidRPr="00966384" w:rsidR="004239AC" w:rsidP="006173E3" w:rsidRDefault="006173E3" w14:paraId="2CA01AFA" w14:textId="3BB5A057">
            <w:pPr>
              <w:spacing w:after="120"/>
              <w:ind w:left="601" w:right="885"/>
              <w:rPr>
                <w:color w:val="FFFFFF"/>
                <w:sz w:val="32"/>
                <w:szCs w:val="32"/>
              </w:rPr>
            </w:pPr>
            <w:r w:rsidRPr="006173E3">
              <w:rPr>
                <w:color w:val="FFFFFF"/>
                <w:sz w:val="32"/>
                <w:szCs w:val="32"/>
              </w:rPr>
              <w:t>Data provided by the Client</w:t>
            </w:r>
          </w:p>
        </w:tc>
      </w:tr>
      <w:tr w:rsidR="004239AC" w:rsidTr="3C26B3C1" w14:paraId="3EEB86E9" w14:textId="77777777">
        <w:tc>
          <w:tcPr>
            <w:tcW w:w="9639" w:type="dxa"/>
            <w:tcBorders>
              <w:top w:val="nil"/>
            </w:tcBorders>
            <w:shd w:val="clear" w:color="auto" w:fill="92D050"/>
            <w:tcMar/>
          </w:tcPr>
          <w:p w:rsidRPr="00B446C6" w:rsidR="004239AC" w:rsidP="003B5743" w:rsidRDefault="004239AC" w14:paraId="130EEECA" w14:textId="77777777">
            <w:pPr>
              <w:spacing w:before="240"/>
              <w:jc w:val="right"/>
              <w:rPr>
                <w:rFonts w:cs="Arial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January 2024</w:t>
            </w:r>
          </w:p>
        </w:tc>
      </w:tr>
    </w:tbl>
    <w:p w:rsidR="00D9588B" w:rsidP="00D9588B" w:rsidRDefault="00D9588B" w14:paraId="391F0351" w14:textId="6C2D7634">
      <w:pPr>
        <w:jc w:val="center"/>
        <w:rPr>
          <w:rFonts w:asciiTheme="minorHAnsi" w:hAnsiTheme="minorHAnsi" w:cstheme="minorBidi"/>
          <w:b/>
          <w:bCs/>
          <w:sz w:val="48"/>
          <w:szCs w:val="48"/>
          <w14:ligatures w14:val="none"/>
        </w:rPr>
      </w:pPr>
    </w:p>
    <w:p w:rsidR="00D9588B" w:rsidP="00D9588B" w:rsidRDefault="00D9588B" w14:paraId="230A34BB" w14:textId="77777777">
      <w:pPr>
        <w:jc w:val="center"/>
        <w:rPr>
          <w:rFonts w:asciiTheme="minorHAnsi" w:hAnsiTheme="minorHAnsi" w:cstheme="minorBidi"/>
          <w:b/>
          <w:bCs/>
          <w:sz w:val="48"/>
          <w:szCs w:val="48"/>
          <w14:ligatures w14:val="none"/>
        </w:rPr>
      </w:pPr>
    </w:p>
    <w:p w:rsidRPr="00D9588B" w:rsidR="00D9588B" w:rsidP="00D9588B" w:rsidRDefault="00DE35D9" w14:paraId="5DAB8DD3" w14:textId="129AD5A5">
      <w:pPr>
        <w:rPr>
          <w:rFonts w:asciiTheme="minorHAnsi" w:hAnsiTheme="minorHAnsi" w:cstheme="minorBidi"/>
          <w:b/>
          <w:bCs/>
          <w:sz w:val="36"/>
          <w:szCs w:val="36"/>
          <w:u w:val="single"/>
          <w14:ligatures w14:val="none"/>
        </w:rPr>
      </w:pPr>
      <w:r>
        <w:rPr>
          <w:rFonts w:asciiTheme="minorHAnsi" w:hAnsiTheme="minorHAnsi" w:cstheme="minorBidi"/>
          <w:b/>
          <w:bCs/>
          <w:sz w:val="36"/>
          <w:szCs w:val="36"/>
          <w:u w:val="single"/>
          <w14:ligatures w14:val="none"/>
        </w:rPr>
        <w:lastRenderedPageBreak/>
        <w:t>In</w:t>
      </w:r>
      <w:r w:rsidRPr="00D9588B" w:rsidR="00D9588B">
        <w:rPr>
          <w:rFonts w:asciiTheme="minorHAnsi" w:hAnsiTheme="minorHAnsi" w:cstheme="minorBidi"/>
          <w:b/>
          <w:bCs/>
          <w:sz w:val="36"/>
          <w:szCs w:val="36"/>
          <w:u w:val="single"/>
          <w14:ligatures w14:val="none"/>
        </w:rPr>
        <w:t>troduction</w:t>
      </w:r>
    </w:p>
    <w:p w:rsidRPr="00D9588B" w:rsidR="00D9588B" w:rsidP="00D9588B" w:rsidRDefault="00D9588B" w14:paraId="196CCC8B" w14:textId="77777777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:rsidRPr="00D9588B" w:rsidR="00D9588B" w:rsidP="00D9588B" w:rsidRDefault="00D9588B" w14:paraId="7DEFB1C1" w14:textId="77777777">
      <w:pPr>
        <w:rPr>
          <w:rFonts w:asciiTheme="minorHAnsi" w:hAnsiTheme="minorHAnsi" w:cstheme="minorBidi"/>
          <w:sz w:val="24"/>
          <w:szCs w:val="24"/>
          <w14:ligatures w14:val="none"/>
        </w:rPr>
      </w:pPr>
      <w:r w:rsidRPr="00D9588B">
        <w:rPr>
          <w:rFonts w:asciiTheme="minorHAnsi" w:hAnsiTheme="minorHAnsi" w:cstheme="minorBidi"/>
          <w:sz w:val="24"/>
          <w:szCs w:val="24"/>
          <w14:ligatures w14:val="none"/>
        </w:rPr>
        <w:t>Set out below are the specifics which will be applicable.</w:t>
      </w:r>
    </w:p>
    <w:p w:rsidRPr="00D9588B" w:rsidR="00D9588B" w:rsidP="00D9588B" w:rsidRDefault="00D9588B" w14:paraId="6F834155" w14:textId="77777777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:rsidRPr="00D9588B" w:rsidR="00D9588B" w:rsidP="00D9588B" w:rsidRDefault="00D9588B" w14:paraId="196E3C6A" w14:textId="77777777">
      <w:pPr>
        <w:rPr>
          <w:rFonts w:asciiTheme="minorHAnsi" w:hAnsiTheme="minorHAnsi" w:cstheme="minorBidi"/>
          <w:b/>
          <w:bCs/>
          <w:sz w:val="24"/>
          <w:szCs w:val="24"/>
          <w14:ligatures w14:val="none"/>
        </w:rPr>
      </w:pPr>
      <w:r w:rsidRPr="00D9588B">
        <w:rPr>
          <w:rFonts w:asciiTheme="minorHAnsi" w:hAnsiTheme="minorHAnsi" w:cstheme="minorBidi"/>
          <w:b/>
          <w:bCs/>
          <w:sz w:val="24"/>
          <w:szCs w:val="24"/>
          <w14:ligatures w14:val="none"/>
        </w:rPr>
        <w:t>Contract Data Provided by the Client</w:t>
      </w:r>
    </w:p>
    <w:p w:rsidRPr="00D9588B" w:rsidR="00D9588B" w:rsidP="00D9588B" w:rsidRDefault="00D9588B" w14:paraId="35105C97" w14:textId="77777777">
      <w:pPr>
        <w:rPr>
          <w:rFonts w:asciiTheme="minorHAnsi" w:hAnsiTheme="minorHAnsi" w:cstheme="minorBidi"/>
          <w:b/>
          <w:bCs/>
          <w:sz w:val="24"/>
          <w:szCs w:val="2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Pr="00D9588B" w:rsidR="00D9588B" w:rsidTr="00A37FFD" w14:paraId="514976EC" w14:textId="77777777">
        <w:trPr>
          <w:trHeight w:val="397"/>
          <w:tblHeader/>
        </w:trPr>
        <w:tc>
          <w:tcPr>
            <w:tcW w:w="4815" w:type="dxa"/>
            <w:tcBorders>
              <w:bottom w:val="single" w:color="auto" w:sz="12" w:space="0"/>
            </w:tcBorders>
            <w:vAlign w:val="center"/>
          </w:tcPr>
          <w:p w:rsidRPr="00D9588B" w:rsidR="00D9588B" w:rsidP="00D9588B" w:rsidRDefault="00D9588B" w14:paraId="4FBCDB88" w14:textId="77777777">
            <w:pPr>
              <w:rPr>
                <w:rFonts w:asciiTheme="minorHAnsi" w:hAnsiTheme="minorHAnsi" w:cstheme="minorBidi"/>
                <w:b/>
                <w:bCs/>
              </w:rPr>
            </w:pPr>
            <w:r w:rsidRPr="00D9588B">
              <w:rPr>
                <w:rFonts w:asciiTheme="minorHAnsi" w:hAnsiTheme="minorHAnsi" w:cstheme="minorBidi"/>
                <w:b/>
                <w:bCs/>
              </w:rPr>
              <w:t>Contract Data</w:t>
            </w:r>
          </w:p>
        </w:tc>
        <w:tc>
          <w:tcPr>
            <w:tcW w:w="4201" w:type="dxa"/>
            <w:tcBorders>
              <w:bottom w:val="single" w:color="auto" w:sz="12" w:space="0"/>
            </w:tcBorders>
            <w:vAlign w:val="center"/>
          </w:tcPr>
          <w:p w:rsidRPr="00D9588B" w:rsidR="00D9588B" w:rsidP="00D9588B" w:rsidRDefault="00D9588B" w14:paraId="1B3EBF9C" w14:textId="77777777">
            <w:pPr>
              <w:rPr>
                <w:rFonts w:asciiTheme="minorHAnsi" w:hAnsiTheme="minorHAnsi" w:cstheme="minorBidi"/>
                <w:b/>
                <w:bCs/>
              </w:rPr>
            </w:pPr>
            <w:r w:rsidRPr="00D9588B">
              <w:rPr>
                <w:rFonts w:asciiTheme="minorHAnsi" w:hAnsiTheme="minorHAnsi" w:cstheme="minorBidi"/>
                <w:b/>
                <w:bCs/>
              </w:rPr>
              <w:t>Contract Specific Details</w:t>
            </w:r>
          </w:p>
        </w:tc>
      </w:tr>
      <w:tr w:rsidRPr="00D9588B" w:rsidR="00D9588B" w:rsidTr="00A37FFD" w14:paraId="441F4EBC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0A641EDE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law of the contract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3E00EA0A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England and Wales</w:t>
            </w:r>
          </w:p>
        </w:tc>
      </w:tr>
      <w:tr w:rsidRPr="00D9588B" w:rsidR="00D9588B" w:rsidTr="00A37FFD" w14:paraId="490DF919" w14:textId="77777777">
        <w:trPr>
          <w:trHeight w:val="397"/>
        </w:trPr>
        <w:tc>
          <w:tcPr>
            <w:tcW w:w="4815" w:type="dxa"/>
          </w:tcPr>
          <w:p w:rsidRPr="00D9588B" w:rsidR="00D9588B" w:rsidP="00D9588B" w:rsidRDefault="00D9588B" w14:paraId="001C589E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The period for reply </w:t>
            </w:r>
            <w:proofErr w:type="gramStart"/>
            <w:r w:rsidRPr="00D9588B">
              <w:rPr>
                <w:rFonts w:asciiTheme="minorHAnsi" w:hAnsiTheme="minorHAnsi" w:cstheme="minorBidi"/>
              </w:rPr>
              <w:t>is</w:t>
            </w:r>
            <w:proofErr w:type="gramEnd"/>
          </w:p>
          <w:p w:rsidRPr="00D9588B" w:rsidR="00D9588B" w:rsidP="00D9588B" w:rsidRDefault="00D9588B" w14:paraId="5A806277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Except the period for reply for</w:t>
            </w:r>
          </w:p>
        </w:tc>
        <w:tc>
          <w:tcPr>
            <w:tcW w:w="4201" w:type="dxa"/>
          </w:tcPr>
          <w:p w:rsidRPr="00D9588B" w:rsidR="00D9588B" w:rsidP="00D9588B" w:rsidRDefault="00D9588B" w14:paraId="0A4E4A80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One week</w:t>
            </w:r>
          </w:p>
          <w:p w:rsidRPr="00D9588B" w:rsidR="00D9588B" w:rsidP="00D9588B" w:rsidRDefault="00D9588B" w14:paraId="788CB523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accepting particulars of design is two weeks</w:t>
            </w:r>
          </w:p>
        </w:tc>
      </w:tr>
      <w:tr w:rsidRPr="00D9588B" w:rsidR="00D9588B" w:rsidTr="00A37FFD" w14:paraId="79F350BC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381A17D0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period for retention following completion or earlier termination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A8637C" w14:paraId="5C105755" w14:textId="64302D07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Six</w:t>
            </w:r>
            <w:r w:rsidRPr="00D9588B" w:rsidR="00D9588B">
              <w:rPr>
                <w:rFonts w:asciiTheme="minorHAnsi" w:hAnsiTheme="minorHAnsi" w:cstheme="minorBidi"/>
              </w:rPr>
              <w:t xml:space="preserve"> years</w:t>
            </w:r>
          </w:p>
        </w:tc>
      </w:tr>
      <w:tr w:rsidRPr="00D9588B" w:rsidR="00D9588B" w:rsidTr="00A37FFD" w14:paraId="26D6A824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066D3BFB" w14:textId="77777777">
            <w:pPr>
              <w:rPr>
                <w:rFonts w:asciiTheme="minorHAnsi" w:hAnsiTheme="minorHAnsi" w:cstheme="minorBidi"/>
                <w:highlight w:val="yellow"/>
              </w:rPr>
            </w:pPr>
            <w:r w:rsidRPr="00D9588B">
              <w:rPr>
                <w:rFonts w:asciiTheme="minorHAnsi" w:hAnsiTheme="minorHAnsi" w:cstheme="minorBidi"/>
              </w:rPr>
              <w:t>The key dates and conditions to be met are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27A2AD14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To be agreed</w:t>
            </w:r>
          </w:p>
        </w:tc>
      </w:tr>
      <w:tr w:rsidRPr="00D9588B" w:rsidR="00D9588B" w:rsidTr="00A37FFD" w14:paraId="2D1F2329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13FD38AF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consultant prepares forecasts of total expenses at intervals no longer than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74744F9D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Monthly</w:t>
            </w:r>
          </w:p>
        </w:tc>
      </w:tr>
      <w:tr w:rsidRPr="00D9588B" w:rsidR="00D9588B" w:rsidTr="00A37FFD" w14:paraId="7005F23A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1E94AFBE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consultant submits revised programmes at intervals no longer than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4926C951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Monthly</w:t>
            </w:r>
          </w:p>
        </w:tc>
      </w:tr>
      <w:tr w:rsidRPr="00D9588B" w:rsidR="00D9588B" w:rsidTr="00A37FFD" w14:paraId="04515B8A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2F2A980D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completion date for the whole of the service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101803AA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date of issue of the making good defects certificate of the construction works contract</w:t>
            </w:r>
          </w:p>
        </w:tc>
      </w:tr>
      <w:tr w:rsidRPr="00D9588B" w:rsidR="00D9588B" w:rsidTr="00A37FFD" w14:paraId="783BDFD4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40317B40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period after the contract date within which the consultant is to submit a first programme for acceptance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45520FFB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Two weeks</w:t>
            </w:r>
          </w:p>
        </w:tc>
      </w:tr>
      <w:tr w:rsidRPr="00D9588B" w:rsidR="00D9588B" w:rsidTr="00A37FFD" w14:paraId="1BB7789B" w14:textId="77777777">
        <w:trPr>
          <w:trHeight w:val="397"/>
        </w:trPr>
        <w:tc>
          <w:tcPr>
            <w:tcW w:w="9016" w:type="dxa"/>
            <w:gridSpan w:val="2"/>
            <w:vAlign w:val="center"/>
          </w:tcPr>
          <w:p w:rsidRPr="00D9588B" w:rsidR="00D9588B" w:rsidP="00D9588B" w:rsidRDefault="00D9588B" w14:paraId="2C06CB71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Payment</w:t>
            </w:r>
          </w:p>
        </w:tc>
      </w:tr>
      <w:tr w:rsidRPr="00D9588B" w:rsidR="00D9588B" w:rsidTr="00A37FFD" w14:paraId="530919B0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689AA1E1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currency of the contract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0F413133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Pound Sterling</w:t>
            </w:r>
          </w:p>
        </w:tc>
      </w:tr>
      <w:tr w:rsidRPr="00D9588B" w:rsidR="00D9588B" w:rsidTr="00A37FFD" w14:paraId="34136E01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1F2B5C91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assessment interval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5D8AE22B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 month</w:t>
            </w:r>
          </w:p>
        </w:tc>
      </w:tr>
      <w:tr w:rsidRPr="00D9588B" w:rsidR="00D9588B" w:rsidTr="00A37FFD" w14:paraId="22101E06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686FE2CB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expenses stated by the Client are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275C7C0F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Payment of fees to Statutory Authorities and Utilities Suppliers</w:t>
            </w:r>
          </w:p>
        </w:tc>
      </w:tr>
      <w:tr w:rsidRPr="00D9588B" w:rsidR="00D9588B" w:rsidTr="00A37FFD" w14:paraId="11B36261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5F5C8619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The interest rate is 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7B915694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2% above the Bank of England base rate</w:t>
            </w:r>
          </w:p>
        </w:tc>
      </w:tr>
      <w:tr w:rsidRPr="00D9588B" w:rsidR="00D9588B" w:rsidTr="00A37FFD" w14:paraId="408E6761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29D1EB65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period within which payments are made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75405875" w14:textId="77777777">
            <w:pPr>
              <w:rPr>
                <w:rFonts w:asciiTheme="minorHAnsi" w:hAnsiTheme="minorHAnsi" w:cstheme="minorBidi"/>
              </w:rPr>
            </w:pPr>
            <w:proofErr w:type="gramStart"/>
            <w:r w:rsidRPr="00D9588B">
              <w:rPr>
                <w:rFonts w:asciiTheme="minorHAnsi" w:hAnsiTheme="minorHAnsi" w:cstheme="minorBidi"/>
              </w:rPr>
              <w:t>Twenty eight</w:t>
            </w:r>
            <w:proofErr w:type="gramEnd"/>
            <w:r w:rsidRPr="00D9588B">
              <w:rPr>
                <w:rFonts w:asciiTheme="minorHAnsi" w:hAnsiTheme="minorHAnsi" w:cstheme="minorBidi"/>
              </w:rPr>
              <w:t xml:space="preserve"> days</w:t>
            </w:r>
          </w:p>
        </w:tc>
      </w:tr>
      <w:tr w:rsidRPr="00D9588B" w:rsidR="00D9588B" w:rsidTr="00A37FFD" w14:paraId="1236AC7E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3220DD37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Compensation events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31D34CD1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Does not apply</w:t>
            </w:r>
          </w:p>
        </w:tc>
      </w:tr>
      <w:tr w:rsidRPr="00D9588B" w:rsidR="00D9588B" w:rsidTr="00A37FFD" w14:paraId="235A38A0" w14:textId="77777777">
        <w:trPr>
          <w:trHeight w:val="397"/>
        </w:trPr>
        <w:tc>
          <w:tcPr>
            <w:tcW w:w="4815" w:type="dxa"/>
          </w:tcPr>
          <w:p w:rsidRPr="00D9588B" w:rsidR="00D9588B" w:rsidP="00D9588B" w:rsidRDefault="00D9588B" w14:paraId="56842AF3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Collaborative working </w:t>
            </w:r>
          </w:p>
        </w:tc>
        <w:tc>
          <w:tcPr>
            <w:tcW w:w="4201" w:type="dxa"/>
          </w:tcPr>
          <w:p w:rsidRPr="00D9588B" w:rsidR="00D9588B" w:rsidP="00D9588B" w:rsidRDefault="00D9588B" w14:paraId="27708991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Does not apply</w:t>
            </w:r>
          </w:p>
        </w:tc>
      </w:tr>
      <w:tr w:rsidRPr="00D9588B" w:rsidR="00D9588B" w:rsidTr="00A37FFD" w14:paraId="6CCE9229" w14:textId="77777777">
        <w:trPr>
          <w:trHeight w:val="397"/>
        </w:trPr>
        <w:tc>
          <w:tcPr>
            <w:tcW w:w="4815" w:type="dxa"/>
          </w:tcPr>
          <w:p w:rsidRPr="00D9588B" w:rsidR="00D9588B" w:rsidP="00D9588B" w:rsidRDefault="00D9588B" w14:paraId="573B0766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Health and Safety</w:t>
            </w:r>
          </w:p>
        </w:tc>
        <w:tc>
          <w:tcPr>
            <w:tcW w:w="4201" w:type="dxa"/>
          </w:tcPr>
          <w:p w:rsidRPr="00D9588B" w:rsidR="00D9588B" w:rsidP="00D9588B" w:rsidRDefault="00D9588B" w14:paraId="0E97B384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Applies</w:t>
            </w:r>
          </w:p>
        </w:tc>
      </w:tr>
      <w:tr w:rsidRPr="00D9588B" w:rsidR="00D9588B" w:rsidTr="00A37FFD" w14:paraId="295F8255" w14:textId="77777777">
        <w:trPr>
          <w:trHeight w:val="397"/>
        </w:trPr>
        <w:tc>
          <w:tcPr>
            <w:tcW w:w="4815" w:type="dxa"/>
          </w:tcPr>
          <w:p w:rsidRPr="00D9588B" w:rsidR="00D9588B" w:rsidP="00D9588B" w:rsidRDefault="00D9588B" w14:paraId="4BCA2C79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Cost savings and value improvements</w:t>
            </w:r>
          </w:p>
        </w:tc>
        <w:tc>
          <w:tcPr>
            <w:tcW w:w="4201" w:type="dxa"/>
          </w:tcPr>
          <w:p w:rsidRPr="00D9588B" w:rsidR="00D9588B" w:rsidP="00D9588B" w:rsidRDefault="00D9588B" w14:paraId="26190848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Applies</w:t>
            </w:r>
          </w:p>
        </w:tc>
      </w:tr>
      <w:tr w:rsidRPr="00D9588B" w:rsidR="00D9588B" w:rsidTr="00A37FFD" w14:paraId="7822C56C" w14:textId="77777777">
        <w:trPr>
          <w:trHeight w:val="397"/>
        </w:trPr>
        <w:tc>
          <w:tcPr>
            <w:tcW w:w="4815" w:type="dxa"/>
          </w:tcPr>
          <w:p w:rsidRPr="00D9588B" w:rsidR="00D9588B" w:rsidP="00D9588B" w:rsidRDefault="00D9588B" w14:paraId="5017B7FE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Sustainable development and environmental considerations </w:t>
            </w:r>
          </w:p>
        </w:tc>
        <w:tc>
          <w:tcPr>
            <w:tcW w:w="4201" w:type="dxa"/>
          </w:tcPr>
          <w:p w:rsidRPr="00D9588B" w:rsidR="00D9588B" w:rsidP="00D9588B" w:rsidRDefault="00D9588B" w14:paraId="38FA5F32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Applies</w:t>
            </w:r>
          </w:p>
        </w:tc>
      </w:tr>
      <w:tr w:rsidRPr="00D9588B" w:rsidR="00D9588B" w:rsidTr="00A37FFD" w14:paraId="41F2CFF7" w14:textId="77777777">
        <w:trPr>
          <w:trHeight w:val="397"/>
        </w:trPr>
        <w:tc>
          <w:tcPr>
            <w:tcW w:w="4815" w:type="dxa"/>
          </w:tcPr>
          <w:p w:rsidRPr="00D9588B" w:rsidR="00D9588B" w:rsidP="00D9588B" w:rsidRDefault="00D9588B" w14:paraId="68FCAC47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Performance Indicators and monitoring </w:t>
            </w:r>
          </w:p>
        </w:tc>
        <w:tc>
          <w:tcPr>
            <w:tcW w:w="4201" w:type="dxa"/>
          </w:tcPr>
          <w:p w:rsidRPr="00D9588B" w:rsidR="00D9588B" w:rsidP="00D9588B" w:rsidRDefault="00D9588B" w14:paraId="406A1D4C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Does not apply</w:t>
            </w:r>
          </w:p>
        </w:tc>
      </w:tr>
      <w:tr w:rsidRPr="00D9588B" w:rsidR="00D9588B" w:rsidTr="00A37FFD" w14:paraId="5DB0CC48" w14:textId="77777777">
        <w:trPr>
          <w:trHeight w:val="397"/>
        </w:trPr>
        <w:tc>
          <w:tcPr>
            <w:tcW w:w="9016" w:type="dxa"/>
            <w:gridSpan w:val="2"/>
            <w:vAlign w:val="center"/>
          </w:tcPr>
          <w:p w:rsidRPr="00D9588B" w:rsidR="00D9588B" w:rsidP="00D9588B" w:rsidRDefault="00D9588B" w14:paraId="1B210B07" w14:textId="24DCAAC3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Liabilities and Insurance</w:t>
            </w:r>
          </w:p>
        </w:tc>
      </w:tr>
      <w:tr w:rsidRPr="00D9588B" w:rsidR="00D9588B" w:rsidTr="00A37FFD" w14:paraId="0F5EBB14" w14:textId="77777777">
        <w:trPr>
          <w:trHeight w:val="397"/>
        </w:trPr>
        <w:tc>
          <w:tcPr>
            <w:tcW w:w="4815" w:type="dxa"/>
          </w:tcPr>
          <w:p w:rsidRPr="00D9588B" w:rsidR="00D9588B" w:rsidP="00D9588B" w:rsidRDefault="00D9588B" w14:paraId="34BF5297" w14:textId="4279A2EE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lastRenderedPageBreak/>
              <w:t>The minimum amount of cover and the periods for which the consultant maintains insurance are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2AD02D18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As stated in Volume 1</w:t>
            </w:r>
          </w:p>
        </w:tc>
      </w:tr>
      <w:tr w:rsidRPr="00D9588B" w:rsidR="00D9588B" w:rsidTr="00A37FFD" w14:paraId="49B8F334" w14:textId="77777777">
        <w:trPr>
          <w:trHeight w:val="397"/>
        </w:trPr>
        <w:tc>
          <w:tcPr>
            <w:tcW w:w="9016" w:type="dxa"/>
            <w:gridSpan w:val="2"/>
            <w:vAlign w:val="center"/>
          </w:tcPr>
          <w:p w:rsidRPr="00D9588B" w:rsidR="00D9588B" w:rsidP="00D9588B" w:rsidRDefault="00D9588B" w14:paraId="403B9B13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Resolving and avoiding Disputes</w:t>
            </w:r>
          </w:p>
        </w:tc>
      </w:tr>
      <w:tr w:rsidRPr="00D9588B" w:rsidR="00D9588B" w:rsidTr="00A37FFD" w14:paraId="27EBECFA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575700C9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tribunal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3FC5F244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Arbitration</w:t>
            </w:r>
          </w:p>
        </w:tc>
      </w:tr>
      <w:tr w:rsidRPr="00D9588B" w:rsidR="00D9588B" w:rsidTr="00A37FFD" w14:paraId="3A4AF5D6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20EEF73B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arbitration procedure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0A8F660F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To be agreed</w:t>
            </w:r>
          </w:p>
        </w:tc>
      </w:tr>
      <w:tr w:rsidRPr="00D9588B" w:rsidR="00D9588B" w:rsidTr="00A37FFD" w14:paraId="09960A39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68C5E8E8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senior representative of the client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4C1C2B" w14:paraId="0B850824" w14:textId="3BDAD328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Jackie George</w:t>
            </w:r>
          </w:p>
        </w:tc>
      </w:tr>
      <w:tr w:rsidRPr="00D9588B" w:rsidR="00D9588B" w:rsidTr="00A37FFD" w14:paraId="7D089887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5C12E893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 adjudicator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5C712E43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To be appointed by the adjudicator nominating body</w:t>
            </w:r>
          </w:p>
        </w:tc>
      </w:tr>
      <w:tr w:rsidRPr="00D9588B" w:rsidR="00D9588B" w:rsidTr="00A37FFD" w14:paraId="4FAE7765" w14:textId="77777777">
        <w:trPr>
          <w:trHeight w:val="397"/>
        </w:trPr>
        <w:tc>
          <w:tcPr>
            <w:tcW w:w="9016" w:type="dxa"/>
            <w:gridSpan w:val="2"/>
            <w:vAlign w:val="center"/>
          </w:tcPr>
          <w:p w:rsidRPr="00D9588B" w:rsidR="00D9588B" w:rsidP="00D9588B" w:rsidRDefault="00D9588B" w14:paraId="4DD06B3A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Price adjustment for Inflation</w:t>
            </w:r>
          </w:p>
        </w:tc>
      </w:tr>
      <w:tr w:rsidRPr="00D9588B" w:rsidR="00D9588B" w:rsidTr="00A37FFD" w14:paraId="23FF73DA" w14:textId="77777777">
        <w:trPr>
          <w:trHeight w:val="397"/>
        </w:trPr>
        <w:tc>
          <w:tcPr>
            <w:tcW w:w="4815" w:type="dxa"/>
          </w:tcPr>
          <w:p w:rsidRPr="00D9588B" w:rsidR="00D9588B" w:rsidP="00D9588B" w:rsidRDefault="00D9588B" w14:paraId="73274A09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The proportions used to calculate the price adjustment factor </w:t>
            </w:r>
            <w:proofErr w:type="gramStart"/>
            <w:r w:rsidRPr="00D9588B">
              <w:rPr>
                <w:rFonts w:asciiTheme="minorHAnsi" w:hAnsiTheme="minorHAnsi" w:cstheme="minorBidi"/>
              </w:rPr>
              <w:t>are</w:t>
            </w:r>
            <w:proofErr w:type="gramEnd"/>
          </w:p>
          <w:p w:rsidRPr="00D9588B" w:rsidR="00D9588B" w:rsidP="00D9588B" w:rsidRDefault="00D9588B" w14:paraId="45502E22" w14:textId="77777777">
            <w:pPr>
              <w:rPr>
                <w:rFonts w:asciiTheme="minorHAnsi" w:hAnsiTheme="minorHAnsi" w:cstheme="minorBidi"/>
              </w:rPr>
            </w:pPr>
          </w:p>
          <w:p w:rsidRPr="00D9588B" w:rsidR="00D9588B" w:rsidP="00D9588B" w:rsidRDefault="00D9588B" w14:paraId="3006B9BA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 xml:space="preserve">The base date for indices </w:t>
            </w:r>
            <w:proofErr w:type="gramStart"/>
            <w:r w:rsidRPr="00D9588B">
              <w:rPr>
                <w:rFonts w:asciiTheme="minorHAnsi" w:hAnsiTheme="minorHAnsi" w:cstheme="minorBidi"/>
              </w:rPr>
              <w:t>is</w:t>
            </w:r>
            <w:proofErr w:type="gramEnd"/>
          </w:p>
          <w:p w:rsidRPr="00D9588B" w:rsidR="00D9588B" w:rsidP="00D9588B" w:rsidRDefault="00D9588B" w14:paraId="0D0FD337" w14:textId="77777777">
            <w:pPr>
              <w:rPr>
                <w:rFonts w:asciiTheme="minorHAnsi" w:hAnsiTheme="minorHAnsi" w:cstheme="minorBidi"/>
              </w:rPr>
            </w:pPr>
          </w:p>
          <w:p w:rsidRPr="00D9588B" w:rsidR="00D9588B" w:rsidP="00D9588B" w:rsidRDefault="00D9588B" w14:paraId="332692C3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These indices are</w:t>
            </w:r>
          </w:p>
        </w:tc>
        <w:tc>
          <w:tcPr>
            <w:tcW w:w="4201" w:type="dxa"/>
          </w:tcPr>
          <w:p w:rsidRPr="00D9588B" w:rsidR="00D9588B" w:rsidP="00D9588B" w:rsidRDefault="00D9588B" w14:paraId="69D91C01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Non-adjustable</w:t>
            </w:r>
          </w:p>
          <w:p w:rsidRPr="00D9588B" w:rsidR="00D9588B" w:rsidP="00D9588B" w:rsidRDefault="00D9588B" w14:paraId="4914320C" w14:textId="77777777">
            <w:pPr>
              <w:rPr>
                <w:rFonts w:asciiTheme="minorHAnsi" w:hAnsiTheme="minorHAnsi" w:cstheme="minorBidi"/>
              </w:rPr>
            </w:pPr>
          </w:p>
          <w:p w:rsidRPr="00D9588B" w:rsidR="00D9588B" w:rsidP="00D9588B" w:rsidRDefault="00D9588B" w14:paraId="26D0CE7A" w14:textId="77777777">
            <w:pPr>
              <w:rPr>
                <w:rFonts w:asciiTheme="minorHAnsi" w:hAnsiTheme="minorHAnsi" w:cstheme="minorBidi"/>
              </w:rPr>
            </w:pPr>
          </w:p>
          <w:p w:rsidRPr="00D9588B" w:rsidR="00D9588B" w:rsidP="00D9588B" w:rsidRDefault="00D9588B" w14:paraId="338DE92D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Not Applicable</w:t>
            </w:r>
          </w:p>
          <w:p w:rsidRPr="00D9588B" w:rsidR="00D9588B" w:rsidP="00D9588B" w:rsidRDefault="00D9588B" w14:paraId="6637286E" w14:textId="77777777">
            <w:pPr>
              <w:rPr>
                <w:rFonts w:asciiTheme="minorHAnsi" w:hAnsiTheme="minorHAnsi" w:cstheme="minorBidi"/>
              </w:rPr>
            </w:pPr>
          </w:p>
          <w:p w:rsidRPr="00D9588B" w:rsidR="00D9588B" w:rsidP="00D9588B" w:rsidRDefault="00D9588B" w14:paraId="6D16EFEE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Not Applicable</w:t>
            </w:r>
          </w:p>
        </w:tc>
      </w:tr>
      <w:tr w:rsidRPr="00D9588B" w:rsidR="00D9588B" w:rsidTr="00A37FFD" w14:paraId="7F68755B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1A0C2560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Delay damages for completion of the whole of the service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5F0289AC" w14:textId="6BC2C79F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£</w:t>
            </w:r>
            <w:r w:rsidR="00957BD2">
              <w:rPr>
                <w:rFonts w:asciiTheme="minorHAnsi" w:hAnsiTheme="minorHAnsi" w:cstheme="minorBidi"/>
              </w:rPr>
              <w:t>100</w:t>
            </w:r>
            <w:r w:rsidRPr="00D9588B">
              <w:rPr>
                <w:rFonts w:asciiTheme="minorHAnsi" w:hAnsiTheme="minorHAnsi" w:cstheme="minorBidi"/>
              </w:rPr>
              <w:t xml:space="preserve"> per day</w:t>
            </w:r>
          </w:p>
        </w:tc>
      </w:tr>
      <w:tr w:rsidRPr="00D9588B" w:rsidR="00D9588B" w:rsidTr="00A37FFD" w14:paraId="0B94199E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656B1726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Performance Bond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D9588B" w14:paraId="5863E6A4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Not Applicable</w:t>
            </w:r>
          </w:p>
        </w:tc>
      </w:tr>
      <w:tr w:rsidRPr="00D9588B" w:rsidR="00D9588B" w:rsidTr="00A37FFD" w14:paraId="1ACFFE68" w14:textId="77777777">
        <w:trPr>
          <w:trHeight w:val="397"/>
        </w:trPr>
        <w:tc>
          <w:tcPr>
            <w:tcW w:w="4815" w:type="dxa"/>
            <w:vAlign w:val="center"/>
          </w:tcPr>
          <w:p w:rsidRPr="00D9588B" w:rsidR="00D9588B" w:rsidP="00D9588B" w:rsidRDefault="00D9588B" w14:paraId="4BA7756D" w14:textId="77777777">
            <w:pPr>
              <w:rPr>
                <w:rFonts w:asciiTheme="minorHAnsi" w:hAnsiTheme="minorHAnsi" w:cstheme="minorBidi"/>
              </w:rPr>
            </w:pPr>
            <w:r w:rsidRPr="00D9588B">
              <w:rPr>
                <w:rFonts w:asciiTheme="minorHAnsi" w:hAnsiTheme="minorHAnsi" w:cstheme="minorBidi"/>
              </w:rPr>
              <w:t>Limitation of Liability: The end of liability date after the completion of the whole service is</w:t>
            </w:r>
          </w:p>
        </w:tc>
        <w:tc>
          <w:tcPr>
            <w:tcW w:w="4201" w:type="dxa"/>
            <w:vAlign w:val="center"/>
          </w:tcPr>
          <w:p w:rsidRPr="00D9588B" w:rsidR="00D9588B" w:rsidP="00D9588B" w:rsidRDefault="004C1C2B" w14:paraId="7250A4D2" w14:textId="18F05F72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Six</w:t>
            </w:r>
            <w:r w:rsidRPr="00D9588B" w:rsidR="00D9588B">
              <w:rPr>
                <w:rFonts w:asciiTheme="minorHAnsi" w:hAnsiTheme="minorHAnsi" w:cstheme="minorBidi"/>
              </w:rPr>
              <w:t xml:space="preserve"> Years</w:t>
            </w:r>
          </w:p>
        </w:tc>
      </w:tr>
    </w:tbl>
    <w:p w:rsidRPr="00D9588B" w:rsidR="00D9588B" w:rsidP="00D9588B" w:rsidRDefault="00D9588B" w14:paraId="385FA7D6" w14:textId="77777777">
      <w:pPr>
        <w:rPr>
          <w:rFonts w:asciiTheme="minorHAnsi" w:hAnsiTheme="minorHAnsi" w:cstheme="minorBidi"/>
          <w:sz w:val="24"/>
          <w:szCs w:val="24"/>
          <w14:ligatures w14:val="none"/>
        </w:rPr>
      </w:pPr>
    </w:p>
    <w:p w:rsidR="00DE033D" w:rsidRDefault="00DE033D" w14:paraId="6105B6B7" w14:textId="77777777"/>
    <w:sectPr w:rsidR="00DE033D">
      <w:footerReference w:type="even" r:id="rId8"/>
      <w:footerReference w:type="default" r:id="rId9"/>
      <w:footerReference w:type="firs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39AC" w:rsidP="004239AC" w:rsidRDefault="004239AC" w14:paraId="2A4B382D" w14:textId="77777777">
      <w:r>
        <w:separator/>
      </w:r>
    </w:p>
  </w:endnote>
  <w:endnote w:type="continuationSeparator" w:id="0">
    <w:p w:rsidR="004239AC" w:rsidP="004239AC" w:rsidRDefault="004239AC" w14:paraId="607268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0794"/>
      <w:docPartObj>
        <w:docPartGallery w:val="Page Numbers (Bottom of Page)"/>
        <w:docPartUnique/>
      </w:docPartObj>
    </w:sdtPr>
    <w:sdtEndPr/>
    <w:sdtContent>
      <w:p w:rsidR="006173E3" w:rsidRDefault="006173E3" w14:paraId="5D09DF6D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173E3" w:rsidRDefault="006173E3" w14:paraId="5ECD2DC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80795"/>
      <w:docPartObj>
        <w:docPartGallery w:val="Page Numbers (Bottom of Page)"/>
        <w:docPartUnique/>
      </w:docPartObj>
    </w:sdtPr>
    <w:sdtEndPr/>
    <w:sdtContent>
      <w:p w:rsidR="006173E3" w:rsidP="009A4D86" w:rsidRDefault="006173E3" w14:paraId="5FB03197" w14:textId="77777777">
        <w:pPr>
          <w:pStyle w:val="Footer"/>
          <w:pBdr>
            <w:top w:val="single" w:color="808080" w:sz="4" w:space="11"/>
          </w:pBdr>
          <w:spacing w:after="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73E3" w:rsidP="009A4D86" w:rsidRDefault="006173E3" w14:paraId="00D0D69F" w14:textId="77777777">
    <w:pPr>
      <w:pStyle w:val="Footer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39AC" w:rsidP="004239AC" w:rsidRDefault="004239AC" w14:paraId="3BE5030B" w14:textId="77777777">
      <w:r>
        <w:separator/>
      </w:r>
    </w:p>
  </w:footnote>
  <w:footnote w:type="continuationSeparator" w:id="0">
    <w:p w:rsidR="004239AC" w:rsidP="004239AC" w:rsidRDefault="004239AC" w14:paraId="31BBD8F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75DF5"/>
    <w:multiLevelType w:val="hybridMultilevel"/>
    <w:tmpl w:val="793A22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A707B2"/>
    <w:multiLevelType w:val="hybridMultilevel"/>
    <w:tmpl w:val="D640F85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82125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85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B5"/>
    <w:rsid w:val="00014CEB"/>
    <w:rsid w:val="00130BE8"/>
    <w:rsid w:val="00207E9B"/>
    <w:rsid w:val="00212945"/>
    <w:rsid w:val="00215C26"/>
    <w:rsid w:val="00263E81"/>
    <w:rsid w:val="0028646E"/>
    <w:rsid w:val="002B22D5"/>
    <w:rsid w:val="002C0E96"/>
    <w:rsid w:val="00377C3E"/>
    <w:rsid w:val="003D1C6B"/>
    <w:rsid w:val="004239AC"/>
    <w:rsid w:val="004C1C2B"/>
    <w:rsid w:val="00534B08"/>
    <w:rsid w:val="00534CD7"/>
    <w:rsid w:val="006173E3"/>
    <w:rsid w:val="006438B8"/>
    <w:rsid w:val="00717C8A"/>
    <w:rsid w:val="008363F2"/>
    <w:rsid w:val="00876E3E"/>
    <w:rsid w:val="008C3D22"/>
    <w:rsid w:val="0092114F"/>
    <w:rsid w:val="00957BD2"/>
    <w:rsid w:val="00A30B07"/>
    <w:rsid w:val="00A8637C"/>
    <w:rsid w:val="00AB10EC"/>
    <w:rsid w:val="00B34CAF"/>
    <w:rsid w:val="00C47497"/>
    <w:rsid w:val="00C96C81"/>
    <w:rsid w:val="00CD7E62"/>
    <w:rsid w:val="00CE3F34"/>
    <w:rsid w:val="00D539B5"/>
    <w:rsid w:val="00D9588B"/>
    <w:rsid w:val="00D95BE4"/>
    <w:rsid w:val="00DC4CB5"/>
    <w:rsid w:val="00DE033D"/>
    <w:rsid w:val="00DE35D9"/>
    <w:rsid w:val="00E00F95"/>
    <w:rsid w:val="00E45191"/>
    <w:rsid w:val="00E521B6"/>
    <w:rsid w:val="00F239EB"/>
    <w:rsid w:val="00F37D97"/>
    <w:rsid w:val="00FD0C26"/>
    <w:rsid w:val="3C26B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ECEC"/>
  <w15:chartTrackingRefBased/>
  <w15:docId w15:val="{137DCFBC-05AD-4A2E-84FB-88464CC5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4CB5"/>
    <w:pPr>
      <w:spacing w:after="0" w:line="240" w:lineRule="auto"/>
    </w:pPr>
    <w:rPr>
      <w:rFonts w:ascii="Calibri" w:hAnsi="Calibri" w:cs="Calibri"/>
      <w:kern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6C81"/>
    <w:rPr>
      <w:color w:val="0563C1"/>
      <w:u w:val="single"/>
    </w:rPr>
  </w:style>
  <w:style w:type="paragraph" w:styleId="ListParagraph">
    <w:name w:val="List Paragraph"/>
    <w:aliases w:val="L,List Paragrap,Bullet Styl,No Spacing11,PAC HEARING,Párrafo de lista,Recommendation,Recommendati,Recommendatio,List Paragra,List Paragraph21,Maire,Numbered Para 1,Dot pt,No Spacing1,List Paragraph Char Char Char,Indicator Text,L1"/>
    <w:basedOn w:val="Normal"/>
    <w:link w:val="ListParagraphChar"/>
    <w:qFormat/>
    <w:rsid w:val="00C96C81"/>
    <w:pPr>
      <w:ind w:left="720"/>
    </w:pPr>
  </w:style>
  <w:style w:type="character" w:styleId="ListParagraphChar" w:customStyle="1">
    <w:name w:val="List Paragraph Char"/>
    <w:aliases w:val="L Char,List Paragrap Char,Bullet Styl Char,No Spacing11 Char,PAC HEARING Char,Párrafo de lista Char,Recommendation Char,Recommendati Char,Recommendatio Char,List Paragra Char,List Paragraph21 Char,Maire Char,Numbered Para 1 Char"/>
    <w:basedOn w:val="DefaultParagraphFont"/>
    <w:link w:val="ListParagraph"/>
    <w:qFormat/>
    <w:locked/>
    <w:rsid w:val="00CE3F34"/>
    <w:rPr>
      <w:rFonts w:ascii="Calibri" w:hAnsi="Calibri" w:cs="Calibri"/>
      <w:kern w:val="0"/>
    </w:rPr>
  </w:style>
  <w:style w:type="table" w:styleId="TableGrid">
    <w:name w:val="Table Grid"/>
    <w:aliases w:val="Table no border"/>
    <w:basedOn w:val="TableNormal"/>
    <w:rsid w:val="00D9588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4239AC"/>
    <w:pPr>
      <w:tabs>
        <w:tab w:val="right" w:pos="9072"/>
      </w:tabs>
      <w:spacing w:line="280" w:lineRule="atLeast"/>
    </w:pPr>
    <w:rPr>
      <w:rFonts w:ascii="Arial" w:hAnsi="Arial" w:eastAsia="Times New Roman" w:cs="Times New Roman"/>
      <w:sz w:val="20"/>
      <w14:ligatures w14:val="none"/>
    </w:rPr>
  </w:style>
  <w:style w:type="character" w:styleId="HeaderChar" w:customStyle="1">
    <w:name w:val="Header Char"/>
    <w:basedOn w:val="DefaultParagraphFont"/>
    <w:link w:val="Header"/>
    <w:uiPriority w:val="99"/>
    <w:rsid w:val="004239AC"/>
    <w:rPr>
      <w:rFonts w:ascii="Arial" w:hAnsi="Arial" w:eastAsia="Times New Roman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rsid w:val="004239AC"/>
    <w:pPr>
      <w:pBdr>
        <w:top w:val="single" w:color="808080" w:sz="4" w:space="16"/>
      </w:pBdr>
      <w:spacing w:after="120" w:line="300" w:lineRule="atLeast"/>
    </w:pPr>
    <w:rPr>
      <w:rFonts w:ascii="Arial" w:hAnsi="Arial" w:eastAsia="Times New Roman" w:cs="Times New Roman"/>
      <w:sz w:val="20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4239AC"/>
    <w:rPr>
      <w:rFonts w:ascii="Arial" w:hAnsi="Arial" w:eastAsia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 Sandercock</dc:creator>
  <keywords/>
  <dc:description/>
  <lastModifiedBy>Bryony Robins</lastModifiedBy>
  <revision>8</revision>
  <dcterms:created xsi:type="dcterms:W3CDTF">2024-01-14T09:14:00.0000000Z</dcterms:created>
  <dcterms:modified xsi:type="dcterms:W3CDTF">2024-01-29T08:51:14.0627034Z</dcterms:modified>
</coreProperties>
</file>