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51E2A025" w:rsidR="00FB3C86" w:rsidRDefault="00C96D42" w:rsidP="00027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1357FCF2" w14:textId="53DE21F5" w:rsidR="00FB3C86" w:rsidRDefault="00C96D42" w:rsidP="00AF32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CP&amp;F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56A5A4EC" w:rsidR="00FB3C86" w:rsidRDefault="00C96D42" w:rsidP="00E52F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78FD923C" w:rsidR="00FB3C86" w:rsidRPr="0081764A" w:rsidRDefault="00C96D42" w:rsidP="00246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649439F4" w:rsidR="00FB3C86" w:rsidRDefault="00C96D42" w:rsidP="003829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Software Box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216BE3EE" w:rsidR="00FB3C86" w:rsidRDefault="0038290E" w:rsidP="003829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290E">
              <w:rPr>
                <w:rFonts w:ascii="Arial" w:hAnsi="Arial" w:cs="Arial"/>
                <w:sz w:val="22"/>
                <w:szCs w:val="22"/>
              </w:rPr>
              <w:t>East Moor Ho</w:t>
            </w:r>
            <w:r>
              <w:rPr>
                <w:rFonts w:ascii="Arial" w:hAnsi="Arial" w:cs="Arial"/>
                <w:sz w:val="22"/>
                <w:szCs w:val="22"/>
              </w:rPr>
              <w:t xml:space="preserve">use, Green Park Business Centre, </w:t>
            </w:r>
            <w:r w:rsidRPr="0038290E">
              <w:rPr>
                <w:rFonts w:ascii="Arial" w:hAnsi="Arial" w:cs="Arial"/>
                <w:sz w:val="22"/>
                <w:szCs w:val="22"/>
              </w:rPr>
              <w:t>Goose Lane, Sutton on the Forest, YO61 1ET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2983DD4D" w:rsidR="00FB3C86" w:rsidRDefault="00C96D42" w:rsidP="003829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75A37663" w:rsidR="00FB3C86" w:rsidRPr="0081764A" w:rsidRDefault="00C96D42" w:rsidP="0038290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460852EC" w:rsidR="006431F3" w:rsidRPr="0081764A" w:rsidRDefault="00C96D42" w:rsidP="0038290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236 1809 101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363463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79C7223A" w:rsidR="00F679EE" w:rsidRPr="00B33CA5" w:rsidRDefault="00C96D4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9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6C4F4C03" w:rsidR="00F679EE" w:rsidRPr="00B33CA5" w:rsidRDefault="00C96D4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C96D4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C96D4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C96D4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4FD0B46A" w:rsidR="006431F3" w:rsidRDefault="00C96D42" w:rsidP="00027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CCIH18A71 (RCA131330)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324FA119" w:rsidR="006431F3" w:rsidRDefault="00C96D42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10-1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19/10/2018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244C18D8" w14:textId="77777777" w:rsidR="00B33CA5" w:rsidRDefault="00D801B3" w:rsidP="00B33C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goods element of this Contract will </w:t>
            </w:r>
            <w:r w:rsidR="00246483" w:rsidRPr="00246483">
              <w:rPr>
                <w:rFonts w:ascii="Arial" w:hAnsi="Arial" w:cs="Arial"/>
                <w:sz w:val="22"/>
                <w:szCs w:val="22"/>
              </w:rPr>
              <w:t>expire upon successful delivery of Goods</w:t>
            </w:r>
          </w:p>
          <w:p w14:paraId="7C128CFF" w14:textId="3D2799F9" w:rsidR="00D801B3" w:rsidRPr="00D801B3" w:rsidRDefault="00D801B3" w:rsidP="00D801B3">
            <w:pPr>
              <w:jc w:val="both"/>
              <w:rPr>
                <w:rFonts w:ascii="Arial" w:eastAsiaTheme="minorEastAsia" w:hAnsi="Arial" w:cs="Arial"/>
              </w:rPr>
            </w:pPr>
            <w:r w:rsidRPr="00D801B3">
              <w:rPr>
                <w:rFonts w:ascii="Arial" w:hAnsi="Arial" w:cs="Arial"/>
                <w:sz w:val="22"/>
                <w:szCs w:val="22"/>
              </w:rPr>
              <w:t>The Standard Manufacturer’s Warranty element of this cont</w:t>
            </w:r>
            <w:r>
              <w:rPr>
                <w:rFonts w:ascii="Arial" w:hAnsi="Arial" w:cs="Arial"/>
                <w:sz w:val="22"/>
                <w:szCs w:val="22"/>
              </w:rPr>
              <w:t>ract will be for three (3) years</w:t>
            </w:r>
            <w:r>
              <w:rPr>
                <w:rFonts w:ascii="Arial" w:eastAsiaTheme="minorEastAsia" w:hAnsi="Arial" w:cs="Arial"/>
              </w:rPr>
              <w:t xml:space="preserve"> </w:t>
            </w:r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E87B1A0" w:rsidR="00954D49" w:rsidRDefault="00C96D42" w:rsidP="007839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141B9B71" w:rsidR="004E6EF8" w:rsidRDefault="00C96D42" w:rsidP="007839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287695D4" w:rsidR="00CD4278" w:rsidRDefault="00C96D42" w:rsidP="00246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The specification of Goods is outlined within the Statement of Requirements. The Customer’s populated Schedule 5 in line with GDPR can be found under Annex A – Call Off Schedule 5 Schedule of Processing, Personal Data Subjects. By signing this Contract the Supplier has accepted the Customer’s completed Annex A.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83965">
        <w:trPr>
          <w:trHeight w:val="9228"/>
        </w:trPr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783965" w:rsidRPr="00783965" w:rsidRDefault="009C28CE" w:rsidP="00783965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73E8E27B" w14:textId="0E3C01B7" w:rsidR="00783965" w:rsidRPr="007E5255" w:rsidRDefault="00783965" w:rsidP="00783965">
            <w:pPr>
              <w:pStyle w:val="Heading2"/>
              <w:numPr>
                <w:ilvl w:val="0"/>
                <w:numId w:val="0"/>
              </w:numPr>
              <w:spacing w:after="120"/>
              <w:ind w:left="720" w:hanging="720"/>
            </w:pPr>
            <w:r>
              <w:t>Software Box Ltd is to supply the</w:t>
            </w:r>
            <w:r w:rsidRPr="007E5255">
              <w:t xml:space="preserve"> following:</w:t>
            </w:r>
          </w:p>
          <w:tbl>
            <w:tblPr>
              <w:tblStyle w:val="TableGrid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1271"/>
              <w:gridCol w:w="7039"/>
            </w:tblGrid>
            <w:tr w:rsidR="00783965" w:rsidRPr="007E5255" w14:paraId="7913DEA2" w14:textId="77777777" w:rsidTr="00783965">
              <w:tc>
                <w:tcPr>
                  <w:tcW w:w="1271" w:type="dxa"/>
                  <w:shd w:val="clear" w:color="auto" w:fill="C6D9F1" w:themeFill="text2" w:themeFillTint="33"/>
                </w:tcPr>
                <w:p w14:paraId="48456D50" w14:textId="77777777" w:rsidR="00783965" w:rsidRPr="007E5255" w:rsidRDefault="00783965" w:rsidP="0078396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</w:pPr>
                  <w:r w:rsidRPr="007E5255">
                    <w:t>Quantity</w:t>
                  </w:r>
                </w:p>
              </w:tc>
              <w:tc>
                <w:tcPr>
                  <w:tcW w:w="7039" w:type="dxa"/>
                  <w:shd w:val="clear" w:color="auto" w:fill="C6D9F1" w:themeFill="text2" w:themeFillTint="33"/>
                </w:tcPr>
                <w:p w14:paraId="2A7F84BC" w14:textId="77777777" w:rsidR="00783965" w:rsidRPr="007E5255" w:rsidRDefault="00783965" w:rsidP="00783965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</w:pPr>
                  <w:r w:rsidRPr="007E5255">
                    <w:t>Product Description</w:t>
                  </w:r>
                </w:p>
              </w:tc>
            </w:tr>
            <w:tr w:rsidR="00783965" w:rsidRPr="007E5255" w14:paraId="0ED943BF" w14:textId="77777777" w:rsidTr="00783965">
              <w:tc>
                <w:tcPr>
                  <w:tcW w:w="1271" w:type="dxa"/>
                  <w:vAlign w:val="center"/>
                </w:tcPr>
                <w:p w14:paraId="0A50F1DA" w14:textId="77777777" w:rsidR="00783965" w:rsidRPr="007E5255" w:rsidRDefault="00783965" w:rsidP="00783965">
                  <w:pPr>
                    <w:pStyle w:val="Heading2"/>
                    <w:numPr>
                      <w:ilvl w:val="0"/>
                      <w:numId w:val="0"/>
                    </w:numPr>
                    <w:spacing w:after="120"/>
                    <w:jc w:val="center"/>
                  </w:pPr>
                  <w:r w:rsidRPr="007E5255">
                    <w:t>36</w:t>
                  </w:r>
                </w:p>
              </w:tc>
              <w:tc>
                <w:tcPr>
                  <w:tcW w:w="7039" w:type="dxa"/>
                </w:tcPr>
                <w:p w14:paraId="5E5AFB8E" w14:textId="77777777" w:rsidR="00783965" w:rsidRDefault="00783965" w:rsidP="00783965">
                  <w:pPr>
                    <w:pStyle w:val="Heading2"/>
                    <w:numPr>
                      <w:ilvl w:val="0"/>
                      <w:numId w:val="0"/>
                    </w:numPr>
                    <w:spacing w:after="120"/>
                  </w:pPr>
                  <w:r>
                    <w:t>Samsung T5</w:t>
                  </w:r>
                  <w:r w:rsidRPr="007E5255">
                    <w:t xml:space="preserve"> USB 3.1 2TB external Solid State Drive</w:t>
                  </w:r>
                </w:p>
                <w:p w14:paraId="63715BBD" w14:textId="77777777" w:rsidR="00783965" w:rsidRPr="007E5255" w:rsidRDefault="00783965" w:rsidP="00783965">
                  <w:pPr>
                    <w:pStyle w:val="Heading2"/>
                    <w:numPr>
                      <w:ilvl w:val="0"/>
                      <w:numId w:val="0"/>
                    </w:numPr>
                    <w:spacing w:after="120"/>
                  </w:pPr>
                  <w:r>
                    <w:t xml:space="preserve">Product Number: </w:t>
                  </w:r>
                  <w:r w:rsidRPr="00992CCE">
                    <w:rPr>
                      <w:rFonts w:cs="Arial"/>
                      <w:szCs w:val="18"/>
                      <w:shd w:val="clear" w:color="auto" w:fill="FFFFFF"/>
                    </w:rPr>
                    <w:t>MU-PA2T0B/EU</w:t>
                  </w:r>
                </w:p>
              </w:tc>
            </w:tr>
          </w:tbl>
          <w:p w14:paraId="4008A0F2" w14:textId="77777777" w:rsidR="00783965" w:rsidRDefault="00783965" w:rsidP="00783965">
            <w:pPr>
              <w:pStyle w:val="Heading2"/>
              <w:numPr>
                <w:ilvl w:val="0"/>
                <w:numId w:val="0"/>
              </w:numPr>
              <w:spacing w:after="120"/>
              <w:ind w:left="709"/>
              <w:rPr>
                <w:highlight w:val="yellow"/>
              </w:rPr>
            </w:pPr>
          </w:p>
          <w:p w14:paraId="49FE0FE3" w14:textId="69805389" w:rsidR="0065469A" w:rsidRPr="00783965" w:rsidRDefault="00783965" w:rsidP="00783965">
            <w:pPr>
              <w:pStyle w:val="Heading2"/>
              <w:numPr>
                <w:ilvl w:val="0"/>
                <w:numId w:val="0"/>
              </w:numPr>
              <w:ind w:left="720" w:hanging="720"/>
            </w:pPr>
            <w:r>
              <w:t>No alternative items will be accepted.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331"/>
              <w:gridCol w:w="4331"/>
              <w:gridCol w:w="3744"/>
            </w:tblGrid>
            <w:tr w:rsidR="0065469A" w:rsidRPr="00297CF4" w14:paraId="13BBC49E" w14:textId="77777777" w:rsidTr="0065469A">
              <w:tc>
                <w:tcPr>
                  <w:tcW w:w="707" w:type="pct"/>
                  <w:shd w:val="clear" w:color="auto" w:fill="C6D9F1" w:themeFill="text2" w:themeFillTint="33"/>
                  <w:vAlign w:val="center"/>
                </w:tcPr>
                <w:p w14:paraId="32B463F6" w14:textId="77777777" w:rsidR="0065469A" w:rsidRPr="007E5255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7E5255">
                    <w:rPr>
                      <w:b/>
                    </w:rPr>
                    <w:t>Milestone</w:t>
                  </w:r>
                </w:p>
              </w:tc>
              <w:tc>
                <w:tcPr>
                  <w:tcW w:w="2302" w:type="pct"/>
                  <w:shd w:val="clear" w:color="auto" w:fill="C6D9F1" w:themeFill="text2" w:themeFillTint="33"/>
                  <w:vAlign w:val="center"/>
                </w:tcPr>
                <w:p w14:paraId="4D6BAECE" w14:textId="77777777" w:rsidR="0065469A" w:rsidRPr="007E5255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7E5255">
                    <w:rPr>
                      <w:b/>
                    </w:rPr>
                    <w:t>Description</w:t>
                  </w:r>
                </w:p>
              </w:tc>
              <w:tc>
                <w:tcPr>
                  <w:tcW w:w="1990" w:type="pct"/>
                  <w:shd w:val="clear" w:color="auto" w:fill="C6D9F1" w:themeFill="text2" w:themeFillTint="33"/>
                  <w:vAlign w:val="center"/>
                </w:tcPr>
                <w:p w14:paraId="371DF7E4" w14:textId="77777777" w:rsidR="0065469A" w:rsidRPr="007E5255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7E5255">
                    <w:rPr>
                      <w:b/>
                    </w:rPr>
                    <w:t>Timeframe</w:t>
                  </w:r>
                </w:p>
              </w:tc>
            </w:tr>
            <w:tr w:rsidR="0065469A" w:rsidRPr="00297CF4" w14:paraId="4F111CA8" w14:textId="77777777" w:rsidTr="0065469A">
              <w:tc>
                <w:tcPr>
                  <w:tcW w:w="707" w:type="pct"/>
                  <w:vAlign w:val="center"/>
                </w:tcPr>
                <w:p w14:paraId="25728C42" w14:textId="77777777" w:rsidR="0065469A" w:rsidRPr="00C4485D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2302" w:type="pct"/>
                  <w:vAlign w:val="center"/>
                </w:tcPr>
                <w:p w14:paraId="367B95EC" w14:textId="77777777" w:rsidR="0065469A" w:rsidRPr="00C4485D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Contract Order Form Signed</w:t>
                  </w:r>
                </w:p>
              </w:tc>
              <w:tc>
                <w:tcPr>
                  <w:tcW w:w="1990" w:type="pct"/>
                  <w:vAlign w:val="center"/>
                </w:tcPr>
                <w:p w14:paraId="3E333F53" w14:textId="77777777" w:rsidR="0065469A" w:rsidRPr="00C4485D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Within two (2) days of Contract Award notification issued via the </w:t>
                  </w:r>
                  <w:proofErr w:type="spellStart"/>
                  <w:r>
                    <w:rPr>
                      <w:szCs w:val="24"/>
                    </w:rPr>
                    <w:t>eSourcing</w:t>
                  </w:r>
                  <w:proofErr w:type="spellEnd"/>
                  <w:r>
                    <w:rPr>
                      <w:szCs w:val="24"/>
                    </w:rPr>
                    <w:t xml:space="preserve"> Portal</w:t>
                  </w:r>
                </w:p>
              </w:tc>
            </w:tr>
            <w:tr w:rsidR="0065469A" w:rsidRPr="00297CF4" w14:paraId="515C0B40" w14:textId="77777777" w:rsidTr="0065469A">
              <w:trPr>
                <w:trHeight w:val="1083"/>
              </w:trPr>
              <w:tc>
                <w:tcPr>
                  <w:tcW w:w="707" w:type="pct"/>
                </w:tcPr>
                <w:p w14:paraId="5E853A23" w14:textId="77777777" w:rsidR="0065469A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</w:p>
                <w:p w14:paraId="38143A24" w14:textId="77777777" w:rsidR="0065469A" w:rsidRPr="00C4485D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2302" w:type="pct"/>
                </w:tcPr>
                <w:p w14:paraId="7B07405B" w14:textId="77777777" w:rsidR="0065469A" w:rsidRPr="00C4485D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Delivery of all hardware, </w:t>
                  </w:r>
                  <w:r w:rsidRPr="00CA72AE">
                    <w:t>inclusive of the required warranties, to t</w:t>
                  </w:r>
                  <w:r>
                    <w:t>he Customer’s required location</w:t>
                  </w:r>
                  <w:r w:rsidRPr="00CA72AE">
                    <w:t>.</w:t>
                  </w:r>
                </w:p>
              </w:tc>
              <w:tc>
                <w:tcPr>
                  <w:tcW w:w="1990" w:type="pct"/>
                </w:tcPr>
                <w:p w14:paraId="603CD59F" w14:textId="77777777" w:rsidR="0065469A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</w:p>
                <w:p w14:paraId="18DC2AA0" w14:textId="77777777" w:rsidR="0065469A" w:rsidRPr="00C4485D" w:rsidRDefault="0065469A" w:rsidP="0065469A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Within one (1) week of Contract Award</w:t>
                  </w:r>
                </w:p>
              </w:tc>
            </w:tr>
          </w:tbl>
          <w:p w14:paraId="532868E5" w14:textId="77777777" w:rsidR="0065469A" w:rsidRDefault="0065469A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187"/>
              <w:gridCol w:w="2007"/>
              <w:gridCol w:w="4338"/>
              <w:gridCol w:w="1874"/>
            </w:tblGrid>
            <w:tr w:rsidR="0065469A" w14:paraId="73C0CBBB" w14:textId="77777777" w:rsidTr="0065469A">
              <w:tc>
                <w:tcPr>
                  <w:tcW w:w="631" w:type="pct"/>
                  <w:shd w:val="clear" w:color="auto" w:fill="B8CCE4" w:themeFill="accent1" w:themeFillTint="66"/>
                </w:tcPr>
                <w:p w14:paraId="3A5F9EC0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KPI/SLA</w:t>
                  </w:r>
                </w:p>
              </w:tc>
              <w:tc>
                <w:tcPr>
                  <w:tcW w:w="1067" w:type="pct"/>
                  <w:shd w:val="clear" w:color="auto" w:fill="B8CCE4" w:themeFill="accent1" w:themeFillTint="66"/>
                </w:tcPr>
                <w:p w14:paraId="015A11A8" w14:textId="77777777" w:rsidR="0065469A" w:rsidRPr="0022505B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 w:rsidRPr="0022505B">
                    <w:t>Service Area</w:t>
                  </w:r>
                </w:p>
              </w:tc>
              <w:tc>
                <w:tcPr>
                  <w:tcW w:w="2306" w:type="pct"/>
                  <w:shd w:val="clear" w:color="auto" w:fill="B8CCE4" w:themeFill="accent1" w:themeFillTint="66"/>
                </w:tcPr>
                <w:p w14:paraId="77640EB4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KPI/SLA description</w:t>
                  </w:r>
                </w:p>
              </w:tc>
              <w:tc>
                <w:tcPr>
                  <w:tcW w:w="996" w:type="pct"/>
                  <w:shd w:val="clear" w:color="auto" w:fill="B8CCE4" w:themeFill="accent1" w:themeFillTint="66"/>
                </w:tcPr>
                <w:p w14:paraId="549503D4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Target</w:t>
                  </w:r>
                </w:p>
              </w:tc>
            </w:tr>
            <w:tr w:rsidR="0065469A" w14:paraId="5D6815D6" w14:textId="77777777" w:rsidTr="0065469A">
              <w:tc>
                <w:tcPr>
                  <w:tcW w:w="631" w:type="pct"/>
                </w:tcPr>
                <w:p w14:paraId="4654BE78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1</w:t>
                  </w:r>
                </w:p>
              </w:tc>
              <w:tc>
                <w:tcPr>
                  <w:tcW w:w="1067" w:type="pct"/>
                </w:tcPr>
                <w:p w14:paraId="3C1BCD0C" w14:textId="77777777" w:rsidR="0065469A" w:rsidRPr="0022505B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 w:rsidRPr="0022505B">
                    <w:t>Delivery Timescales</w:t>
                  </w:r>
                </w:p>
              </w:tc>
              <w:tc>
                <w:tcPr>
                  <w:tcW w:w="2306" w:type="pct"/>
                </w:tcPr>
                <w:p w14:paraId="11961BD4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 xml:space="preserve">Successful delivery of all Goods to the Authority’s premises as identified within Section 21 – Location within one (1) week of Contract Award. </w:t>
                  </w:r>
                </w:p>
              </w:tc>
              <w:tc>
                <w:tcPr>
                  <w:tcW w:w="996" w:type="pct"/>
                </w:tcPr>
                <w:p w14:paraId="46B65F05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98%</w:t>
                  </w:r>
                </w:p>
              </w:tc>
            </w:tr>
            <w:tr w:rsidR="0065469A" w14:paraId="0E2CF579" w14:textId="77777777" w:rsidTr="0065469A">
              <w:tc>
                <w:tcPr>
                  <w:tcW w:w="631" w:type="pct"/>
                </w:tcPr>
                <w:p w14:paraId="7D1A9678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2</w:t>
                  </w:r>
                </w:p>
              </w:tc>
              <w:tc>
                <w:tcPr>
                  <w:tcW w:w="1067" w:type="pct"/>
                </w:tcPr>
                <w:p w14:paraId="000B70BC" w14:textId="77777777" w:rsidR="0065469A" w:rsidRPr="0022505B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Delivery</w:t>
                  </w:r>
                </w:p>
              </w:tc>
              <w:tc>
                <w:tcPr>
                  <w:tcW w:w="2306" w:type="pct"/>
                </w:tcPr>
                <w:p w14:paraId="51F08894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Goods to be securely packaged and free from damage.</w:t>
                  </w:r>
                </w:p>
              </w:tc>
              <w:tc>
                <w:tcPr>
                  <w:tcW w:w="996" w:type="pct"/>
                </w:tcPr>
                <w:p w14:paraId="13B47D05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100%</w:t>
                  </w:r>
                </w:p>
              </w:tc>
            </w:tr>
            <w:tr w:rsidR="0065469A" w14:paraId="292334E5" w14:textId="77777777" w:rsidTr="0065469A">
              <w:tc>
                <w:tcPr>
                  <w:tcW w:w="631" w:type="pct"/>
                </w:tcPr>
                <w:p w14:paraId="6DD1CF76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3</w:t>
                  </w:r>
                </w:p>
              </w:tc>
              <w:tc>
                <w:tcPr>
                  <w:tcW w:w="1067" w:type="pct"/>
                </w:tcPr>
                <w:p w14:paraId="2510DE06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Warranty Period</w:t>
                  </w:r>
                </w:p>
              </w:tc>
              <w:tc>
                <w:tcPr>
                  <w:tcW w:w="2306" w:type="pct"/>
                </w:tcPr>
                <w:p w14:paraId="13226546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All issues raised following delivery of the Goods to be resolved in line with the manufacturer’s warranty provision.</w:t>
                  </w:r>
                </w:p>
              </w:tc>
              <w:tc>
                <w:tcPr>
                  <w:tcW w:w="996" w:type="pct"/>
                </w:tcPr>
                <w:p w14:paraId="2993E0C8" w14:textId="77777777" w:rsidR="0065469A" w:rsidRDefault="0065469A" w:rsidP="0065469A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100%</w:t>
                  </w:r>
                </w:p>
              </w:tc>
            </w:tr>
          </w:tbl>
          <w:p w14:paraId="6F73B1C4" w14:textId="38DC8180" w:rsidR="0065469A" w:rsidRDefault="0065469A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1D098E" w14:textId="7F0448FA" w:rsidR="007A7BD0" w:rsidRDefault="009C28CE" w:rsidP="007A7B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7A7BD0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2DFE5C05" w:rsidR="00923283" w:rsidRPr="0013761F" w:rsidRDefault="00246483" w:rsidP="007A7B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6483">
              <w:rPr>
                <w:rFonts w:ascii="Arial" w:hAnsi="Arial" w:cs="Arial"/>
                <w:sz w:val="22"/>
                <w:szCs w:val="22"/>
              </w:rPr>
              <w:t>The Standard three (3) year Manufacturer’s warranty.</w:t>
            </w:r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E52FD5">
        <w:trPr>
          <w:trHeight w:val="1846"/>
        </w:trPr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BD0C850" w14:textId="3AC95D1F" w:rsidR="000279FF" w:rsidRPr="00E356C4" w:rsidRDefault="009C28CE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401D3068" w:rsidR="00923283" w:rsidRPr="000279FF" w:rsidRDefault="000279FF" w:rsidP="00027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Army Media &amp; </w:t>
            </w:r>
            <w:proofErr w:type="spellStart"/>
            <w:r>
              <w:rPr>
                <w:rFonts w:ascii="Arial" w:hAnsi="Arial" w:cs="Arial"/>
              </w:rPr>
              <w:t>Comms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</w:r>
            <w:proofErr w:type="spellStart"/>
            <w:r w:rsidRPr="000279FF">
              <w:rPr>
                <w:rFonts w:ascii="Arial" w:hAnsi="Arial" w:cs="Arial"/>
              </w:rPr>
              <w:t>Ramillies</w:t>
            </w:r>
            <w:proofErr w:type="spellEnd"/>
            <w:r w:rsidRPr="000279FF">
              <w:rPr>
                <w:rFonts w:ascii="Arial" w:hAnsi="Arial" w:cs="Arial"/>
              </w:rPr>
              <w:t xml:space="preserve"> Building,</w:t>
            </w:r>
            <w:r w:rsidRPr="000279FF">
              <w:rPr>
                <w:rFonts w:ascii="Arial" w:hAnsi="Arial" w:cs="Arial"/>
              </w:rPr>
              <w:br/>
              <w:t xml:space="preserve">Marlborough Lines, </w:t>
            </w:r>
            <w:r w:rsidRPr="000279FF">
              <w:rPr>
                <w:rFonts w:ascii="Arial" w:hAnsi="Arial" w:cs="Arial"/>
              </w:rPr>
              <w:br/>
            </w:r>
            <w:proofErr w:type="spellStart"/>
            <w:r w:rsidRPr="000279FF">
              <w:rPr>
                <w:rFonts w:ascii="Arial" w:hAnsi="Arial" w:cs="Arial"/>
              </w:rPr>
              <w:t>Monxton</w:t>
            </w:r>
            <w:proofErr w:type="spellEnd"/>
            <w:r w:rsidRPr="000279FF">
              <w:rPr>
                <w:rFonts w:ascii="Arial" w:hAnsi="Arial" w:cs="Arial"/>
              </w:rPr>
              <w:t xml:space="preserve"> Road, </w:t>
            </w:r>
            <w:r w:rsidRPr="000279FF">
              <w:rPr>
                <w:rFonts w:ascii="Arial" w:hAnsi="Arial" w:cs="Arial"/>
              </w:rPr>
              <w:br/>
              <w:t>Andover,</w:t>
            </w:r>
            <w:r w:rsidRPr="000279FF">
              <w:rPr>
                <w:rFonts w:ascii="Arial" w:hAnsi="Arial" w:cs="Arial"/>
              </w:rPr>
              <w:br/>
              <w:t>SP11 8HJ</w:t>
            </w:r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p w14:paraId="7FFBC30C" w14:textId="79B4CCBC" w:rsidR="00923283" w:rsidRPr="0013761F" w:rsidRDefault="00C96D42" w:rsidP="00E356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1005060"/>
                <w:placeholder>
                  <w:docPart w:val="4A9E2A9E822B4A389CD683D0A4A98CCE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Within one (1) week of Contract Award</w:t>
                </w:r>
              </w:sdtContent>
            </w:sdt>
          </w:p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30775433" w:rsidR="00832A35" w:rsidRPr="00832A35" w:rsidRDefault="0065469A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65469A">
              <w:rPr>
                <w:rFonts w:cs="Arial"/>
                <w:b w:val="0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42AB8B29" w14:textId="77777777" w:rsidR="0065469A" w:rsidRDefault="0065469A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 w:rsidRPr="0065469A">
              <w:rPr>
                <w:rFonts w:cs="Arial"/>
                <w:b w:val="0"/>
              </w:rPr>
              <w:t>N/A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</w:t>
            </w:r>
          </w:p>
          <w:p w14:paraId="081EF8DA" w14:textId="4A067557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5B1979A3" w14:textId="77777777" w:rsidR="0065469A" w:rsidRDefault="0065469A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 w:rsidRPr="0065469A">
              <w:rPr>
                <w:rFonts w:cs="Arial"/>
                <w:b w:val="0"/>
              </w:rPr>
              <w:t>N/A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</w:t>
            </w:r>
          </w:p>
          <w:p w14:paraId="1B360896" w14:textId="7B5C3FCC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C96D42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C96D4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C96D4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C96D4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C96D4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C96D4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C96D4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C96D4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C96D4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C96D4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C96D4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C96D4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1AACBF39" w:rsidR="003E086A" w:rsidRPr="00AF0EBE" w:rsidRDefault="00C96D4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9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57B3E669" w:rsidR="005B6F23" w:rsidRPr="005B6F23" w:rsidRDefault="00C96D42" w:rsidP="007839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Not Applicable.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923283" w:rsidRDefault="00D37C07" w:rsidP="007839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any applicable Milestone Payments and/or discount(s), but excluding VAT) and payment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lastRenderedPageBreak/>
              <w:t>terms/profile including method of payment (e.g. Government Procurement Card (GPC) or BACS)</w:t>
            </w:r>
          </w:p>
          <w:p w14:paraId="5086BE35" w14:textId="52116C5A" w:rsidR="00783965" w:rsidRPr="00783965" w:rsidRDefault="00783965" w:rsidP="00783965">
            <w:pPr>
              <w:tabs>
                <w:tab w:val="left" w:pos="28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£17,663.40 (excluding VAT)</w:t>
            </w:r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C96D42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783965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783965" w:rsidRDefault="00783965" w:rsidP="007839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783965" w:rsidRDefault="00783965" w:rsidP="007839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2A5A8109" w:rsidR="00783965" w:rsidRDefault="00C96D42" w:rsidP="00783965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6823435"/>
                <w:placeholder>
                  <w:docPart w:val="E15A4224A3A846E9BF153EF339A565C5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£17,663.40 (excluding VAT)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Default="0013761F" w:rsidP="00783965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="00783965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346B1F6E" w:rsidR="00783965" w:rsidRPr="00783965" w:rsidRDefault="00783965" w:rsidP="00783965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36346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36346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7C9FD971" w:rsidR="00D37C07" w:rsidRDefault="00C96D42" w:rsidP="0078396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2142392"/>
                <w:placeholder>
                  <w:docPart w:val="EAEDE15145584A9D9EAA84C1C0ED55E7"/>
                </w:placeholder>
                <w:text/>
              </w:sdtPr>
              <w:sdtEndPr/>
              <w:sdtContent>
                <w:r w:rsidR="00296864">
                  <w:rPr>
                    <w:rFonts w:ascii="Arial" w:hAnsi="Arial" w:cs="Arial"/>
                    <w:sz w:val="22"/>
                    <w:szCs w:val="22"/>
                  </w:rPr>
                  <w:t>£17,663.40 (excluding VAT)</w:t>
                </w:r>
              </w:sdtContent>
            </w:sdt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363463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32929F30" w:rsidR="00D37C07" w:rsidRPr="00296864" w:rsidRDefault="00296864" w:rsidP="0036346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96864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3D0715D4" w:rsidR="00C15BE3" w:rsidRPr="00957EAE" w:rsidRDefault="0029686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6864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53DD409A" w:rsidR="00C15BE3" w:rsidRPr="00957EAE" w:rsidRDefault="0029686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6864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6A0444EF" w:rsidR="00C15BE3" w:rsidRPr="00957EAE" w:rsidRDefault="0029686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6864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40D581BB" w:rsidR="00C15BE3" w:rsidRPr="00957EAE" w:rsidRDefault="0029686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19/10/2018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557F1D99" w:rsidR="00CD178F" w:rsidRPr="00957EAE" w:rsidRDefault="0029686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6864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089F5CCA" w:rsidR="00CD178F" w:rsidRPr="00957EAE" w:rsidRDefault="0029686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6864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64B75B91" w:rsidR="00CD178F" w:rsidRPr="00957EAE" w:rsidRDefault="0029686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6864"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2A3F3273" w:rsidR="00CD178F" w:rsidRPr="00957EAE" w:rsidRDefault="0029686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19/10/2018</w:t>
            </w:r>
          </w:p>
        </w:tc>
      </w:tr>
    </w:tbl>
    <w:p w14:paraId="1A1D93AF" w14:textId="77777777" w:rsidR="00CD178F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6A9F316B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837C1FD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E1A0B3D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82DCE3F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04E0B5F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D17161A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9B7AE13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69DE572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2781864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44C5CDD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0936E65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2FED696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57AED52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7EF1870" w14:textId="77777777" w:rsidR="0035408C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61DB139" w14:textId="77777777" w:rsidR="0065469A" w:rsidRDefault="0065469A" w:rsidP="0035408C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 xml:space="preserve">Annex A </w:t>
      </w:r>
    </w:p>
    <w:p w14:paraId="15B0C590" w14:textId="77777777" w:rsidR="0065469A" w:rsidRDefault="0065469A" w:rsidP="0035408C">
      <w:pPr>
        <w:rPr>
          <w:rFonts w:ascii="Arial" w:eastAsia="Times New Roman" w:hAnsi="Arial" w:cs="Arial"/>
          <w:b/>
          <w:sz w:val="20"/>
          <w:szCs w:val="20"/>
        </w:rPr>
      </w:pPr>
    </w:p>
    <w:p w14:paraId="56255761" w14:textId="2C24AA94" w:rsidR="0035408C" w:rsidRDefault="0035408C" w:rsidP="0035408C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Call-Off </w:t>
      </w:r>
      <w:r w:rsidRPr="00A60D92">
        <w:rPr>
          <w:rFonts w:ascii="Arial" w:eastAsia="Times New Roman" w:hAnsi="Arial" w:cs="Arial"/>
          <w:b/>
          <w:sz w:val="20"/>
          <w:szCs w:val="20"/>
        </w:rPr>
        <w:t>Schedule 5 Schedule of Processing, Personal Data and Data Subjects</w:t>
      </w:r>
    </w:p>
    <w:p w14:paraId="24D7325E" w14:textId="77777777" w:rsidR="0035408C" w:rsidRPr="008311B8" w:rsidRDefault="0035408C" w:rsidP="0035408C">
      <w:pPr>
        <w:rPr>
          <w:rFonts w:ascii="Arial" w:eastAsia="Times New Roman" w:hAnsi="Arial" w:cs="Arial"/>
          <w:b/>
          <w:sz w:val="20"/>
          <w:szCs w:val="20"/>
        </w:rPr>
      </w:pPr>
    </w:p>
    <w:p w14:paraId="65AE2877" w14:textId="6940ADA1" w:rsidR="0035408C" w:rsidRDefault="00296864" w:rsidP="0035408C">
      <w:pPr>
        <w:rPr>
          <w:rFonts w:ascii="Arial" w:hAnsi="Arial" w:cs="Arial"/>
          <w:sz w:val="20"/>
          <w:szCs w:val="20"/>
        </w:rPr>
      </w:pPr>
      <w:r w:rsidRPr="00296864">
        <w:rPr>
          <w:rFonts w:ascii="Arial" w:hAnsi="Arial" w:cs="Arial"/>
          <w:noProof/>
          <w:lang w:eastAsia="en-GB"/>
        </w:rPr>
        <w:t>REDACTED</w:t>
      </w:r>
      <w:r w:rsidR="0035408C" w:rsidRPr="00A60D92">
        <w:rPr>
          <w:rFonts w:ascii="Arial" w:hAnsi="Arial" w:cs="Arial"/>
          <w:sz w:val="20"/>
          <w:szCs w:val="20"/>
        </w:rPr>
        <w:t xml:space="preserve"> </w:t>
      </w:r>
    </w:p>
    <w:p w14:paraId="2528AF3B" w14:textId="7151DF2A" w:rsidR="0035408C" w:rsidRPr="00A60D92" w:rsidRDefault="0035408C" w:rsidP="0035408C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0A89739F" w14:textId="77777777" w:rsidR="0035408C" w:rsidRPr="00957EAE" w:rsidRDefault="0035408C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35408C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655D4" w14:textId="77777777" w:rsidR="00C96D42" w:rsidRDefault="00C96D42" w:rsidP="000F07AF">
      <w:r>
        <w:separator/>
      </w:r>
    </w:p>
  </w:endnote>
  <w:endnote w:type="continuationSeparator" w:id="0">
    <w:p w14:paraId="763CC217" w14:textId="77777777" w:rsidR="00C96D42" w:rsidRDefault="00C96D42" w:rsidP="000F07AF">
      <w:r>
        <w:continuationSeparator/>
      </w:r>
    </w:p>
  </w:endnote>
  <w:endnote w:type="continuationNotice" w:id="1">
    <w:p w14:paraId="4D60D971" w14:textId="77777777" w:rsidR="00C96D42" w:rsidRDefault="00C96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2BF970C0" w:rsidR="00D8755C" w:rsidRPr="00465B72" w:rsidRDefault="00D8755C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296864">
      <w:rPr>
        <w:rFonts w:ascii="Arial" w:hAnsi="Arial" w:cs="Arial"/>
        <w:noProof/>
      </w:rPr>
      <w:t>8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296864">
      <w:rPr>
        <w:rFonts w:ascii="Arial" w:hAnsi="Arial" w:cs="Arial"/>
        <w:noProof/>
      </w:rPr>
      <w:t>8</w:t>
    </w:r>
    <w:r>
      <w:rPr>
        <w:rFonts w:ascii="Arial" w:hAnsi="Arial" w:cs="Arial"/>
        <w:noProof/>
      </w:rPr>
      <w:fldChar w:fldCharType="end"/>
    </w:r>
  </w:p>
  <w:p w14:paraId="079E6DB7" w14:textId="4924F240" w:rsidR="00D8755C" w:rsidRPr="00465B72" w:rsidRDefault="00D8755C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D8755C" w:rsidRDefault="00D8755C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B0084" w14:textId="77777777" w:rsidR="00C96D42" w:rsidRDefault="00C96D42" w:rsidP="000F07AF">
      <w:r>
        <w:separator/>
      </w:r>
    </w:p>
  </w:footnote>
  <w:footnote w:type="continuationSeparator" w:id="0">
    <w:p w14:paraId="7CE837D4" w14:textId="77777777" w:rsidR="00C96D42" w:rsidRDefault="00C96D42" w:rsidP="000F07AF">
      <w:r>
        <w:continuationSeparator/>
      </w:r>
    </w:p>
  </w:footnote>
  <w:footnote w:type="continuationNotice" w:id="1">
    <w:p w14:paraId="2A9940B2" w14:textId="77777777" w:rsidR="00C96D42" w:rsidRDefault="00C96D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4C544447" w:rsidR="00D8755C" w:rsidRDefault="00D8755C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D8755C" w:rsidRDefault="00D87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EC6AF6"/>
    <w:lvl w:ilvl="0">
      <w:start w:val="1"/>
      <w:numFmt w:val="decimal"/>
      <w:pStyle w:val="ScheduleLevel3Heading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F56F2"/>
    <w:multiLevelType w:val="hybridMultilevel"/>
    <w:tmpl w:val="5838B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6"/>
  </w:num>
  <w:num w:numId="9">
    <w:abstractNumId w:val="8"/>
  </w:num>
  <w:num w:numId="10">
    <w:abstractNumId w:val="2"/>
  </w:num>
  <w:num w:numId="11">
    <w:abstractNumId w:val="12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2716"/>
    <w:rsid w:val="000038AF"/>
    <w:rsid w:val="000046A1"/>
    <w:rsid w:val="000069C6"/>
    <w:rsid w:val="000279FF"/>
    <w:rsid w:val="000323C1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31F2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25B9"/>
    <w:rsid w:val="002059B6"/>
    <w:rsid w:val="002207DF"/>
    <w:rsid w:val="00223FBD"/>
    <w:rsid w:val="0022544E"/>
    <w:rsid w:val="00232450"/>
    <w:rsid w:val="0023485C"/>
    <w:rsid w:val="00235A48"/>
    <w:rsid w:val="0023793C"/>
    <w:rsid w:val="00246483"/>
    <w:rsid w:val="00247C4C"/>
    <w:rsid w:val="00252420"/>
    <w:rsid w:val="00262F32"/>
    <w:rsid w:val="002645A4"/>
    <w:rsid w:val="0027241C"/>
    <w:rsid w:val="002879E4"/>
    <w:rsid w:val="002907D6"/>
    <w:rsid w:val="00296864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14811"/>
    <w:rsid w:val="0032169F"/>
    <w:rsid w:val="00333003"/>
    <w:rsid w:val="00336C72"/>
    <w:rsid w:val="0035408C"/>
    <w:rsid w:val="003567B2"/>
    <w:rsid w:val="00357D66"/>
    <w:rsid w:val="00363463"/>
    <w:rsid w:val="003669CF"/>
    <w:rsid w:val="00371536"/>
    <w:rsid w:val="00372391"/>
    <w:rsid w:val="00372B38"/>
    <w:rsid w:val="0038202D"/>
    <w:rsid w:val="0038290E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04CB4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162"/>
    <w:rsid w:val="00465B72"/>
    <w:rsid w:val="0047232D"/>
    <w:rsid w:val="00480C8C"/>
    <w:rsid w:val="004830FE"/>
    <w:rsid w:val="004A3F53"/>
    <w:rsid w:val="004A7B97"/>
    <w:rsid w:val="004A7C57"/>
    <w:rsid w:val="004C0112"/>
    <w:rsid w:val="004C0965"/>
    <w:rsid w:val="004C3B7F"/>
    <w:rsid w:val="004E48C0"/>
    <w:rsid w:val="004E6EF8"/>
    <w:rsid w:val="004E794C"/>
    <w:rsid w:val="004F1C6E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47BB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69A"/>
    <w:rsid w:val="0065485C"/>
    <w:rsid w:val="00654E12"/>
    <w:rsid w:val="00660DB1"/>
    <w:rsid w:val="006721AC"/>
    <w:rsid w:val="00690139"/>
    <w:rsid w:val="006935CC"/>
    <w:rsid w:val="006A0B6D"/>
    <w:rsid w:val="006B74E9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83965"/>
    <w:rsid w:val="007A3495"/>
    <w:rsid w:val="007A7BD0"/>
    <w:rsid w:val="007B6D36"/>
    <w:rsid w:val="007C1A0F"/>
    <w:rsid w:val="007C1C86"/>
    <w:rsid w:val="007D2A30"/>
    <w:rsid w:val="007D3586"/>
    <w:rsid w:val="007E0D85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0AB9"/>
    <w:rsid w:val="00891A7E"/>
    <w:rsid w:val="00897EDE"/>
    <w:rsid w:val="008A7E4D"/>
    <w:rsid w:val="008C4830"/>
    <w:rsid w:val="008C764A"/>
    <w:rsid w:val="008D038D"/>
    <w:rsid w:val="008D0E8D"/>
    <w:rsid w:val="008D50A5"/>
    <w:rsid w:val="008D6204"/>
    <w:rsid w:val="008E07C3"/>
    <w:rsid w:val="008F444D"/>
    <w:rsid w:val="008F776F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404F7"/>
    <w:rsid w:val="00A57955"/>
    <w:rsid w:val="00A76BE5"/>
    <w:rsid w:val="00A85DD7"/>
    <w:rsid w:val="00A900D2"/>
    <w:rsid w:val="00AA3128"/>
    <w:rsid w:val="00AB2759"/>
    <w:rsid w:val="00AD075A"/>
    <w:rsid w:val="00AF0C28"/>
    <w:rsid w:val="00AF0EBE"/>
    <w:rsid w:val="00AF3274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2D40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6D42"/>
    <w:rsid w:val="00C97732"/>
    <w:rsid w:val="00C977C6"/>
    <w:rsid w:val="00CA3FF7"/>
    <w:rsid w:val="00CA5906"/>
    <w:rsid w:val="00CB413D"/>
    <w:rsid w:val="00CB454A"/>
    <w:rsid w:val="00CB564D"/>
    <w:rsid w:val="00CC1841"/>
    <w:rsid w:val="00CC27FC"/>
    <w:rsid w:val="00CC41B8"/>
    <w:rsid w:val="00CC5C56"/>
    <w:rsid w:val="00CC6DA9"/>
    <w:rsid w:val="00CD178F"/>
    <w:rsid w:val="00CD1E77"/>
    <w:rsid w:val="00CD4278"/>
    <w:rsid w:val="00CE4F53"/>
    <w:rsid w:val="00CE7768"/>
    <w:rsid w:val="00CF1F34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01B3"/>
    <w:rsid w:val="00D84DF6"/>
    <w:rsid w:val="00D85ED9"/>
    <w:rsid w:val="00D8755C"/>
    <w:rsid w:val="00D97EC9"/>
    <w:rsid w:val="00DA06DB"/>
    <w:rsid w:val="00DA1A5E"/>
    <w:rsid w:val="00DA2A35"/>
    <w:rsid w:val="00DA2FE2"/>
    <w:rsid w:val="00DA6B66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356C4"/>
    <w:rsid w:val="00E37973"/>
    <w:rsid w:val="00E52C2D"/>
    <w:rsid w:val="00E52FD5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57DB4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5469A"/>
    <w:pPr>
      <w:keepNext/>
      <w:numPr>
        <w:numId w:val="13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5469A"/>
    <w:pPr>
      <w:numPr>
        <w:ilvl w:val="1"/>
        <w:numId w:val="13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5469A"/>
    <w:pPr>
      <w:numPr>
        <w:ilvl w:val="2"/>
        <w:numId w:val="13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65469A"/>
    <w:pPr>
      <w:numPr>
        <w:ilvl w:val="3"/>
        <w:numId w:val="13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qFormat/>
    <w:rsid w:val="0065469A"/>
    <w:pPr>
      <w:numPr>
        <w:ilvl w:val="4"/>
        <w:numId w:val="13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DO NOT USE_h6,bullet2,Blank 2,h6,H62,H63,H64,H65,H66,H67,H68,H69,H610,H611,H612,H613,H614,H615"/>
    <w:basedOn w:val="Normal"/>
    <w:link w:val="Heading6Char"/>
    <w:qFormat/>
    <w:rsid w:val="0065469A"/>
    <w:pPr>
      <w:numPr>
        <w:ilvl w:val="5"/>
        <w:numId w:val="13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"/>
    <w:basedOn w:val="Normal"/>
    <w:link w:val="Heading7Char"/>
    <w:qFormat/>
    <w:rsid w:val="0065469A"/>
    <w:pPr>
      <w:numPr>
        <w:ilvl w:val="6"/>
        <w:numId w:val="13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"/>
    <w:basedOn w:val="Normal"/>
    <w:link w:val="Heading8Char"/>
    <w:uiPriority w:val="99"/>
    <w:qFormat/>
    <w:rsid w:val="0065469A"/>
    <w:pPr>
      <w:numPr>
        <w:ilvl w:val="7"/>
        <w:numId w:val="13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Normal"/>
    <w:link w:val="Heading9Char"/>
    <w:uiPriority w:val="99"/>
    <w:qFormat/>
    <w:rsid w:val="0065469A"/>
    <w:pPr>
      <w:numPr>
        <w:ilvl w:val="8"/>
        <w:numId w:val="13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5469A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65469A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5469A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5469A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5469A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DO NOT USE_h6 Char,bullet2 Char"/>
    <w:basedOn w:val="DefaultParagraphFont"/>
    <w:link w:val="Heading6"/>
    <w:rsid w:val="0065469A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"/>
    <w:basedOn w:val="DefaultParagraphFont"/>
    <w:link w:val="Heading7"/>
    <w:rsid w:val="0065469A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basedOn w:val="DefaultParagraphFont"/>
    <w:link w:val="Heading8"/>
    <w:uiPriority w:val="99"/>
    <w:rsid w:val="0065469A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basedOn w:val="DefaultParagraphFont"/>
    <w:link w:val="Heading9"/>
    <w:uiPriority w:val="99"/>
    <w:rsid w:val="0065469A"/>
    <w:rPr>
      <w:rFonts w:ascii="Arial" w:eastAsia="STZhongsong" w:hAnsi="Arial"/>
      <w:sz w:val="22"/>
      <w:lang w:eastAsia="zh-CN"/>
    </w:rPr>
  </w:style>
  <w:style w:type="paragraph" w:customStyle="1" w:styleId="ScheduleLevel3Heading">
    <w:name w:val="Schedule Level 3 Heading"/>
    <w:basedOn w:val="Normal"/>
    <w:next w:val="Normal"/>
    <w:rsid w:val="00783965"/>
    <w:pPr>
      <w:keepNext/>
      <w:numPr>
        <w:numId w:val="14"/>
      </w:numPr>
      <w:spacing w:after="240"/>
      <w:jc w:val="both"/>
    </w:pPr>
    <w:rPr>
      <w:rFonts w:ascii="Arial" w:eastAsia="Times New Roman" w:hAnsi="Arial"/>
      <w:sz w:val="2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AEDE15145584A9D9EAA84C1C0ED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3AD4-9236-4F01-8712-A421AADF8AB3}"/>
      </w:docPartPr>
      <w:docPartBody>
        <w:p w:rsidR="00EA7E67" w:rsidRDefault="005427CB" w:rsidP="005427CB">
          <w:pPr>
            <w:pStyle w:val="EAEDE15145584A9D9EAA84C1C0ED55E7"/>
          </w:pPr>
          <w:r w:rsidRPr="0081764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15A4224A3A846E9BF153EF339A56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CC4D-9496-4777-B412-4CCE82366ABC}"/>
      </w:docPartPr>
      <w:docPartBody>
        <w:p w:rsidR="000D27D6" w:rsidRDefault="000D27D6" w:rsidP="000D27D6">
          <w:pPr>
            <w:pStyle w:val="E15A4224A3A846E9BF153EF339A565C5"/>
          </w:pPr>
          <w:r w:rsidRPr="0081764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0D27D6"/>
    <w:rsid w:val="00145F81"/>
    <w:rsid w:val="00156A19"/>
    <w:rsid w:val="00157B84"/>
    <w:rsid w:val="001E24A7"/>
    <w:rsid w:val="001E78DE"/>
    <w:rsid w:val="002460E2"/>
    <w:rsid w:val="00260017"/>
    <w:rsid w:val="002A2875"/>
    <w:rsid w:val="002E259B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0B9E"/>
    <w:rsid w:val="00535BCB"/>
    <w:rsid w:val="005427CB"/>
    <w:rsid w:val="00555161"/>
    <w:rsid w:val="00566013"/>
    <w:rsid w:val="005C4C2B"/>
    <w:rsid w:val="005E076E"/>
    <w:rsid w:val="005E47BA"/>
    <w:rsid w:val="005E5EF7"/>
    <w:rsid w:val="006439ED"/>
    <w:rsid w:val="00650DFF"/>
    <w:rsid w:val="00714C4A"/>
    <w:rsid w:val="0074199B"/>
    <w:rsid w:val="007621A3"/>
    <w:rsid w:val="007B3B2E"/>
    <w:rsid w:val="007C7FEF"/>
    <w:rsid w:val="0082083A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248D1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EA7E67"/>
    <w:rsid w:val="00F07DD9"/>
    <w:rsid w:val="00F53FD5"/>
    <w:rsid w:val="00F80BDD"/>
    <w:rsid w:val="00F911DA"/>
    <w:rsid w:val="00FA26B3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BDD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EAEDE15145584A9D9EAA84C1C0ED55E7">
    <w:name w:val="EAEDE15145584A9D9EAA84C1C0ED55E7"/>
    <w:rsid w:val="005427CB"/>
    <w:pPr>
      <w:spacing w:after="160" w:line="259" w:lineRule="auto"/>
    </w:pPr>
  </w:style>
  <w:style w:type="paragraph" w:customStyle="1" w:styleId="20420AE922F04A52AF02AE92D307DCDD">
    <w:name w:val="20420AE922F04A52AF02AE92D307DCDD"/>
    <w:rsid w:val="005427CB"/>
    <w:pPr>
      <w:spacing w:after="160" w:line="259" w:lineRule="auto"/>
    </w:pPr>
  </w:style>
  <w:style w:type="paragraph" w:customStyle="1" w:styleId="97C3CBF9874249F39E42CFADB4E065B6">
    <w:name w:val="97C3CBF9874249F39E42CFADB4E065B6"/>
    <w:rsid w:val="005427CB"/>
    <w:pPr>
      <w:spacing w:after="160" w:line="259" w:lineRule="auto"/>
    </w:pPr>
  </w:style>
  <w:style w:type="paragraph" w:customStyle="1" w:styleId="DC0358294B5C4DA7BF937CEEF8884CB5">
    <w:name w:val="DC0358294B5C4DA7BF937CEEF8884CB5"/>
    <w:rsid w:val="00EA7E67"/>
    <w:pPr>
      <w:spacing w:after="160" w:line="259" w:lineRule="auto"/>
    </w:pPr>
  </w:style>
  <w:style w:type="paragraph" w:customStyle="1" w:styleId="F3C520111C9F466A93CFE8E2C4C7B3D5">
    <w:name w:val="F3C520111C9F466A93CFE8E2C4C7B3D5"/>
    <w:rsid w:val="000D27D6"/>
    <w:pPr>
      <w:spacing w:after="160" w:line="259" w:lineRule="auto"/>
    </w:pPr>
  </w:style>
  <w:style w:type="paragraph" w:customStyle="1" w:styleId="2A6DFE3C2D1A4768B15652926855F154">
    <w:name w:val="2A6DFE3C2D1A4768B15652926855F154"/>
    <w:rsid w:val="000D27D6"/>
    <w:pPr>
      <w:spacing w:after="160" w:line="259" w:lineRule="auto"/>
    </w:pPr>
  </w:style>
  <w:style w:type="paragraph" w:customStyle="1" w:styleId="1D32BA32F7094C6FB2E0C73E499010D0">
    <w:name w:val="1D32BA32F7094C6FB2E0C73E499010D0"/>
    <w:rsid w:val="000D27D6"/>
    <w:pPr>
      <w:spacing w:after="160" w:line="259" w:lineRule="auto"/>
    </w:pPr>
  </w:style>
  <w:style w:type="paragraph" w:customStyle="1" w:styleId="C8D66DE83AC144DAB4F2BAC0734785B9">
    <w:name w:val="C8D66DE83AC144DAB4F2BAC0734785B9"/>
    <w:rsid w:val="000D27D6"/>
    <w:pPr>
      <w:spacing w:after="160" w:line="259" w:lineRule="auto"/>
    </w:pPr>
  </w:style>
  <w:style w:type="paragraph" w:customStyle="1" w:styleId="E15A4224A3A846E9BF153EF339A565C5">
    <w:name w:val="E15A4224A3A846E9BF153EF339A565C5"/>
    <w:rsid w:val="000D27D6"/>
    <w:pPr>
      <w:spacing w:after="160" w:line="259" w:lineRule="auto"/>
    </w:pPr>
  </w:style>
  <w:style w:type="paragraph" w:customStyle="1" w:styleId="238F8CFE1B8A4218BFBC8A0433129A48">
    <w:name w:val="238F8CFE1B8A4218BFBC8A0433129A48"/>
    <w:rsid w:val="000D27D6"/>
    <w:pPr>
      <w:spacing w:after="160" w:line="259" w:lineRule="auto"/>
    </w:pPr>
  </w:style>
  <w:style w:type="paragraph" w:customStyle="1" w:styleId="A39B8BAC2D404535977335E90190EBB6">
    <w:name w:val="A39B8BAC2D404535977335E90190EBB6"/>
    <w:rsid w:val="000D27D6"/>
    <w:pPr>
      <w:spacing w:after="160" w:line="259" w:lineRule="auto"/>
    </w:pPr>
  </w:style>
  <w:style w:type="paragraph" w:customStyle="1" w:styleId="506FB154B88242B8BB14F1FABC66B5EE">
    <w:name w:val="506FB154B88242B8BB14F1FABC66B5EE"/>
    <w:rsid w:val="00F80BD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09B21C-2A49-4D6F-94BB-FDC6E22E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2018-09-26T15:41:00Z</dcterms:created>
  <dcterms:modified xsi:type="dcterms:W3CDTF">2018-10-23T07:39:00Z</dcterms:modified>
</cp:coreProperties>
</file>