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4BA61" w14:textId="77777777" w:rsidR="00D37BAC" w:rsidRDefault="00E35542" w:rsidP="00D37BAC">
      <w:pPr>
        <w:spacing w:after="120"/>
        <w:jc w:val="center"/>
        <w:rPr>
          <w:b/>
        </w:rPr>
      </w:pPr>
      <w:bookmarkStart w:id="0" w:name="_Toc278544909"/>
      <w:r>
        <w:rPr>
          <w:b/>
        </w:rPr>
        <w:t>APPENDIX B</w:t>
      </w:r>
    </w:p>
    <w:p w14:paraId="143F0304" w14:textId="77777777" w:rsidR="00D37BAC" w:rsidRDefault="00E35542" w:rsidP="00D37BAC">
      <w:pPr>
        <w:spacing w:after="120"/>
        <w:jc w:val="center"/>
        <w:rPr>
          <w:b/>
        </w:rPr>
      </w:pPr>
      <w:r>
        <w:rPr>
          <w:b/>
        </w:rPr>
        <w:t>SERVICE DESCRIPTION</w:t>
      </w:r>
    </w:p>
    <w:p w14:paraId="506379F5" w14:textId="77777777" w:rsidR="00FA5229" w:rsidRDefault="00FA5229" w:rsidP="00FA5229">
      <w:pPr>
        <w:pStyle w:val="bodystrongcentred"/>
      </w:pPr>
    </w:p>
    <w:p w14:paraId="134A8D1D" w14:textId="77777777" w:rsidR="00FA5229" w:rsidRDefault="00FA5229" w:rsidP="00FA5229">
      <w:pPr>
        <w:pStyle w:val="bodystrongcentred"/>
      </w:pPr>
      <w:r>
        <w:t>CONTENTS</w:t>
      </w:r>
    </w:p>
    <w:p w14:paraId="2E145499" w14:textId="77777777" w:rsidR="00FA5229" w:rsidRDefault="00FA5229" w:rsidP="00FA5229"/>
    <w:p w14:paraId="5CFE3ADC" w14:textId="77777777" w:rsidR="000E60D4" w:rsidRDefault="00DA54AA">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383464499" w:history="1">
        <w:r w:rsidR="000E60D4" w:rsidRPr="00820DA2">
          <w:rPr>
            <w:rStyle w:val="Hyperlink"/>
            <w:noProof/>
          </w:rPr>
          <w:t>1.</w:t>
        </w:r>
        <w:r w:rsidR="000E60D4">
          <w:rPr>
            <w:rFonts w:asciiTheme="minorHAnsi" w:eastAsiaTheme="minorEastAsia" w:hAnsiTheme="minorHAnsi" w:cstheme="minorBidi"/>
            <w:caps w:val="0"/>
            <w:noProof/>
            <w:szCs w:val="22"/>
            <w:lang w:eastAsia="en-GB"/>
          </w:rPr>
          <w:tab/>
        </w:r>
        <w:r w:rsidR="000E60D4" w:rsidRPr="00820DA2">
          <w:rPr>
            <w:rStyle w:val="Hyperlink"/>
            <w:noProof/>
          </w:rPr>
          <w:t>INTRODUCTION</w:t>
        </w:r>
        <w:r w:rsidR="000E60D4">
          <w:rPr>
            <w:noProof/>
            <w:webHidden/>
          </w:rPr>
          <w:tab/>
        </w:r>
        <w:r>
          <w:rPr>
            <w:noProof/>
            <w:webHidden/>
          </w:rPr>
          <w:fldChar w:fldCharType="begin"/>
        </w:r>
        <w:r w:rsidR="000E60D4">
          <w:rPr>
            <w:noProof/>
            <w:webHidden/>
          </w:rPr>
          <w:instrText xml:space="preserve"> PAGEREF _Toc383464499 \h </w:instrText>
        </w:r>
        <w:r>
          <w:rPr>
            <w:noProof/>
            <w:webHidden/>
          </w:rPr>
        </w:r>
        <w:r>
          <w:rPr>
            <w:noProof/>
            <w:webHidden/>
          </w:rPr>
          <w:fldChar w:fldCharType="separate"/>
        </w:r>
        <w:r w:rsidR="00C70CA3">
          <w:rPr>
            <w:noProof/>
            <w:webHidden/>
          </w:rPr>
          <w:t>2</w:t>
        </w:r>
        <w:r>
          <w:rPr>
            <w:noProof/>
            <w:webHidden/>
          </w:rPr>
          <w:fldChar w:fldCharType="end"/>
        </w:r>
      </w:hyperlink>
    </w:p>
    <w:p w14:paraId="2024FC7D" w14:textId="77777777" w:rsidR="000E60D4" w:rsidRDefault="00003ED3">
      <w:pPr>
        <w:pStyle w:val="TOC1"/>
        <w:rPr>
          <w:rFonts w:asciiTheme="minorHAnsi" w:eastAsiaTheme="minorEastAsia" w:hAnsiTheme="minorHAnsi" w:cstheme="minorBidi"/>
          <w:caps w:val="0"/>
          <w:noProof/>
          <w:szCs w:val="22"/>
          <w:lang w:eastAsia="en-GB"/>
        </w:rPr>
      </w:pPr>
      <w:hyperlink w:anchor="_Toc383464500" w:history="1">
        <w:r w:rsidR="000E60D4" w:rsidRPr="00820DA2">
          <w:rPr>
            <w:rStyle w:val="Hyperlink"/>
            <w:noProof/>
          </w:rPr>
          <w:t>2.</w:t>
        </w:r>
        <w:r w:rsidR="000E60D4">
          <w:rPr>
            <w:rFonts w:asciiTheme="minorHAnsi" w:eastAsiaTheme="minorEastAsia" w:hAnsiTheme="minorHAnsi" w:cstheme="minorBidi"/>
            <w:caps w:val="0"/>
            <w:noProof/>
            <w:szCs w:val="22"/>
            <w:lang w:eastAsia="en-GB"/>
          </w:rPr>
          <w:tab/>
        </w:r>
        <w:r w:rsidR="000E60D4" w:rsidRPr="00820DA2">
          <w:rPr>
            <w:rStyle w:val="Hyperlink"/>
            <w:noProof/>
          </w:rPr>
          <w:t>PURPOSE</w:t>
        </w:r>
        <w:r w:rsidR="000E60D4">
          <w:rPr>
            <w:noProof/>
            <w:webHidden/>
          </w:rPr>
          <w:tab/>
        </w:r>
        <w:r w:rsidR="00DA54AA">
          <w:rPr>
            <w:noProof/>
            <w:webHidden/>
          </w:rPr>
          <w:fldChar w:fldCharType="begin"/>
        </w:r>
        <w:r w:rsidR="000E60D4">
          <w:rPr>
            <w:noProof/>
            <w:webHidden/>
          </w:rPr>
          <w:instrText xml:space="preserve"> PAGEREF _Toc383464500 \h </w:instrText>
        </w:r>
        <w:r w:rsidR="00DA54AA">
          <w:rPr>
            <w:noProof/>
            <w:webHidden/>
          </w:rPr>
        </w:r>
        <w:r w:rsidR="00DA54AA">
          <w:rPr>
            <w:noProof/>
            <w:webHidden/>
          </w:rPr>
          <w:fldChar w:fldCharType="separate"/>
        </w:r>
        <w:r w:rsidR="00C70CA3">
          <w:rPr>
            <w:noProof/>
            <w:webHidden/>
          </w:rPr>
          <w:t>2</w:t>
        </w:r>
        <w:r w:rsidR="00DA54AA">
          <w:rPr>
            <w:noProof/>
            <w:webHidden/>
          </w:rPr>
          <w:fldChar w:fldCharType="end"/>
        </w:r>
      </w:hyperlink>
    </w:p>
    <w:p w14:paraId="45F716D6" w14:textId="77777777" w:rsidR="000E60D4" w:rsidRDefault="00003ED3">
      <w:pPr>
        <w:pStyle w:val="TOC1"/>
        <w:rPr>
          <w:rFonts w:asciiTheme="minorHAnsi" w:eastAsiaTheme="minorEastAsia" w:hAnsiTheme="minorHAnsi" w:cstheme="minorBidi"/>
          <w:caps w:val="0"/>
          <w:noProof/>
          <w:szCs w:val="22"/>
          <w:lang w:eastAsia="en-GB"/>
        </w:rPr>
      </w:pPr>
      <w:hyperlink w:anchor="_Toc383464501" w:history="1">
        <w:r w:rsidR="000E60D4" w:rsidRPr="00820DA2">
          <w:rPr>
            <w:rStyle w:val="Hyperlink"/>
            <w:noProof/>
          </w:rPr>
          <w:t>3.</w:t>
        </w:r>
        <w:r w:rsidR="000E60D4">
          <w:rPr>
            <w:rFonts w:asciiTheme="minorHAnsi" w:eastAsiaTheme="minorEastAsia" w:hAnsiTheme="minorHAnsi" w:cstheme="minorBidi"/>
            <w:caps w:val="0"/>
            <w:noProof/>
            <w:szCs w:val="22"/>
            <w:lang w:eastAsia="en-GB"/>
          </w:rPr>
          <w:tab/>
        </w:r>
        <w:r w:rsidR="000E60D4" w:rsidRPr="00820DA2">
          <w:rPr>
            <w:rStyle w:val="Hyperlink"/>
            <w:noProof/>
          </w:rPr>
          <w:t>background to the authority</w:t>
        </w:r>
        <w:r w:rsidR="000E60D4">
          <w:rPr>
            <w:noProof/>
            <w:webHidden/>
          </w:rPr>
          <w:tab/>
        </w:r>
        <w:r w:rsidR="00DA54AA">
          <w:rPr>
            <w:noProof/>
            <w:webHidden/>
          </w:rPr>
          <w:fldChar w:fldCharType="begin"/>
        </w:r>
        <w:r w:rsidR="000E60D4">
          <w:rPr>
            <w:noProof/>
            <w:webHidden/>
          </w:rPr>
          <w:instrText xml:space="preserve"> PAGEREF _Toc383464501 \h </w:instrText>
        </w:r>
        <w:r w:rsidR="00DA54AA">
          <w:rPr>
            <w:noProof/>
            <w:webHidden/>
          </w:rPr>
        </w:r>
        <w:r w:rsidR="00DA54AA">
          <w:rPr>
            <w:noProof/>
            <w:webHidden/>
          </w:rPr>
          <w:fldChar w:fldCharType="separate"/>
        </w:r>
        <w:r w:rsidR="00C70CA3">
          <w:rPr>
            <w:noProof/>
            <w:webHidden/>
          </w:rPr>
          <w:t>2</w:t>
        </w:r>
        <w:r w:rsidR="00DA54AA">
          <w:rPr>
            <w:noProof/>
            <w:webHidden/>
          </w:rPr>
          <w:fldChar w:fldCharType="end"/>
        </w:r>
      </w:hyperlink>
    </w:p>
    <w:p w14:paraId="3333D7E6" w14:textId="77777777" w:rsidR="000E60D4" w:rsidRDefault="00003ED3">
      <w:pPr>
        <w:pStyle w:val="TOC1"/>
        <w:rPr>
          <w:rFonts w:asciiTheme="minorHAnsi" w:eastAsiaTheme="minorEastAsia" w:hAnsiTheme="minorHAnsi" w:cstheme="minorBidi"/>
          <w:caps w:val="0"/>
          <w:noProof/>
          <w:szCs w:val="22"/>
          <w:lang w:eastAsia="en-GB"/>
        </w:rPr>
      </w:pPr>
      <w:hyperlink w:anchor="_Toc383464502" w:history="1">
        <w:r w:rsidR="000E60D4" w:rsidRPr="00820DA2">
          <w:rPr>
            <w:rStyle w:val="Hyperlink"/>
            <w:noProof/>
          </w:rPr>
          <w:t>4.</w:t>
        </w:r>
        <w:r w:rsidR="000E60D4">
          <w:rPr>
            <w:rFonts w:asciiTheme="minorHAnsi" w:eastAsiaTheme="minorEastAsia" w:hAnsiTheme="minorHAnsi" w:cstheme="minorBidi"/>
            <w:caps w:val="0"/>
            <w:noProof/>
            <w:szCs w:val="22"/>
            <w:lang w:eastAsia="en-GB"/>
          </w:rPr>
          <w:tab/>
        </w:r>
        <w:r w:rsidR="000E60D4" w:rsidRPr="00820DA2">
          <w:rPr>
            <w:rStyle w:val="Hyperlink"/>
            <w:noProof/>
          </w:rPr>
          <w:t>Background to requirement/OVERVIEW of requirement</w:t>
        </w:r>
        <w:r w:rsidR="000E60D4">
          <w:rPr>
            <w:noProof/>
            <w:webHidden/>
          </w:rPr>
          <w:tab/>
        </w:r>
        <w:r w:rsidR="00DA54AA">
          <w:rPr>
            <w:noProof/>
            <w:webHidden/>
          </w:rPr>
          <w:fldChar w:fldCharType="begin"/>
        </w:r>
        <w:r w:rsidR="000E60D4">
          <w:rPr>
            <w:noProof/>
            <w:webHidden/>
          </w:rPr>
          <w:instrText xml:space="preserve"> PAGEREF _Toc383464502 \h </w:instrText>
        </w:r>
        <w:r w:rsidR="00DA54AA">
          <w:rPr>
            <w:noProof/>
            <w:webHidden/>
          </w:rPr>
        </w:r>
        <w:r w:rsidR="00DA54AA">
          <w:rPr>
            <w:noProof/>
            <w:webHidden/>
          </w:rPr>
          <w:fldChar w:fldCharType="separate"/>
        </w:r>
        <w:r w:rsidR="00C70CA3">
          <w:rPr>
            <w:noProof/>
            <w:webHidden/>
          </w:rPr>
          <w:t>3</w:t>
        </w:r>
        <w:r w:rsidR="00DA54AA">
          <w:rPr>
            <w:noProof/>
            <w:webHidden/>
          </w:rPr>
          <w:fldChar w:fldCharType="end"/>
        </w:r>
      </w:hyperlink>
    </w:p>
    <w:p w14:paraId="66EE6952" w14:textId="77777777" w:rsidR="000E60D4" w:rsidRDefault="00003ED3">
      <w:pPr>
        <w:pStyle w:val="TOC1"/>
        <w:rPr>
          <w:rFonts w:asciiTheme="minorHAnsi" w:eastAsiaTheme="minorEastAsia" w:hAnsiTheme="minorHAnsi" w:cstheme="minorBidi"/>
          <w:caps w:val="0"/>
          <w:noProof/>
          <w:szCs w:val="22"/>
          <w:lang w:eastAsia="en-GB"/>
        </w:rPr>
      </w:pPr>
      <w:hyperlink w:anchor="_Toc383464503" w:history="1">
        <w:r w:rsidR="000E60D4" w:rsidRPr="00820DA2">
          <w:rPr>
            <w:rStyle w:val="Hyperlink"/>
            <w:noProof/>
          </w:rPr>
          <w:t>5.</w:t>
        </w:r>
        <w:r w:rsidR="000E60D4">
          <w:rPr>
            <w:rFonts w:asciiTheme="minorHAnsi" w:eastAsiaTheme="minorEastAsia" w:hAnsiTheme="minorHAnsi" w:cstheme="minorBidi"/>
            <w:caps w:val="0"/>
            <w:noProof/>
            <w:szCs w:val="22"/>
            <w:lang w:eastAsia="en-GB"/>
          </w:rPr>
          <w:tab/>
        </w:r>
        <w:r w:rsidR="000E60D4" w:rsidRPr="00820DA2">
          <w:rPr>
            <w:rStyle w:val="Hyperlink"/>
            <w:noProof/>
          </w:rPr>
          <w:t>Scope of Requirements</w:t>
        </w:r>
        <w:r w:rsidR="000E60D4">
          <w:rPr>
            <w:noProof/>
            <w:webHidden/>
          </w:rPr>
          <w:tab/>
        </w:r>
        <w:r w:rsidR="00DA54AA">
          <w:rPr>
            <w:noProof/>
            <w:webHidden/>
          </w:rPr>
          <w:fldChar w:fldCharType="begin"/>
        </w:r>
        <w:r w:rsidR="000E60D4">
          <w:rPr>
            <w:noProof/>
            <w:webHidden/>
          </w:rPr>
          <w:instrText xml:space="preserve"> PAGEREF _Toc383464503 \h </w:instrText>
        </w:r>
        <w:r w:rsidR="00DA54AA">
          <w:rPr>
            <w:noProof/>
            <w:webHidden/>
          </w:rPr>
        </w:r>
        <w:r w:rsidR="00DA54AA">
          <w:rPr>
            <w:noProof/>
            <w:webHidden/>
          </w:rPr>
          <w:fldChar w:fldCharType="separate"/>
        </w:r>
        <w:r w:rsidR="00C70CA3">
          <w:rPr>
            <w:noProof/>
            <w:webHidden/>
          </w:rPr>
          <w:t>3</w:t>
        </w:r>
        <w:r w:rsidR="00DA54AA">
          <w:rPr>
            <w:noProof/>
            <w:webHidden/>
          </w:rPr>
          <w:fldChar w:fldCharType="end"/>
        </w:r>
      </w:hyperlink>
    </w:p>
    <w:p w14:paraId="634B55AA" w14:textId="77777777" w:rsidR="000E60D4" w:rsidRDefault="00003ED3">
      <w:pPr>
        <w:pStyle w:val="TOC1"/>
        <w:rPr>
          <w:rFonts w:asciiTheme="minorHAnsi" w:eastAsiaTheme="minorEastAsia" w:hAnsiTheme="minorHAnsi" w:cstheme="minorBidi"/>
          <w:caps w:val="0"/>
          <w:noProof/>
          <w:szCs w:val="22"/>
          <w:lang w:eastAsia="en-GB"/>
        </w:rPr>
      </w:pPr>
      <w:hyperlink w:anchor="_Toc383464504" w:history="1">
        <w:r w:rsidR="000E60D4" w:rsidRPr="00820DA2">
          <w:rPr>
            <w:rStyle w:val="Hyperlink"/>
            <w:rFonts w:cs="Arial"/>
            <w:noProof/>
          </w:rPr>
          <w:t>6.</w:t>
        </w:r>
        <w:r w:rsidR="000E60D4">
          <w:rPr>
            <w:rFonts w:asciiTheme="minorHAnsi" w:eastAsiaTheme="minorEastAsia" w:hAnsiTheme="minorHAnsi" w:cstheme="minorBidi"/>
            <w:caps w:val="0"/>
            <w:noProof/>
            <w:szCs w:val="22"/>
            <w:lang w:eastAsia="en-GB"/>
          </w:rPr>
          <w:tab/>
        </w:r>
        <w:r w:rsidR="000E60D4" w:rsidRPr="00820DA2">
          <w:rPr>
            <w:rStyle w:val="Hyperlink"/>
            <w:rFonts w:cs="Arial"/>
            <w:noProof/>
          </w:rPr>
          <w:t>service levels and performance</w:t>
        </w:r>
        <w:r w:rsidR="000E60D4">
          <w:rPr>
            <w:noProof/>
            <w:webHidden/>
          </w:rPr>
          <w:tab/>
        </w:r>
        <w:r w:rsidR="00DA54AA">
          <w:rPr>
            <w:noProof/>
            <w:webHidden/>
          </w:rPr>
          <w:fldChar w:fldCharType="begin"/>
        </w:r>
        <w:r w:rsidR="000E60D4">
          <w:rPr>
            <w:noProof/>
            <w:webHidden/>
          </w:rPr>
          <w:instrText xml:space="preserve"> PAGEREF _Toc383464504 \h </w:instrText>
        </w:r>
        <w:r w:rsidR="00DA54AA">
          <w:rPr>
            <w:noProof/>
            <w:webHidden/>
          </w:rPr>
        </w:r>
        <w:r w:rsidR="00DA54AA">
          <w:rPr>
            <w:noProof/>
            <w:webHidden/>
          </w:rPr>
          <w:fldChar w:fldCharType="separate"/>
        </w:r>
        <w:r w:rsidR="00C70CA3">
          <w:rPr>
            <w:noProof/>
            <w:webHidden/>
          </w:rPr>
          <w:t>4</w:t>
        </w:r>
        <w:r w:rsidR="00DA54AA">
          <w:rPr>
            <w:noProof/>
            <w:webHidden/>
          </w:rPr>
          <w:fldChar w:fldCharType="end"/>
        </w:r>
      </w:hyperlink>
    </w:p>
    <w:p w14:paraId="5C2243A8" w14:textId="03014B69" w:rsidR="000E60D4" w:rsidRPr="00F87C51" w:rsidRDefault="00003ED3">
      <w:pPr>
        <w:pStyle w:val="TOC1"/>
        <w:rPr>
          <w:rFonts w:asciiTheme="minorHAnsi" w:eastAsiaTheme="minorEastAsia" w:hAnsiTheme="minorHAnsi" w:cstheme="minorBidi"/>
          <w:caps w:val="0"/>
          <w:noProof/>
          <w:szCs w:val="22"/>
          <w:lang w:eastAsia="en-GB"/>
        </w:rPr>
      </w:pPr>
      <w:hyperlink w:anchor="_Toc383464506" w:history="1">
        <w:r w:rsidR="00F87C51" w:rsidRPr="00F87C51">
          <w:rPr>
            <w:rStyle w:val="Hyperlink"/>
            <w:noProof/>
          </w:rPr>
          <w:t>7</w:t>
        </w:r>
        <w:r w:rsidR="000E60D4" w:rsidRPr="00F87C51">
          <w:rPr>
            <w:rStyle w:val="Hyperlink"/>
            <w:noProof/>
          </w:rPr>
          <w:t>.</w:t>
        </w:r>
        <w:r w:rsidR="000E60D4" w:rsidRPr="00F87C51">
          <w:rPr>
            <w:rFonts w:asciiTheme="minorHAnsi" w:eastAsiaTheme="minorEastAsia" w:hAnsiTheme="minorHAnsi" w:cstheme="minorBidi"/>
            <w:caps w:val="0"/>
            <w:noProof/>
            <w:szCs w:val="22"/>
            <w:lang w:eastAsia="en-GB"/>
          </w:rPr>
          <w:tab/>
        </w:r>
        <w:r w:rsidR="00F87C51">
          <w:rPr>
            <w:rStyle w:val="Hyperlink"/>
            <w:noProof/>
          </w:rPr>
          <w:t>Location</w:t>
        </w:r>
        <w:r w:rsidR="000E60D4" w:rsidRPr="00F87C51">
          <w:rPr>
            <w:noProof/>
            <w:webHidden/>
          </w:rPr>
          <w:tab/>
        </w:r>
        <w:r w:rsidR="00DA54AA" w:rsidRPr="00F87C51">
          <w:rPr>
            <w:noProof/>
            <w:webHidden/>
          </w:rPr>
          <w:fldChar w:fldCharType="begin"/>
        </w:r>
        <w:r w:rsidR="000E60D4" w:rsidRPr="00F87C51">
          <w:rPr>
            <w:noProof/>
            <w:webHidden/>
          </w:rPr>
          <w:instrText xml:space="preserve"> PAGEREF _Toc383464506 \h </w:instrText>
        </w:r>
        <w:r w:rsidR="00DA54AA" w:rsidRPr="00F87C51">
          <w:rPr>
            <w:noProof/>
            <w:webHidden/>
          </w:rPr>
        </w:r>
        <w:r w:rsidR="00DA54AA" w:rsidRPr="00F87C51">
          <w:rPr>
            <w:noProof/>
            <w:webHidden/>
          </w:rPr>
          <w:fldChar w:fldCharType="end"/>
        </w:r>
      </w:hyperlink>
      <w:r w:rsidR="00C70CA3">
        <w:rPr>
          <w:noProof/>
        </w:rPr>
        <w:t>7</w:t>
      </w:r>
    </w:p>
    <w:p w14:paraId="298A6943" w14:textId="77777777" w:rsidR="000E60D4" w:rsidRPr="00F87C51" w:rsidRDefault="00003ED3">
      <w:pPr>
        <w:pStyle w:val="TOC1"/>
        <w:rPr>
          <w:rFonts w:asciiTheme="minorHAnsi" w:eastAsiaTheme="minorEastAsia" w:hAnsiTheme="minorHAnsi" w:cstheme="minorBidi"/>
          <w:caps w:val="0"/>
          <w:noProof/>
          <w:szCs w:val="22"/>
          <w:lang w:eastAsia="en-GB"/>
        </w:rPr>
      </w:pPr>
      <w:hyperlink w:anchor="_Toc383464507" w:history="1">
        <w:r w:rsidR="00F87C51" w:rsidRPr="00F87C51">
          <w:rPr>
            <w:rStyle w:val="Hyperlink"/>
            <w:noProof/>
          </w:rPr>
          <w:t>8</w:t>
        </w:r>
        <w:r w:rsidR="000E60D4" w:rsidRPr="00F87C51">
          <w:rPr>
            <w:rStyle w:val="Hyperlink"/>
            <w:noProof/>
          </w:rPr>
          <w:t>.</w:t>
        </w:r>
        <w:r w:rsidR="000E60D4" w:rsidRPr="00F87C51">
          <w:rPr>
            <w:rFonts w:asciiTheme="minorHAnsi" w:eastAsiaTheme="minorEastAsia" w:hAnsiTheme="minorHAnsi" w:cstheme="minorBidi"/>
            <w:caps w:val="0"/>
            <w:noProof/>
            <w:szCs w:val="22"/>
            <w:lang w:eastAsia="en-GB"/>
          </w:rPr>
          <w:tab/>
        </w:r>
        <w:r w:rsidR="000E60D4" w:rsidRPr="00F87C51">
          <w:rPr>
            <w:rStyle w:val="Hyperlink"/>
            <w:noProof/>
          </w:rPr>
          <w:t>Security req</w:t>
        </w:r>
        <w:r w:rsidR="00F87C51">
          <w:rPr>
            <w:rStyle w:val="Hyperlink"/>
            <w:noProof/>
          </w:rPr>
          <w:t>uirements</w:t>
        </w:r>
        <w:r w:rsidR="000E60D4" w:rsidRPr="00F87C51">
          <w:rPr>
            <w:noProof/>
            <w:webHidden/>
          </w:rPr>
          <w:tab/>
        </w:r>
        <w:r w:rsidR="00DA54AA" w:rsidRPr="00F87C51">
          <w:rPr>
            <w:noProof/>
            <w:webHidden/>
          </w:rPr>
          <w:fldChar w:fldCharType="begin"/>
        </w:r>
        <w:r w:rsidR="000E60D4" w:rsidRPr="00F87C51">
          <w:rPr>
            <w:noProof/>
            <w:webHidden/>
          </w:rPr>
          <w:instrText xml:space="preserve"> PAGEREF _Toc383464507 \h </w:instrText>
        </w:r>
        <w:r w:rsidR="00DA54AA" w:rsidRPr="00F87C51">
          <w:rPr>
            <w:noProof/>
            <w:webHidden/>
          </w:rPr>
        </w:r>
        <w:r w:rsidR="00DA54AA" w:rsidRPr="00F87C51">
          <w:rPr>
            <w:noProof/>
            <w:webHidden/>
          </w:rPr>
          <w:fldChar w:fldCharType="separate"/>
        </w:r>
        <w:r w:rsidR="00C70CA3">
          <w:rPr>
            <w:noProof/>
            <w:webHidden/>
          </w:rPr>
          <w:t>7</w:t>
        </w:r>
        <w:r w:rsidR="00DA54AA" w:rsidRPr="00F87C51">
          <w:rPr>
            <w:noProof/>
            <w:webHidden/>
          </w:rPr>
          <w:fldChar w:fldCharType="end"/>
        </w:r>
      </w:hyperlink>
    </w:p>
    <w:p w14:paraId="3DF4F207" w14:textId="77777777" w:rsidR="000E60D4" w:rsidRPr="00F87C51" w:rsidRDefault="00003ED3">
      <w:pPr>
        <w:pStyle w:val="TOC1"/>
        <w:rPr>
          <w:rFonts w:asciiTheme="minorHAnsi" w:eastAsiaTheme="minorEastAsia" w:hAnsiTheme="minorHAnsi" w:cstheme="minorBidi"/>
          <w:caps w:val="0"/>
          <w:noProof/>
          <w:szCs w:val="22"/>
          <w:lang w:eastAsia="en-GB"/>
        </w:rPr>
      </w:pPr>
      <w:hyperlink w:anchor="_Toc383464508" w:history="1">
        <w:r w:rsidR="00F87C51" w:rsidRPr="00F87C51">
          <w:rPr>
            <w:rStyle w:val="Hyperlink"/>
            <w:noProof/>
          </w:rPr>
          <w:t>9</w:t>
        </w:r>
        <w:r w:rsidR="000E60D4" w:rsidRPr="00F87C51">
          <w:rPr>
            <w:rStyle w:val="Hyperlink"/>
            <w:noProof/>
          </w:rPr>
          <w:t>.</w:t>
        </w:r>
        <w:r w:rsidR="000E60D4" w:rsidRPr="00F87C51">
          <w:rPr>
            <w:rFonts w:asciiTheme="minorHAnsi" w:eastAsiaTheme="minorEastAsia" w:hAnsiTheme="minorHAnsi" w:cstheme="minorBidi"/>
            <w:caps w:val="0"/>
            <w:noProof/>
            <w:szCs w:val="22"/>
            <w:lang w:eastAsia="en-GB"/>
          </w:rPr>
          <w:tab/>
        </w:r>
        <w:r w:rsidR="00F87C51">
          <w:rPr>
            <w:rStyle w:val="Hyperlink"/>
            <w:noProof/>
          </w:rPr>
          <w:t>PROJECT TIMETABLE</w:t>
        </w:r>
        <w:r w:rsidR="000E60D4" w:rsidRPr="00F87C51">
          <w:rPr>
            <w:noProof/>
            <w:webHidden/>
          </w:rPr>
          <w:tab/>
        </w:r>
        <w:r w:rsidR="00DA54AA" w:rsidRPr="00F87C51">
          <w:rPr>
            <w:noProof/>
            <w:webHidden/>
          </w:rPr>
          <w:fldChar w:fldCharType="begin"/>
        </w:r>
        <w:r w:rsidR="000E60D4" w:rsidRPr="00F87C51">
          <w:rPr>
            <w:noProof/>
            <w:webHidden/>
          </w:rPr>
          <w:instrText xml:space="preserve"> PAGEREF _Toc383464508 \h </w:instrText>
        </w:r>
        <w:r w:rsidR="00DA54AA" w:rsidRPr="00F87C51">
          <w:rPr>
            <w:noProof/>
            <w:webHidden/>
          </w:rPr>
        </w:r>
        <w:r w:rsidR="00DA54AA" w:rsidRPr="00F87C51">
          <w:rPr>
            <w:noProof/>
            <w:webHidden/>
          </w:rPr>
          <w:fldChar w:fldCharType="separate"/>
        </w:r>
        <w:r w:rsidR="00C70CA3">
          <w:rPr>
            <w:noProof/>
            <w:webHidden/>
          </w:rPr>
          <w:t>8</w:t>
        </w:r>
        <w:r w:rsidR="00DA54AA" w:rsidRPr="00F87C51">
          <w:rPr>
            <w:noProof/>
            <w:webHidden/>
          </w:rPr>
          <w:fldChar w:fldCharType="end"/>
        </w:r>
      </w:hyperlink>
    </w:p>
    <w:p w14:paraId="78F5C357" w14:textId="5E307A04" w:rsidR="000E60D4" w:rsidRDefault="00003ED3">
      <w:pPr>
        <w:pStyle w:val="TOC1"/>
        <w:rPr>
          <w:rFonts w:asciiTheme="minorHAnsi" w:eastAsiaTheme="minorEastAsia" w:hAnsiTheme="minorHAnsi" w:cstheme="minorBidi"/>
          <w:caps w:val="0"/>
          <w:noProof/>
          <w:szCs w:val="22"/>
          <w:lang w:eastAsia="en-GB"/>
        </w:rPr>
      </w:pPr>
      <w:hyperlink w:anchor="_Toc383464509" w:history="1">
        <w:r w:rsidR="00F87C51" w:rsidRPr="00F87C51">
          <w:rPr>
            <w:rStyle w:val="Hyperlink"/>
            <w:noProof/>
          </w:rPr>
          <w:t>10</w:t>
        </w:r>
        <w:r w:rsidR="000E60D4" w:rsidRPr="00F87C51">
          <w:rPr>
            <w:rStyle w:val="Hyperlink"/>
            <w:noProof/>
          </w:rPr>
          <w:t>.</w:t>
        </w:r>
        <w:r w:rsidR="000E60D4" w:rsidRPr="00F87C51">
          <w:rPr>
            <w:rFonts w:asciiTheme="minorHAnsi" w:eastAsiaTheme="minorEastAsia" w:hAnsiTheme="minorHAnsi" w:cstheme="minorBidi"/>
            <w:caps w:val="0"/>
            <w:noProof/>
            <w:szCs w:val="22"/>
            <w:lang w:eastAsia="en-GB"/>
          </w:rPr>
          <w:tab/>
        </w:r>
        <w:r w:rsidR="000E60D4" w:rsidRPr="00F87C51">
          <w:rPr>
            <w:rStyle w:val="Hyperlink"/>
            <w:noProof/>
          </w:rPr>
          <w:t>BUDGET</w:t>
        </w:r>
        <w:r w:rsidR="00F87C51" w:rsidRPr="00F87C51">
          <w:rPr>
            <w:rStyle w:val="Hyperlink"/>
            <w:noProof/>
          </w:rPr>
          <w:t xml:space="preserve"> </w:t>
        </w:r>
        <w:r w:rsidR="000E60D4" w:rsidRPr="00F87C51">
          <w:rPr>
            <w:noProof/>
            <w:webHidden/>
          </w:rPr>
          <w:tab/>
        </w:r>
        <w:r w:rsidR="00C70CA3">
          <w:rPr>
            <w:noProof/>
            <w:webHidden/>
          </w:rPr>
          <w:t>9</w:t>
        </w:r>
      </w:hyperlink>
    </w:p>
    <w:p w14:paraId="0753E7C8" w14:textId="77777777" w:rsidR="00FA5229" w:rsidRPr="00D37BAC" w:rsidRDefault="00DA54AA" w:rsidP="00FA5229">
      <w:pPr>
        <w:spacing w:after="120"/>
        <w:jc w:val="center"/>
        <w:rPr>
          <w:b/>
        </w:rPr>
      </w:pPr>
      <w:r w:rsidRPr="00FA5229">
        <w:rPr>
          <w:rFonts w:cs="Arial"/>
          <w:caps/>
        </w:rPr>
        <w:fldChar w:fldCharType="end"/>
      </w:r>
    </w:p>
    <w:p w14:paraId="38EF8AD8" w14:textId="77777777" w:rsidR="001530F5" w:rsidRPr="001530F5"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383464499"/>
      <w:r w:rsidR="001530F5">
        <w:rPr>
          <w:caps w:val="0"/>
          <w:szCs w:val="22"/>
        </w:rPr>
        <w:lastRenderedPageBreak/>
        <w:t>INTRODUCTION</w:t>
      </w:r>
      <w:bookmarkEnd w:id="2"/>
      <w:r w:rsidR="001530F5">
        <w:rPr>
          <w:caps w:val="0"/>
          <w:szCs w:val="22"/>
        </w:rPr>
        <w:tab/>
      </w:r>
    </w:p>
    <w:p w14:paraId="58AE5A3B" w14:textId="6AC3BF0E" w:rsidR="00EA7B8F" w:rsidRDefault="009701FE" w:rsidP="00EA7B8F">
      <w:pPr>
        <w:pStyle w:val="Heading2"/>
      </w:pPr>
      <w:r w:rsidRPr="000D1494">
        <w:t xml:space="preserve">The Department for Transport invites proposals for the following research project to </w:t>
      </w:r>
      <w:r w:rsidR="00AA1513">
        <w:t>develop new methods and guidelines for</w:t>
      </w:r>
      <w:r w:rsidR="008D5D88" w:rsidRPr="000D1494">
        <w:t xml:space="preserve"> </w:t>
      </w:r>
      <w:r w:rsidR="008D5D88">
        <w:t>how the</w:t>
      </w:r>
      <w:r w:rsidR="008D5D88" w:rsidRPr="000D1494">
        <w:t xml:space="preserve"> health impacts of active </w:t>
      </w:r>
      <w:r w:rsidR="008D5D88">
        <w:t>mode transport</w:t>
      </w:r>
      <w:r w:rsidR="008D5D88" w:rsidRPr="000D1494">
        <w:t xml:space="preserve"> </w:t>
      </w:r>
      <w:r w:rsidR="008D5D88">
        <w:t xml:space="preserve">could be more comprehensively valued in </w:t>
      </w:r>
      <w:r w:rsidR="00AA1513">
        <w:t xml:space="preserve">transport </w:t>
      </w:r>
      <w:r w:rsidR="008D5D88">
        <w:t>appraisals</w:t>
      </w:r>
      <w:r w:rsidR="008D5D88" w:rsidRPr="000D1494">
        <w:t xml:space="preserve">. </w:t>
      </w:r>
      <w:r w:rsidRPr="000D1494">
        <w:t>The research p</w:t>
      </w:r>
      <w:r w:rsidR="00AA1513">
        <w:t>roject will be completed with an ambition to update</w:t>
      </w:r>
      <w:r w:rsidRPr="000D1494">
        <w:t xml:space="preserve"> the Department’s appraisal guidance for active </w:t>
      </w:r>
      <w:r w:rsidR="002A3EE1">
        <w:t>transport</w:t>
      </w:r>
      <w:r w:rsidRPr="000D1494">
        <w:t xml:space="preserve"> investment</w:t>
      </w:r>
      <w:r w:rsidR="00FF0818">
        <w:t>: WebTAG Unit A5.1</w:t>
      </w:r>
      <w:r w:rsidRPr="000D1494">
        <w:t>.</w:t>
      </w:r>
      <w:r w:rsidR="008D5D88">
        <w:rPr>
          <w:rStyle w:val="FootnoteReference"/>
          <w:szCs w:val="22"/>
        </w:rPr>
        <w:footnoteReference w:id="2"/>
      </w:r>
    </w:p>
    <w:p w14:paraId="33C87A80" w14:textId="7285783D" w:rsidR="00BD21D6" w:rsidRPr="00B831D0" w:rsidRDefault="000D1494" w:rsidP="00B831D0">
      <w:pPr>
        <w:pStyle w:val="Heading2"/>
      </w:pPr>
      <w:r w:rsidRPr="00966B3C">
        <w:rPr>
          <w:szCs w:val="22"/>
        </w:rPr>
        <w:t xml:space="preserve">The </w:t>
      </w:r>
      <w:r w:rsidRPr="00EA7B8F">
        <w:rPr>
          <w:szCs w:val="22"/>
        </w:rPr>
        <w:t xml:space="preserve">proposal that will be accepted will demonstrate </w:t>
      </w:r>
      <w:r w:rsidR="00966B3C">
        <w:rPr>
          <w:szCs w:val="22"/>
        </w:rPr>
        <w:t>how they will</w:t>
      </w:r>
      <w:r w:rsidRPr="00EA7B8F">
        <w:rPr>
          <w:szCs w:val="22"/>
        </w:rPr>
        <w:t xml:space="preserve"> </w:t>
      </w:r>
      <w:r w:rsidR="00966B3C">
        <w:rPr>
          <w:szCs w:val="22"/>
        </w:rPr>
        <w:t xml:space="preserve">address the </w:t>
      </w:r>
      <w:r w:rsidR="00B831D0">
        <w:rPr>
          <w:szCs w:val="22"/>
        </w:rPr>
        <w:t>research priority</w:t>
      </w:r>
      <w:r w:rsidR="00966B3C">
        <w:rPr>
          <w:szCs w:val="22"/>
        </w:rPr>
        <w:t xml:space="preserve"> above, drawing on evidence of their experience</w:t>
      </w:r>
      <w:r w:rsidR="00AA1513">
        <w:rPr>
          <w:szCs w:val="22"/>
        </w:rPr>
        <w:t>, especially</w:t>
      </w:r>
      <w:r w:rsidR="00966B3C">
        <w:rPr>
          <w:szCs w:val="22"/>
        </w:rPr>
        <w:t xml:space="preserve"> in the field of integrated public health and transport modelling.</w:t>
      </w:r>
    </w:p>
    <w:p w14:paraId="2D105E03" w14:textId="77777777" w:rsidR="00E35542" w:rsidRPr="008001F7" w:rsidRDefault="002C546C" w:rsidP="00FD080D">
      <w:pPr>
        <w:pStyle w:val="Heading1"/>
        <w:tabs>
          <w:tab w:val="clear" w:pos="720"/>
        </w:tabs>
        <w:overflowPunct w:val="0"/>
        <w:autoSpaceDE w:val="0"/>
        <w:autoSpaceDN w:val="0"/>
        <w:spacing w:after="120"/>
        <w:textAlignment w:val="baseline"/>
        <w:rPr>
          <w:szCs w:val="22"/>
        </w:rPr>
      </w:pPr>
      <w:bookmarkStart w:id="3" w:name="_Toc383464500"/>
      <w:r w:rsidRPr="00847C33">
        <w:rPr>
          <w:caps w:val="0"/>
          <w:szCs w:val="22"/>
        </w:rPr>
        <w:t>PURPOSE</w:t>
      </w:r>
      <w:bookmarkEnd w:id="1"/>
      <w:bookmarkEnd w:id="3"/>
    </w:p>
    <w:p w14:paraId="67F366F0" w14:textId="77777777" w:rsidR="008001F7" w:rsidRPr="008001F7" w:rsidRDefault="008001F7" w:rsidP="008001F7">
      <w:pPr>
        <w:pStyle w:val="Heading2"/>
      </w:pPr>
      <w:r>
        <w:rPr>
          <w:szCs w:val="22"/>
        </w:rPr>
        <w:t>The purpose of this research project is to:</w:t>
      </w:r>
    </w:p>
    <w:p w14:paraId="7FC0FAD2" w14:textId="18407647" w:rsidR="008001F7" w:rsidRDefault="00AA1513" w:rsidP="008001F7">
      <w:pPr>
        <w:pStyle w:val="Heading3"/>
      </w:pPr>
      <w:r>
        <w:t>The primary purpose is to d</w:t>
      </w:r>
      <w:r w:rsidR="00230FBE">
        <w:t>evelop a new method to value</w:t>
      </w:r>
      <w:r w:rsidR="007A43E3">
        <w:t xml:space="preserve"> health impacts</w:t>
      </w:r>
      <w:r w:rsidR="00FE4717">
        <w:t xml:space="preserve"> from active mode transport</w:t>
      </w:r>
      <w:r w:rsidR="007A43E3">
        <w:t xml:space="preserve"> </w:t>
      </w:r>
      <w:r w:rsidR="000F2790">
        <w:t>such as cycling and walking to incorporate into WebTAG appraisal guidance.  The</w:t>
      </w:r>
      <w:r>
        <w:t xml:space="preserve"> new</w:t>
      </w:r>
      <w:r w:rsidR="000F2790">
        <w:t xml:space="preserve"> approach </w:t>
      </w:r>
      <w:r>
        <w:t>must</w:t>
      </w:r>
      <w:r w:rsidR="000F2790">
        <w:t xml:space="preserve"> be based on using</w:t>
      </w:r>
      <w:r w:rsidR="007A43E3">
        <w:t xml:space="preserve"> statistical life year</w:t>
      </w:r>
      <w:r w:rsidR="000F2790">
        <w:t>s</w:t>
      </w:r>
      <w:r w:rsidR="007A43E3">
        <w:t xml:space="preserve"> </w:t>
      </w:r>
      <w:r w:rsidR="000F2790">
        <w:t>to value health impacts (e.g. QALY or DALY-based</w:t>
      </w:r>
      <w:r>
        <w:t>).</w:t>
      </w:r>
      <w:r w:rsidR="00181E5E">
        <w:rPr>
          <w:rStyle w:val="FootnoteReference"/>
        </w:rPr>
        <w:footnoteReference w:id="3"/>
      </w:r>
      <w:r w:rsidR="00C361E8">
        <w:t xml:space="preserve"> Ideally the new approach will be incorporated into WebTAG guidance within one year.</w:t>
      </w:r>
    </w:p>
    <w:p w14:paraId="2963513D" w14:textId="77777777" w:rsidR="000F2790" w:rsidRDefault="002F1ACB" w:rsidP="008001F7">
      <w:pPr>
        <w:pStyle w:val="Heading3"/>
      </w:pPr>
      <w:r>
        <w:t>If the new approach developed is sufficient to be incorporated into WebTAG appraisal guidance for active modes in future updates then a subsequent purpose of the research will be to develop a user-friendly toolkit to be used by transport planners and decision makers to derive the health impacts when conducting appraisal.</w:t>
      </w:r>
    </w:p>
    <w:p w14:paraId="4E7BA719" w14:textId="093ACE69" w:rsidR="00F5291E" w:rsidRDefault="00F5291E" w:rsidP="00F5291E">
      <w:pPr>
        <w:pStyle w:val="Heading3"/>
      </w:pPr>
      <w:r>
        <w:t xml:space="preserve">Regardless of the outcome of the </w:t>
      </w:r>
      <w:r w:rsidR="00F46204">
        <w:t>primary</w:t>
      </w:r>
      <w:r>
        <w:t xml:space="preserve"> purpose</w:t>
      </w:r>
      <w:r w:rsidR="00F46204">
        <w:t xml:space="preserve"> of this project,</w:t>
      </w:r>
      <w:r>
        <w:t xml:space="preserve"> </w:t>
      </w:r>
      <w:r w:rsidR="00F46204">
        <w:t>a</w:t>
      </w:r>
      <w:r>
        <w:t xml:space="preserve"> secondary purpose will be to explore options </w:t>
      </w:r>
      <w:r w:rsidR="00F46204">
        <w:t xml:space="preserve">for a more comprehensive valuation of health benefits </w:t>
      </w:r>
      <w:r>
        <w:t xml:space="preserve">within the existing framework of WebTAG appraisal guidance.  </w:t>
      </w:r>
      <w:r w:rsidR="00F46204">
        <w:t xml:space="preserve">Specifically this will </w:t>
      </w:r>
      <w:r>
        <w:t>identify how wider health benefits of active transport</w:t>
      </w:r>
      <w:r w:rsidR="00AA1513">
        <w:t>, such as ‘morbidity’,</w:t>
      </w:r>
      <w:r>
        <w:t xml:space="preserve"> could be captured </w:t>
      </w:r>
      <w:r w:rsidR="00F46204">
        <w:t>as part of the existing</w:t>
      </w:r>
      <w:r>
        <w:t xml:space="preserve"> valuation which is based on a statistical life</w:t>
      </w:r>
      <w:r w:rsidR="00F46204">
        <w:t xml:space="preserve"> instead of a life year approach</w:t>
      </w:r>
      <w:r>
        <w:t>.</w:t>
      </w:r>
    </w:p>
    <w:p w14:paraId="13F4D90E" w14:textId="77777777" w:rsidR="00BD21D6" w:rsidRPr="00847C33" w:rsidRDefault="00BD21D6" w:rsidP="00BD21D6">
      <w:pPr>
        <w:pStyle w:val="Heading2"/>
        <w:numPr>
          <w:ilvl w:val="0"/>
          <w:numId w:val="0"/>
        </w:numPr>
        <w:overflowPunct w:val="0"/>
        <w:autoSpaceDE w:val="0"/>
        <w:autoSpaceDN w:val="0"/>
        <w:spacing w:after="120"/>
        <w:ind w:left="720"/>
        <w:textAlignment w:val="baseline"/>
        <w:rPr>
          <w:szCs w:val="22"/>
          <w:highlight w:val="yellow"/>
        </w:rPr>
      </w:pPr>
      <w:bookmarkStart w:id="4" w:name="_Toc296415791"/>
    </w:p>
    <w:p w14:paraId="3337B079" w14:textId="77777777" w:rsidR="000C73A3" w:rsidRPr="00FE7ABE" w:rsidRDefault="000C73A3" w:rsidP="00FE7ABE">
      <w:pPr>
        <w:pStyle w:val="Heading1"/>
        <w:tabs>
          <w:tab w:val="clear" w:pos="720"/>
        </w:tabs>
        <w:overflowPunct w:val="0"/>
        <w:autoSpaceDE w:val="0"/>
        <w:autoSpaceDN w:val="0"/>
        <w:spacing w:after="120"/>
        <w:textAlignment w:val="baseline"/>
        <w:rPr>
          <w:szCs w:val="22"/>
        </w:rPr>
      </w:pPr>
      <w:bookmarkStart w:id="5" w:name="_Toc383464501"/>
      <w:bookmarkStart w:id="6" w:name="_Toc297554773"/>
      <w:bookmarkStart w:id="7" w:name="_Toc296415805"/>
      <w:bookmarkStart w:id="8" w:name="_Toc296415793"/>
      <w:bookmarkEnd w:id="4"/>
      <w:r w:rsidRPr="00847C33">
        <w:rPr>
          <w:szCs w:val="22"/>
        </w:rPr>
        <w:t>background to the authority</w:t>
      </w:r>
      <w:bookmarkEnd w:id="5"/>
    </w:p>
    <w:p w14:paraId="7A79E93F" w14:textId="3FE33E97" w:rsidR="00A74A55" w:rsidRPr="00B362C3" w:rsidRDefault="001B0A24" w:rsidP="000C73A3">
      <w:pPr>
        <w:pStyle w:val="Heading2"/>
      </w:pPr>
      <w:r w:rsidRPr="00B362C3">
        <w:t>Cost b</w:t>
      </w:r>
      <w:r w:rsidR="00C361E8">
        <w:t>enefit analysis and appraisal are</w:t>
      </w:r>
      <w:r w:rsidRPr="00B362C3">
        <w:t xml:space="preserve"> used to inform transport investment decision</w:t>
      </w:r>
      <w:r w:rsidR="00824D63">
        <w:t>-</w:t>
      </w:r>
      <w:r w:rsidRPr="00B362C3">
        <w:t xml:space="preserve">making so </w:t>
      </w:r>
      <w:r w:rsidR="00F46204">
        <w:t>they are</w:t>
      </w:r>
      <w:r w:rsidRPr="00B362C3">
        <w:t xml:space="preserve"> </w:t>
      </w:r>
      <w:r w:rsidR="006120A6" w:rsidRPr="00B362C3">
        <w:t>vital</w:t>
      </w:r>
      <w:r w:rsidRPr="00B362C3">
        <w:t xml:space="preserve"> to transport planners and decision makers. </w:t>
      </w:r>
    </w:p>
    <w:p w14:paraId="31F6072E" w14:textId="77777777" w:rsidR="00BF6AA0" w:rsidRPr="00B362C3" w:rsidRDefault="00BF6AA0" w:rsidP="000C73A3">
      <w:pPr>
        <w:pStyle w:val="Heading2"/>
      </w:pPr>
      <w:r w:rsidRPr="00B362C3">
        <w:t>The Department for Transport has a worldwide reputation for quality and robustness in ap</w:t>
      </w:r>
      <w:r w:rsidR="00B952D4">
        <w:t>praising transport investments.</w:t>
      </w:r>
      <w:r w:rsidRPr="00B362C3">
        <w:t xml:space="preserve"> WebTAG </w:t>
      </w:r>
      <w:r w:rsidR="009D3B45">
        <w:t>guidance</w:t>
      </w:r>
      <w:r w:rsidRPr="00B362C3">
        <w:t xml:space="preserve"> </w:t>
      </w:r>
      <w:r w:rsidR="009D3B45">
        <w:t>is world-leading</w:t>
      </w:r>
      <w:r w:rsidRPr="00B362C3">
        <w:t xml:space="preserve"> in the field o</w:t>
      </w:r>
      <w:r w:rsidR="009D3B45">
        <w:t>f</w:t>
      </w:r>
      <w:r w:rsidRPr="00B362C3">
        <w:t xml:space="preserve"> transport appraisal. It is important that transport and decision makers have access to the most robust and up to date evidence on how to value </w:t>
      </w:r>
      <w:r w:rsidR="000279DB">
        <w:t>all</w:t>
      </w:r>
      <w:r w:rsidRPr="00B362C3">
        <w:t xml:space="preserve"> impacts of active</w:t>
      </w:r>
      <w:r w:rsidR="000279DB">
        <w:t xml:space="preserve"> mode</w:t>
      </w:r>
      <w:r w:rsidRPr="00B362C3">
        <w:t xml:space="preserve"> transport.</w:t>
      </w:r>
    </w:p>
    <w:p w14:paraId="467E3BC3" w14:textId="77777777" w:rsidR="00BD21D6" w:rsidRPr="000C73A3" w:rsidRDefault="00BD21D6" w:rsidP="00BD21D6">
      <w:pPr>
        <w:pStyle w:val="Heading2"/>
        <w:numPr>
          <w:ilvl w:val="0"/>
          <w:numId w:val="0"/>
        </w:numPr>
        <w:ind w:left="720"/>
        <w:rPr>
          <w:highlight w:val="yellow"/>
        </w:rPr>
      </w:pPr>
    </w:p>
    <w:p w14:paraId="73C78FB0" w14:textId="77777777" w:rsidR="00E35542" w:rsidRPr="002C546C" w:rsidRDefault="000C73A3" w:rsidP="00FD080D">
      <w:pPr>
        <w:pStyle w:val="Heading1"/>
        <w:tabs>
          <w:tab w:val="clear" w:pos="720"/>
        </w:tabs>
        <w:overflowPunct w:val="0"/>
        <w:autoSpaceDE w:val="0"/>
        <w:autoSpaceDN w:val="0"/>
        <w:spacing w:after="120"/>
        <w:textAlignment w:val="baseline"/>
        <w:rPr>
          <w:szCs w:val="22"/>
        </w:rPr>
      </w:pPr>
      <w:bookmarkStart w:id="9" w:name="_Toc383464502"/>
      <w:r>
        <w:rPr>
          <w:szCs w:val="22"/>
        </w:rPr>
        <w:t>Background to requirement/</w:t>
      </w:r>
      <w:r w:rsidR="002C546C" w:rsidRPr="002C546C">
        <w:rPr>
          <w:szCs w:val="22"/>
        </w:rPr>
        <w:t>OVERVIEW</w:t>
      </w:r>
      <w:bookmarkEnd w:id="6"/>
      <w:r>
        <w:rPr>
          <w:szCs w:val="22"/>
        </w:rPr>
        <w:t xml:space="preserve"> of requirement</w:t>
      </w:r>
      <w:bookmarkEnd w:id="9"/>
    </w:p>
    <w:p w14:paraId="49E049B3" w14:textId="77777777" w:rsidR="002F4D97" w:rsidRDefault="002F4D97" w:rsidP="00BF6AA0">
      <w:pPr>
        <w:pStyle w:val="Heading2"/>
        <w:numPr>
          <w:ilvl w:val="0"/>
          <w:numId w:val="0"/>
        </w:numPr>
        <w:spacing w:after="120"/>
        <w:rPr>
          <w:highlight w:val="green"/>
        </w:rPr>
      </w:pPr>
      <w:bookmarkStart w:id="10" w:name="_Toc297554774"/>
      <w:bookmarkEnd w:id="7"/>
    </w:p>
    <w:p w14:paraId="3C782E1F" w14:textId="242907DB" w:rsidR="000279DB" w:rsidRDefault="000279DB" w:rsidP="00BF6AA0">
      <w:pPr>
        <w:pStyle w:val="Heading2"/>
      </w:pPr>
      <w:r w:rsidRPr="00B362C3">
        <w:t xml:space="preserve">Evidence shows that one of the major benefits of investing in </w:t>
      </w:r>
      <w:r>
        <w:t>active mode transport</w:t>
      </w:r>
      <w:r w:rsidR="009D3B45">
        <w:t xml:space="preserve"> – </w:t>
      </w:r>
      <w:r w:rsidR="00491AB0">
        <w:t>such as</w:t>
      </w:r>
      <w:r w:rsidR="009D3B45">
        <w:t xml:space="preserve"> cycling and walking – </w:t>
      </w:r>
      <w:r w:rsidRPr="00B362C3">
        <w:t>can be health impacts from users becoming more physically active.</w:t>
      </w:r>
      <w:r w:rsidRPr="00B362C3">
        <w:rPr>
          <w:rStyle w:val="FootnoteReference"/>
        </w:rPr>
        <w:footnoteReference w:id="4"/>
      </w:r>
      <w:r w:rsidRPr="00B362C3">
        <w:t xml:space="preserve"> This is because users </w:t>
      </w:r>
      <w:r>
        <w:t>that become</w:t>
      </w:r>
      <w:r w:rsidRPr="00B362C3">
        <w:t xml:space="preserve"> more physically active</w:t>
      </w:r>
      <w:r>
        <w:t xml:space="preserve"> as a result </w:t>
      </w:r>
      <w:r w:rsidR="00491AB0">
        <w:t xml:space="preserve">or active transport </w:t>
      </w:r>
      <w:r>
        <w:t>are likely to</w:t>
      </w:r>
      <w:r w:rsidRPr="00B362C3">
        <w:t xml:space="preserve"> reduce their risk of dying prematurely from illnesses related to physical inactivity.</w:t>
      </w:r>
    </w:p>
    <w:p w14:paraId="698E29C9" w14:textId="37F4CF10" w:rsidR="00BF6AA0" w:rsidRPr="00B362C3" w:rsidRDefault="00BF6AA0" w:rsidP="00BF6AA0">
      <w:pPr>
        <w:pStyle w:val="Heading2"/>
      </w:pPr>
      <w:r w:rsidRPr="00B362C3">
        <w:t>Currently the health impacts of active transport are appraised by applying parameters set by the World Health Organisation (WHO)</w:t>
      </w:r>
      <w:r w:rsidR="009D3B45">
        <w:t xml:space="preserve">. The parameters cover </w:t>
      </w:r>
      <w:r w:rsidRPr="00B362C3">
        <w:t>the risk of dying prematurely</w:t>
      </w:r>
      <w:r w:rsidR="009D3B45">
        <w:t xml:space="preserve"> from illnesses related to physical inactivity; they are applied</w:t>
      </w:r>
      <w:r w:rsidRPr="00B362C3">
        <w:t xml:space="preserve"> to a </w:t>
      </w:r>
      <w:r w:rsidR="009D3B45">
        <w:t xml:space="preserve">standard </w:t>
      </w:r>
      <w:r w:rsidRPr="00B362C3">
        <w:t>Departmental estimate of the Value of a Prevented Fatality (VPF).</w:t>
      </w:r>
      <w:r w:rsidR="00D77F6A">
        <w:rPr>
          <w:rStyle w:val="FootnoteReference"/>
        </w:rPr>
        <w:footnoteReference w:id="5"/>
      </w:r>
      <w:r w:rsidR="009D3B45">
        <w:t xml:space="preserve"> However t</w:t>
      </w:r>
      <w:r w:rsidRPr="00B362C3">
        <w:t xml:space="preserve">he VPF </w:t>
      </w:r>
      <w:r w:rsidR="009D3B45">
        <w:t>is derived from the impact of</w:t>
      </w:r>
      <w:r w:rsidRPr="00B362C3">
        <w:t xml:space="preserve"> </w:t>
      </w:r>
      <w:r w:rsidR="004B71C6">
        <w:t>‘</w:t>
      </w:r>
      <w:r w:rsidRPr="00B362C3">
        <w:t>sudden</w:t>
      </w:r>
      <w:r w:rsidR="004B71C6">
        <w:t>’</w:t>
      </w:r>
      <w:r w:rsidRPr="00B362C3">
        <w:t xml:space="preserve"> deaths such as</w:t>
      </w:r>
      <w:r w:rsidR="004B71C6">
        <w:t xml:space="preserve"> </w:t>
      </w:r>
      <w:r w:rsidR="009D3B45">
        <w:t xml:space="preserve">from </w:t>
      </w:r>
      <w:r w:rsidRPr="00B362C3">
        <w:t>road accidents. As such the VPF may not be the most appropriate basis upon which to value the prevention of slower</w:t>
      </w:r>
      <w:r w:rsidR="004B71C6">
        <w:t>,</w:t>
      </w:r>
      <w:r w:rsidRPr="00B362C3">
        <w:t xml:space="preserve"> more </w:t>
      </w:r>
      <w:r w:rsidR="004B71C6">
        <w:t>socially damaging,</w:t>
      </w:r>
      <w:r w:rsidRPr="00B362C3">
        <w:t xml:space="preserve"> premature deaths related to physical inactivity, for example</w:t>
      </w:r>
      <w:r w:rsidR="004B71C6">
        <w:t xml:space="preserve"> from</w:t>
      </w:r>
      <w:r w:rsidRPr="00B362C3">
        <w:t xml:space="preserve"> heart disease or </w:t>
      </w:r>
      <w:r w:rsidR="00491AB0">
        <w:t>diabetes.</w:t>
      </w:r>
      <w:r w:rsidR="00D74D97">
        <w:t xml:space="preserve"> </w:t>
      </w:r>
      <w:r w:rsidR="00491AB0">
        <w:t>One</w:t>
      </w:r>
      <w:r w:rsidR="00D74D97">
        <w:t xml:space="preserve"> might call</w:t>
      </w:r>
      <w:r w:rsidR="00491AB0">
        <w:t xml:space="preserve"> these kinds of impacts</w:t>
      </w:r>
      <w:r w:rsidR="00D74D97">
        <w:t xml:space="preserve"> ‘morbidity’ costs in addition to the cost to society of a mortality</w:t>
      </w:r>
      <w:r w:rsidRPr="00B362C3">
        <w:t>.</w:t>
      </w:r>
      <w:r w:rsidR="00491AB0">
        <w:t xml:space="preserve"> By using the VPF to measure health impacts of active transport, these ‘morbidity’ impacts are not fully included.</w:t>
      </w:r>
    </w:p>
    <w:p w14:paraId="0DE5EBA6" w14:textId="5B2D9721" w:rsidR="002C124F" w:rsidRDefault="002C124F" w:rsidP="00BF6AA0">
      <w:pPr>
        <w:pStyle w:val="Heading2"/>
      </w:pPr>
      <w:r w:rsidRPr="00B362C3">
        <w:t xml:space="preserve">There are alternative methods of valuing a life which </w:t>
      </w:r>
      <w:r w:rsidR="00C361E8">
        <w:t>we would like to integrate</w:t>
      </w:r>
      <w:r w:rsidRPr="00B362C3">
        <w:t xml:space="preserve"> into WebTAG guidance for active</w:t>
      </w:r>
      <w:r w:rsidR="00C65520">
        <w:t xml:space="preserve"> mode</w:t>
      </w:r>
      <w:r w:rsidRPr="00B362C3">
        <w:t xml:space="preserve"> transport appraisal if they </w:t>
      </w:r>
      <w:r w:rsidR="00491AB0">
        <w:t>are conclusively</w:t>
      </w:r>
      <w:r w:rsidRPr="00B362C3">
        <w:t xml:space="preserve"> found to be more appropriate </w:t>
      </w:r>
      <w:r w:rsidR="00491AB0">
        <w:t xml:space="preserve">and feasible </w:t>
      </w:r>
      <w:r w:rsidR="009D3B45">
        <w:t>measures</w:t>
      </w:r>
      <w:r w:rsidRPr="00B362C3">
        <w:t xml:space="preserve">. </w:t>
      </w:r>
      <w:r w:rsidR="00C65520">
        <w:t>Statistical life year</w:t>
      </w:r>
      <w:r w:rsidR="00D74D97">
        <w:t>-based</w:t>
      </w:r>
      <w:r w:rsidR="00C65520">
        <w:t xml:space="preserve"> approaches such as </w:t>
      </w:r>
      <w:r w:rsidRPr="00B362C3">
        <w:t>Quality Adjusted Life Years (QALY</w:t>
      </w:r>
      <w:r w:rsidR="00C65520">
        <w:t>s</w:t>
      </w:r>
      <w:r w:rsidRPr="00B362C3">
        <w:t>) or Disability Adjusted Life Years (DALY</w:t>
      </w:r>
      <w:r w:rsidR="00C65520">
        <w:t>s</w:t>
      </w:r>
      <w:r w:rsidRPr="00B362C3">
        <w:t xml:space="preserve">); </w:t>
      </w:r>
      <w:r w:rsidR="00491AB0">
        <w:t>have potential to more</w:t>
      </w:r>
      <w:r w:rsidR="009D3B45">
        <w:t xml:space="preserve"> comprehensively value health impacts of active mode transport</w:t>
      </w:r>
      <w:r w:rsidR="00C65520">
        <w:t>. However</w:t>
      </w:r>
      <w:r w:rsidR="00491AB0">
        <w:t>, to the Departments’ knowledge, there is no</w:t>
      </w:r>
      <w:r w:rsidR="00BF3544">
        <w:t xml:space="preserve"> readily available</w:t>
      </w:r>
      <w:r w:rsidR="00491AB0">
        <w:t xml:space="preserve"> methodology of valuing health impacts of active transport using QALYs or DALYs that is feasible to incorporate into WebTAG appraisal guidance for active modes</w:t>
      </w:r>
      <w:r w:rsidR="00C65520">
        <w:t>.</w:t>
      </w:r>
      <w:r w:rsidR="00B97B67">
        <w:t xml:space="preserve"> </w:t>
      </w:r>
      <w:r w:rsidR="00D74D97">
        <w:t xml:space="preserve">Such an </w:t>
      </w:r>
      <w:r w:rsidR="00491AB0">
        <w:t>approach is desired because it c</w:t>
      </w:r>
      <w:r w:rsidR="00D74D97">
        <w:t xml:space="preserve">ould more comprehensively capture all health </w:t>
      </w:r>
      <w:r w:rsidR="00FC5D03">
        <w:t>impacts</w:t>
      </w:r>
      <w:r w:rsidR="00D74D97">
        <w:t xml:space="preserve"> – mortality and morbid</w:t>
      </w:r>
      <w:r w:rsidR="00BF3544">
        <w:t>ity – and hence be a more conceptually appropriate</w:t>
      </w:r>
      <w:r w:rsidR="00D74D97">
        <w:t xml:space="preserve"> method than that currently used</w:t>
      </w:r>
      <w:r w:rsidR="00BF3544">
        <w:t xml:space="preserve"> as well as more consistent with the recommended valuation approaches of health impacts in other Government Departments</w:t>
      </w:r>
      <w:r w:rsidR="00BF3544">
        <w:rPr>
          <w:rStyle w:val="FootnoteReference"/>
        </w:rPr>
        <w:footnoteReference w:id="6"/>
      </w:r>
      <w:r w:rsidR="00D74D97">
        <w:t xml:space="preserve">. </w:t>
      </w:r>
      <w:r w:rsidR="00D74D97" w:rsidRPr="00491AB0">
        <w:rPr>
          <w:b/>
        </w:rPr>
        <w:t xml:space="preserve">The primary purpose of this research is therefore to develop an approach using QALY or DALY that </w:t>
      </w:r>
      <w:r w:rsidR="00BF3544">
        <w:rPr>
          <w:b/>
        </w:rPr>
        <w:t>would be proportionate within a WebTAG compliant appraisal</w:t>
      </w:r>
      <w:r w:rsidR="00D74D97" w:rsidRPr="00491AB0">
        <w:rPr>
          <w:b/>
        </w:rPr>
        <w:t>.</w:t>
      </w:r>
    </w:p>
    <w:p w14:paraId="488DFACC" w14:textId="631D4335" w:rsidR="00C65520" w:rsidRPr="00B362C3" w:rsidRDefault="00C65520" w:rsidP="00BF6AA0">
      <w:pPr>
        <w:pStyle w:val="Heading2"/>
      </w:pPr>
      <w:r>
        <w:t xml:space="preserve">The Department wants guidance on active mode transport appraisal </w:t>
      </w:r>
      <w:r w:rsidR="00586F37">
        <w:t xml:space="preserve">to be </w:t>
      </w:r>
      <w:r>
        <w:t xml:space="preserve">as clear and transparent as possible so that it can be applied by </w:t>
      </w:r>
      <w:r w:rsidR="00C361E8">
        <w:t>scheme promoters in central and local Government, and other organisations,</w:t>
      </w:r>
      <w:r w:rsidR="00586F37">
        <w:t xml:space="preserve"> </w:t>
      </w:r>
      <w:r>
        <w:t xml:space="preserve">when making investment appraisals. If the outcome of this research </w:t>
      </w:r>
      <w:r w:rsidR="00586F37">
        <w:t>project concludes</w:t>
      </w:r>
      <w:r>
        <w:t xml:space="preserve"> that it </w:t>
      </w:r>
      <w:r w:rsidR="00586F37">
        <w:t>is</w:t>
      </w:r>
      <w:r>
        <w:t xml:space="preserve"> feasible to incorporate a statistical life year-based approach into active mode transport appraisal</w:t>
      </w:r>
      <w:r w:rsidR="00586F37">
        <w:t>s</w:t>
      </w:r>
      <w:r>
        <w:t xml:space="preserve"> then </w:t>
      </w:r>
      <w:r w:rsidR="00586F37">
        <w:t>the project will develop</w:t>
      </w:r>
      <w:r>
        <w:t xml:space="preserve"> a user-friendly toolkit which could be made available alongside </w:t>
      </w:r>
      <w:r w:rsidR="00586F37">
        <w:t xml:space="preserve">revised active mode transport </w:t>
      </w:r>
      <w:r>
        <w:t>appraisal guidance.</w:t>
      </w:r>
    </w:p>
    <w:p w14:paraId="09DB467E" w14:textId="77777777" w:rsidR="00BD21D6" w:rsidRPr="00A74A55" w:rsidRDefault="00BD21D6" w:rsidP="00BD21D6">
      <w:pPr>
        <w:pStyle w:val="Heading2"/>
        <w:numPr>
          <w:ilvl w:val="0"/>
          <w:numId w:val="0"/>
        </w:numPr>
        <w:spacing w:after="120"/>
        <w:ind w:left="720"/>
        <w:rPr>
          <w:highlight w:val="green"/>
        </w:rPr>
      </w:pPr>
    </w:p>
    <w:p w14:paraId="3C2C1635" w14:textId="77777777" w:rsidR="00460E5D" w:rsidRDefault="00DA54F8" w:rsidP="00460E5D">
      <w:pPr>
        <w:pStyle w:val="Heading1"/>
      </w:pPr>
      <w:bookmarkStart w:id="11" w:name="_Toc383464503"/>
      <w:bookmarkEnd w:id="8"/>
      <w:bookmarkEnd w:id="10"/>
      <w:r>
        <w:t xml:space="preserve">Scope of </w:t>
      </w:r>
      <w:r w:rsidR="00460E5D">
        <w:t>Requirements</w:t>
      </w:r>
      <w:bookmarkEnd w:id="11"/>
    </w:p>
    <w:p w14:paraId="025CBF35" w14:textId="77777777" w:rsidR="00A74A55" w:rsidRPr="00B362C3" w:rsidRDefault="00A74A55" w:rsidP="00B362C3">
      <w:pPr>
        <w:widowControl w:val="0"/>
        <w:rPr>
          <w:rFonts w:cs="Arial"/>
          <w:szCs w:val="20"/>
        </w:rPr>
      </w:pPr>
    </w:p>
    <w:p w14:paraId="3B200076" w14:textId="67C7DEF0" w:rsidR="00A74A55" w:rsidRPr="00B362C3" w:rsidRDefault="00BA3226" w:rsidP="00BD21D6">
      <w:pPr>
        <w:pStyle w:val="Heading2"/>
      </w:pPr>
      <w:r w:rsidRPr="00B362C3">
        <w:t xml:space="preserve">The scope of this work is to </w:t>
      </w:r>
      <w:r w:rsidR="00C16820">
        <w:t>develop a more comprehensive approach</w:t>
      </w:r>
      <w:r w:rsidR="0004305A">
        <w:t xml:space="preserve"> to </w:t>
      </w:r>
      <w:r w:rsidR="00C16820">
        <w:t>valuing</w:t>
      </w:r>
      <w:r w:rsidRPr="00B362C3">
        <w:t xml:space="preserve"> the health impacts </w:t>
      </w:r>
      <w:r w:rsidR="0004305A">
        <w:t xml:space="preserve">of active mode transport </w:t>
      </w:r>
      <w:r w:rsidR="00C16820">
        <w:t>than is currently recommended in the Department’s appraisal guidance: WebTAG</w:t>
      </w:r>
      <w:r w:rsidRPr="00B362C3">
        <w:t>.</w:t>
      </w:r>
      <w:r w:rsidR="00C26816">
        <w:t xml:space="preserve"> </w:t>
      </w:r>
    </w:p>
    <w:tbl>
      <w:tblPr>
        <w:tblStyle w:val="TableGrid"/>
        <w:tblW w:w="8414" w:type="dxa"/>
        <w:tblInd w:w="720" w:type="dxa"/>
        <w:tblLook w:val="04A0" w:firstRow="1" w:lastRow="0" w:firstColumn="1" w:lastColumn="0" w:noHBand="0" w:noVBand="1"/>
      </w:tblPr>
      <w:tblGrid>
        <w:gridCol w:w="4196"/>
        <w:gridCol w:w="4218"/>
      </w:tblGrid>
      <w:tr w:rsidR="00181E5E" w:rsidRPr="00B362C3" w14:paraId="60F63D01" w14:textId="77777777" w:rsidTr="00181E5E">
        <w:trPr>
          <w:trHeight w:val="274"/>
        </w:trPr>
        <w:tc>
          <w:tcPr>
            <w:tcW w:w="4196" w:type="dxa"/>
          </w:tcPr>
          <w:p w14:paraId="55BE8F27" w14:textId="77777777" w:rsidR="00181E5E" w:rsidRPr="00377540" w:rsidRDefault="00181E5E" w:rsidP="00377540">
            <w:pPr>
              <w:pStyle w:val="Heading2"/>
              <w:numPr>
                <w:ilvl w:val="0"/>
                <w:numId w:val="0"/>
              </w:numPr>
              <w:jc w:val="left"/>
              <w:outlineLvl w:val="1"/>
              <w:rPr>
                <w:b/>
              </w:rPr>
            </w:pPr>
            <w:r w:rsidRPr="00377540">
              <w:rPr>
                <w:b/>
              </w:rPr>
              <w:t>Research priority</w:t>
            </w:r>
          </w:p>
        </w:tc>
        <w:tc>
          <w:tcPr>
            <w:tcW w:w="4218" w:type="dxa"/>
          </w:tcPr>
          <w:p w14:paraId="6A808EE1" w14:textId="77777777" w:rsidR="00181E5E" w:rsidRPr="00377540" w:rsidRDefault="00181E5E" w:rsidP="00377540">
            <w:pPr>
              <w:pStyle w:val="Heading2"/>
              <w:numPr>
                <w:ilvl w:val="0"/>
                <w:numId w:val="0"/>
              </w:numPr>
              <w:jc w:val="left"/>
              <w:outlineLvl w:val="1"/>
              <w:rPr>
                <w:b/>
              </w:rPr>
            </w:pPr>
            <w:r w:rsidRPr="00377540">
              <w:rPr>
                <w:b/>
              </w:rPr>
              <w:t xml:space="preserve">Required methodology </w:t>
            </w:r>
          </w:p>
        </w:tc>
      </w:tr>
      <w:tr w:rsidR="00181E5E" w:rsidRPr="00B362C3" w14:paraId="5767C60F" w14:textId="77777777" w:rsidTr="00181E5E">
        <w:trPr>
          <w:trHeight w:val="1127"/>
        </w:trPr>
        <w:tc>
          <w:tcPr>
            <w:tcW w:w="4196" w:type="dxa"/>
          </w:tcPr>
          <w:p w14:paraId="618F4573" w14:textId="33F209C0" w:rsidR="00181E5E" w:rsidRPr="00B362C3" w:rsidRDefault="00181E5E" w:rsidP="00E16310">
            <w:pPr>
              <w:pStyle w:val="Heading2"/>
              <w:numPr>
                <w:ilvl w:val="0"/>
                <w:numId w:val="0"/>
              </w:numPr>
              <w:jc w:val="left"/>
              <w:outlineLvl w:val="1"/>
            </w:pPr>
            <w:r w:rsidRPr="00D74D97">
              <w:rPr>
                <w:b/>
              </w:rPr>
              <w:t>Develop</w:t>
            </w:r>
            <w:r>
              <w:t xml:space="preserve"> a new approach to valuing health impacts of active transport – based on statistical life years (e.g. QALY or DALY) – recommend </w:t>
            </w:r>
            <w:r w:rsidR="00E16310">
              <w:t>how</w:t>
            </w:r>
            <w:r>
              <w:t xml:space="preserve"> such an approach </w:t>
            </w:r>
            <w:r w:rsidR="00E16310">
              <w:t>could be proportionate within a</w:t>
            </w:r>
            <w:r>
              <w:t xml:space="preserve"> WebTAG appraisal</w:t>
            </w:r>
            <w:r w:rsidRPr="00B362C3">
              <w:t>.</w:t>
            </w:r>
          </w:p>
        </w:tc>
        <w:tc>
          <w:tcPr>
            <w:tcW w:w="4218" w:type="dxa"/>
          </w:tcPr>
          <w:p w14:paraId="48253B7B" w14:textId="002E017C" w:rsidR="00181E5E" w:rsidRPr="00B362C3" w:rsidRDefault="00181E5E" w:rsidP="00A46DE0">
            <w:pPr>
              <w:pStyle w:val="Heading2"/>
              <w:numPr>
                <w:ilvl w:val="0"/>
                <w:numId w:val="0"/>
              </w:numPr>
              <w:jc w:val="left"/>
              <w:outlineLvl w:val="1"/>
            </w:pPr>
            <w:r>
              <w:t>The development of the new approach must be based on statistical life years such as QALY or DALY.  The approach must show how health impacts of active mode transport have</w:t>
            </w:r>
            <w:r w:rsidR="00A46DE0">
              <w:t xml:space="preserve"> been</w:t>
            </w:r>
            <w:r>
              <w:t xml:space="preserve"> more comprehensively captured compared to the existing methodology </w:t>
            </w:r>
            <w:r w:rsidR="00A46DE0">
              <w:t xml:space="preserve">currently </w:t>
            </w:r>
            <w:r>
              <w:t>recommended in WebTAG</w:t>
            </w:r>
            <w:r w:rsidRPr="00B362C3">
              <w:t>.</w:t>
            </w:r>
          </w:p>
        </w:tc>
      </w:tr>
      <w:tr w:rsidR="00181E5E" w:rsidRPr="00B362C3" w14:paraId="007B42B0" w14:textId="77777777" w:rsidTr="00181E5E">
        <w:trPr>
          <w:trHeight w:val="1264"/>
        </w:trPr>
        <w:tc>
          <w:tcPr>
            <w:tcW w:w="4196" w:type="dxa"/>
          </w:tcPr>
          <w:p w14:paraId="43260843" w14:textId="5FB399D1" w:rsidR="00181E5E" w:rsidRPr="00B362C3" w:rsidRDefault="00C16820" w:rsidP="00A46DE0">
            <w:pPr>
              <w:pStyle w:val="Heading2"/>
              <w:numPr>
                <w:ilvl w:val="0"/>
                <w:numId w:val="0"/>
              </w:numPr>
              <w:jc w:val="left"/>
              <w:outlineLvl w:val="1"/>
            </w:pPr>
            <w:r>
              <w:t>In parallel to developing the above</w:t>
            </w:r>
            <w:r w:rsidR="00A46DE0">
              <w:t>,</w:t>
            </w:r>
            <w:r>
              <w:t xml:space="preserve"> </w:t>
            </w:r>
            <w:r w:rsidR="00D74D97" w:rsidRPr="00D74D97">
              <w:rPr>
                <w:b/>
              </w:rPr>
              <w:t>review</w:t>
            </w:r>
            <w:r>
              <w:t xml:space="preserve"> existing evidence to </w:t>
            </w:r>
            <w:r w:rsidRPr="00A46DE0">
              <w:rPr>
                <w:b/>
              </w:rPr>
              <w:t>recommend</w:t>
            </w:r>
            <w:r>
              <w:t xml:space="preserve"> a way to more comprehensively value the health impacts of active transport</w:t>
            </w:r>
            <w:r w:rsidR="00A46DE0">
              <w:t xml:space="preserve"> using only the existing framework of WebTAG appraisal guidance: namely using the statistical life (VPF) approach only</w:t>
            </w:r>
            <w:r>
              <w:t xml:space="preserve">. </w:t>
            </w:r>
          </w:p>
        </w:tc>
        <w:tc>
          <w:tcPr>
            <w:tcW w:w="4218" w:type="dxa"/>
          </w:tcPr>
          <w:p w14:paraId="1DDB488E" w14:textId="768906D4" w:rsidR="00181E5E" w:rsidRPr="00B362C3" w:rsidRDefault="00C16820" w:rsidP="00855EA4">
            <w:pPr>
              <w:pStyle w:val="Heading2"/>
              <w:numPr>
                <w:ilvl w:val="0"/>
                <w:numId w:val="0"/>
              </w:numPr>
              <w:jc w:val="left"/>
              <w:outlineLvl w:val="1"/>
            </w:pPr>
            <w:r>
              <w:t xml:space="preserve">The recommendation must be compatible with every aspect of the existing valuation framework in WebTAG: based on the Value of a Prevented Fatality (VPF). This will mean reviewing existing evidence to </w:t>
            </w:r>
            <w:r w:rsidR="00D74D97">
              <w:t>identify how impacts from active transport that are not currently captured wit</w:t>
            </w:r>
            <w:r w:rsidR="00C361E8">
              <w:t>h the VPF, for example morbidity</w:t>
            </w:r>
            <w:r w:rsidR="00D74D97">
              <w:t>, could be valued.</w:t>
            </w:r>
          </w:p>
        </w:tc>
      </w:tr>
      <w:tr w:rsidR="00D74D97" w:rsidRPr="00B362C3" w14:paraId="56D8556B" w14:textId="77777777" w:rsidTr="00A46DE0">
        <w:trPr>
          <w:trHeight w:val="1211"/>
        </w:trPr>
        <w:tc>
          <w:tcPr>
            <w:tcW w:w="8414" w:type="dxa"/>
            <w:gridSpan w:val="2"/>
          </w:tcPr>
          <w:p w14:paraId="12A4C9A4" w14:textId="3789A331" w:rsidR="00D74D97" w:rsidRDefault="00D74D97" w:rsidP="00A46DE0">
            <w:pPr>
              <w:pStyle w:val="Heading2"/>
              <w:numPr>
                <w:ilvl w:val="0"/>
                <w:numId w:val="0"/>
              </w:numPr>
              <w:jc w:val="left"/>
              <w:outlineLvl w:val="1"/>
            </w:pPr>
            <w:r>
              <w:t xml:space="preserve">At this point </w:t>
            </w:r>
            <w:r w:rsidR="00A46DE0">
              <w:t>a</w:t>
            </w:r>
            <w:r>
              <w:t xml:space="preserve"> </w:t>
            </w:r>
            <w:r w:rsidRPr="00D74D97">
              <w:rPr>
                <w:b/>
              </w:rPr>
              <w:t>break clause</w:t>
            </w:r>
            <w:r>
              <w:t xml:space="preserve"> </w:t>
            </w:r>
            <w:r w:rsidR="00A46DE0">
              <w:t>may</w:t>
            </w:r>
            <w:r>
              <w:t xml:space="preserve"> be activated by the Department</w:t>
            </w:r>
            <w:r w:rsidR="00A46DE0">
              <w:t xml:space="preserve"> that will terminate the project</w:t>
            </w:r>
            <w:r>
              <w:t xml:space="preserve">.  The Department reserves </w:t>
            </w:r>
            <w:r w:rsidR="00A46DE0">
              <w:t>the right to pay only up to the</w:t>
            </w:r>
            <w:r>
              <w:t xml:space="preserve"> point</w:t>
            </w:r>
            <w:r w:rsidR="00A46DE0">
              <w:t xml:space="preserve"> of termination</w:t>
            </w:r>
            <w:r>
              <w:t xml:space="preserve">. The break clause will be activated if it is judged </w:t>
            </w:r>
            <w:r w:rsidR="00A46DE0">
              <w:t xml:space="preserve">by the Department </w:t>
            </w:r>
            <w:r>
              <w:t>that the new approach that is recommended is not feasible to be included in WebTAG.</w:t>
            </w:r>
          </w:p>
        </w:tc>
      </w:tr>
      <w:tr w:rsidR="00181E5E" w14:paraId="22FA182C" w14:textId="77777777" w:rsidTr="00181E5E">
        <w:trPr>
          <w:trHeight w:val="1257"/>
        </w:trPr>
        <w:tc>
          <w:tcPr>
            <w:tcW w:w="4196" w:type="dxa"/>
          </w:tcPr>
          <w:p w14:paraId="21F5ABFC" w14:textId="36465BD4" w:rsidR="00181E5E" w:rsidRPr="00B362C3" w:rsidRDefault="00181E5E" w:rsidP="002E3F72">
            <w:pPr>
              <w:pStyle w:val="Heading2"/>
              <w:numPr>
                <w:ilvl w:val="0"/>
                <w:numId w:val="0"/>
              </w:numPr>
              <w:jc w:val="left"/>
              <w:outlineLvl w:val="1"/>
            </w:pPr>
            <w:r w:rsidRPr="00D74D97">
              <w:rPr>
                <w:b/>
              </w:rPr>
              <w:t>Develop</w:t>
            </w:r>
            <w:r w:rsidRPr="00B362C3">
              <w:t xml:space="preserve"> a user-friendly toolkit to be used by transport planners and decision makers </w:t>
            </w:r>
            <w:r>
              <w:t>conducting</w:t>
            </w:r>
            <w:r w:rsidRPr="00B362C3">
              <w:t xml:space="preserve"> appraisals for active</w:t>
            </w:r>
            <w:r>
              <w:t xml:space="preserve"> mode</w:t>
            </w:r>
            <w:r w:rsidRPr="00B362C3">
              <w:t xml:space="preserve"> transport </w:t>
            </w:r>
            <w:r>
              <w:t>schemes</w:t>
            </w:r>
            <w:r w:rsidR="00A46DE0">
              <w:t xml:space="preserve"> using the methodology developed in the first priority</w:t>
            </w:r>
            <w:r>
              <w:t xml:space="preserve">. </w:t>
            </w:r>
          </w:p>
        </w:tc>
        <w:tc>
          <w:tcPr>
            <w:tcW w:w="4218" w:type="dxa"/>
          </w:tcPr>
          <w:p w14:paraId="19C4839F" w14:textId="53CB8667" w:rsidR="00181E5E" w:rsidRPr="00B362C3" w:rsidRDefault="00A46DE0" w:rsidP="00C361E8">
            <w:pPr>
              <w:pStyle w:val="Heading2"/>
              <w:numPr>
                <w:ilvl w:val="0"/>
                <w:numId w:val="0"/>
              </w:numPr>
              <w:jc w:val="left"/>
              <w:outlineLvl w:val="1"/>
            </w:pPr>
            <w:r>
              <w:t xml:space="preserve">Based on statistical life years (QALY or DALY for example) </w:t>
            </w:r>
            <w:r w:rsidR="00C361E8">
              <w:t>that can</w:t>
            </w:r>
            <w:r>
              <w:t xml:space="preserve"> be incorporated into any WebTAG appraisal of active mode transport</w:t>
            </w:r>
            <w:r w:rsidR="00D74D97">
              <w:t>.</w:t>
            </w:r>
          </w:p>
        </w:tc>
      </w:tr>
    </w:tbl>
    <w:p w14:paraId="6F7E064E" w14:textId="77777777" w:rsidR="00635317" w:rsidRPr="00635317" w:rsidRDefault="00635317" w:rsidP="00635317">
      <w:pPr>
        <w:pStyle w:val="ListParagraph"/>
        <w:widowControl w:val="0"/>
        <w:ind w:left="1134"/>
        <w:rPr>
          <w:rFonts w:cs="Arial"/>
          <w:szCs w:val="20"/>
        </w:rPr>
      </w:pPr>
    </w:p>
    <w:p w14:paraId="50C4D2A0" w14:textId="77777777" w:rsidR="00A028E8" w:rsidRDefault="00A028E8"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12" w:name="_Toc302637211"/>
      <w:bookmarkStart w:id="13" w:name="_Toc383464504"/>
      <w:r w:rsidRPr="004E1D36">
        <w:rPr>
          <w:rFonts w:cs="Arial"/>
          <w:szCs w:val="22"/>
        </w:rPr>
        <w:t>service levels a</w:t>
      </w:r>
      <w:r>
        <w:rPr>
          <w:rFonts w:cs="Arial"/>
          <w:szCs w:val="22"/>
        </w:rPr>
        <w:t>nd performance</w:t>
      </w:r>
      <w:bookmarkEnd w:id="12"/>
      <w:bookmarkEnd w:id="13"/>
    </w:p>
    <w:p w14:paraId="29D11A5F" w14:textId="4D2B357A" w:rsidR="00453D4F" w:rsidRDefault="00453D4F" w:rsidP="00FD080D">
      <w:pPr>
        <w:pStyle w:val="Heading2"/>
        <w:tabs>
          <w:tab w:val="clear" w:pos="720"/>
          <w:tab w:val="num" w:pos="132"/>
        </w:tabs>
        <w:overflowPunct w:val="0"/>
        <w:autoSpaceDE w:val="0"/>
        <w:autoSpaceDN w:val="0"/>
        <w:spacing w:after="120"/>
        <w:ind w:left="709" w:hanging="709"/>
        <w:textAlignment w:val="baseline"/>
      </w:pPr>
      <w:r>
        <w:t xml:space="preserve">The </w:t>
      </w:r>
      <w:r w:rsidR="00377540">
        <w:t>Department for Transport</w:t>
      </w:r>
      <w:r>
        <w:t xml:space="preserve"> will measure the quality of the </w:t>
      </w:r>
      <w:r w:rsidR="00FD080D">
        <w:t xml:space="preserve">Supplier’s </w:t>
      </w:r>
      <w:r>
        <w:t>delivery</w:t>
      </w:r>
      <w:r w:rsidR="00A46DE0">
        <w:t xml:space="preserve"> of the multiple outputs</w:t>
      </w:r>
      <w:r>
        <w:t xml:space="preserve"> by:</w:t>
      </w:r>
    </w:p>
    <w:p w14:paraId="55ED649C" w14:textId="2D60ADFD" w:rsidR="00B15305" w:rsidRDefault="00B15305" w:rsidP="00B15305">
      <w:pPr>
        <w:pStyle w:val="Heading3"/>
      </w:pPr>
      <w:r>
        <w:t xml:space="preserve">The </w:t>
      </w:r>
      <w:r w:rsidR="00FC5D03">
        <w:t>robustness of the supporting research</w:t>
      </w:r>
      <w:r w:rsidR="00C361E8">
        <w:t xml:space="preserve"> and methods used</w:t>
      </w:r>
      <w:r w:rsidR="00FC5D03">
        <w:t xml:space="preserve"> when developing a new approach to valuing</w:t>
      </w:r>
      <w:r>
        <w:t xml:space="preserve"> health impacts </w:t>
      </w:r>
      <w:r w:rsidR="00FC5D03">
        <w:t>of</w:t>
      </w:r>
      <w:r>
        <w:t xml:space="preserve"> active transport</w:t>
      </w:r>
      <w:r w:rsidR="00FC5D03">
        <w:t>.</w:t>
      </w:r>
      <w:r>
        <w:t xml:space="preserve"> </w:t>
      </w:r>
      <w:r w:rsidR="00FC5D03">
        <w:t xml:space="preserve">‘Robustness’ will be measured by the Department according to a </w:t>
      </w:r>
      <w:r w:rsidR="00A46DE0">
        <w:t>standard benchmark of quality that is proportionate for</w:t>
      </w:r>
      <w:r w:rsidR="00FC5D03">
        <w:t xml:space="preserve"> social science</w:t>
      </w:r>
      <w:r w:rsidR="00A46DE0">
        <w:t xml:space="preserve"> research</w:t>
      </w:r>
      <w:r w:rsidR="00FC5D03">
        <w:t xml:space="preserve"> of this nature</w:t>
      </w:r>
      <w:r>
        <w:t>.</w:t>
      </w:r>
    </w:p>
    <w:p w14:paraId="0F7BE3AC" w14:textId="41EFF397" w:rsidR="00FC5D03" w:rsidRDefault="00B15305" w:rsidP="00B15305">
      <w:pPr>
        <w:pStyle w:val="Heading3"/>
      </w:pPr>
      <w:r>
        <w:lastRenderedPageBreak/>
        <w:t>The clarity and logic of the de</w:t>
      </w:r>
      <w:r w:rsidR="00FC5D03">
        <w:t xml:space="preserve">velopment of a new method for valuing health impacts of active transport based on </w:t>
      </w:r>
      <w:r>
        <w:t>statistical life year</w:t>
      </w:r>
      <w:r w:rsidR="00FC5D03">
        <w:t>s (e.g. QALY or DALY). Quality will be j</w:t>
      </w:r>
      <w:r w:rsidR="00A46DE0">
        <w:t>udged on</w:t>
      </w:r>
      <w:r w:rsidR="00FC5D03">
        <w:t xml:space="preserve"> how</w:t>
      </w:r>
      <w:r w:rsidR="00A46DE0">
        <w:t xml:space="preserve"> well</w:t>
      </w:r>
      <w:r w:rsidR="00FC5D03">
        <w:t xml:space="preserve"> the research supports the new methodology; the chain of logic </w:t>
      </w:r>
      <w:r w:rsidR="00A46DE0">
        <w:t>should</w:t>
      </w:r>
      <w:r w:rsidR="00FC5D03">
        <w:t xml:space="preserve"> be clear to a non-technical audience</w:t>
      </w:r>
      <w:r>
        <w:t xml:space="preserve">. </w:t>
      </w:r>
    </w:p>
    <w:p w14:paraId="0F39940F" w14:textId="70FF9D59" w:rsidR="004A2610" w:rsidRDefault="00FC5D03" w:rsidP="00B15305">
      <w:pPr>
        <w:pStyle w:val="Heading3"/>
      </w:pPr>
      <w:r>
        <w:t>The</w:t>
      </w:r>
      <w:r w:rsidR="00A5224C">
        <w:t xml:space="preserve"> clarity of the recommendation given on whether the new approach developed can be incorporated into WebTAG</w:t>
      </w:r>
      <w:r w:rsidR="00A46DE0">
        <w:t xml:space="preserve"> within one year</w:t>
      </w:r>
      <w:r w:rsidR="00A5224C">
        <w:t>. The recommendation will give a comprehensive account of the implications of the preferred method for future appraisals. Quality will be judged by how well the recommendation is communicated to a non-technical audience</w:t>
      </w:r>
      <w:r w:rsidR="00C361E8">
        <w:t xml:space="preserve"> and the extent to which is it supported by evidence</w:t>
      </w:r>
      <w:r w:rsidR="00A5224C">
        <w:t xml:space="preserve">. </w:t>
      </w:r>
    </w:p>
    <w:p w14:paraId="7918FBFA" w14:textId="42A8162E" w:rsidR="00A5224C" w:rsidRDefault="00CA5649" w:rsidP="00D42D25">
      <w:pPr>
        <w:pStyle w:val="Heading3"/>
      </w:pPr>
      <w:r>
        <w:t xml:space="preserve">The quality of the </w:t>
      </w:r>
      <w:r w:rsidR="00A5224C">
        <w:t xml:space="preserve">literature review </w:t>
      </w:r>
      <w:r>
        <w:t xml:space="preserve">of existing evidence on valuating of health impacts </w:t>
      </w:r>
      <w:r w:rsidR="00551ADE">
        <w:t>under</w:t>
      </w:r>
      <w:r>
        <w:t xml:space="preserve"> current WebTAG guidelines</w:t>
      </w:r>
      <w:r w:rsidR="00A5224C">
        <w:t xml:space="preserve"> (using the VPF approach) will be judged on its </w:t>
      </w:r>
      <w:r w:rsidR="00D42D25">
        <w:t>comprehensiveness</w:t>
      </w:r>
      <w:r w:rsidR="00A5224C" w:rsidRPr="004D198A">
        <w:t>.</w:t>
      </w:r>
      <w:r>
        <w:t xml:space="preserve"> The high quality literature review will be expected to comprehensively assess existing evidence for how health impacts might be more completely valued than at presen</w:t>
      </w:r>
      <w:r w:rsidR="00E16310">
        <w:t xml:space="preserve">t, for example including a </w:t>
      </w:r>
      <w:r>
        <w:t>measure of morbidity impact on top of the existing valuation, without the need to change the fundamental parameters and values in current WebTAG guidance.</w:t>
      </w:r>
      <w:r w:rsidR="00C361E8">
        <w:t xml:space="preserve"> Judgement will also be made on how the review distinguishes between strong and weak evidence.</w:t>
      </w:r>
    </w:p>
    <w:p w14:paraId="3616E2C6" w14:textId="6AB3AEE6" w:rsidR="00551ADE" w:rsidRDefault="00551ADE" w:rsidP="00D42D25">
      <w:pPr>
        <w:pStyle w:val="Heading3"/>
      </w:pPr>
      <w:r>
        <w:t xml:space="preserve">The conclusion of the literature review on valuing health impacts within the existing WebTAG framework will be judged for quality based on how clear </w:t>
      </w:r>
      <w:r w:rsidR="00C361E8">
        <w:t xml:space="preserve">and what </w:t>
      </w:r>
      <w:r>
        <w:t>the conclusi</w:t>
      </w:r>
      <w:r w:rsidR="006E136D">
        <w:t>on is in proposing a solution for</w:t>
      </w:r>
      <w:r>
        <w:t xml:space="preserve"> a more complete valuation of health impacts</w:t>
      </w:r>
      <w:r w:rsidR="00A46DE0">
        <w:t xml:space="preserve"> using existing methodology</w:t>
      </w:r>
      <w:r>
        <w:t xml:space="preserve"> </w:t>
      </w:r>
      <w:r w:rsidR="006E136D">
        <w:t>based on the literature review. There will be a clear and logical link bet</w:t>
      </w:r>
      <w:r w:rsidR="00A46DE0">
        <w:t>ween the literature review and recommendation</w:t>
      </w:r>
      <w:r w:rsidR="006E136D">
        <w:t>. This conclusion will run parallel to the recommendation of the new methodology.</w:t>
      </w:r>
    </w:p>
    <w:p w14:paraId="27AB8B2A" w14:textId="7F66DE96" w:rsidR="00D42D25" w:rsidRDefault="00D42D25" w:rsidP="00D42D25">
      <w:pPr>
        <w:pStyle w:val="Heading3"/>
      </w:pPr>
      <w:r>
        <w:t>I</w:t>
      </w:r>
      <w:r w:rsidR="008B4D6C">
        <w:t>f the break clause is not activated</w:t>
      </w:r>
      <w:r>
        <w:t>; the quality of the development of a user-friendly toolkit</w:t>
      </w:r>
      <w:r w:rsidR="006E136D">
        <w:t xml:space="preserve"> using the new approach proposed </w:t>
      </w:r>
      <w:r>
        <w:t>will be judged</w:t>
      </w:r>
      <w:r w:rsidR="006E136D">
        <w:t xml:space="preserve"> for quality</w:t>
      </w:r>
      <w:r>
        <w:t xml:space="preserve"> on its ease of use </w:t>
      </w:r>
      <w:r w:rsidR="00724E3A">
        <w:t>for</w:t>
      </w:r>
      <w:r w:rsidR="006E136D">
        <w:t xml:space="preserve"> non-technical </w:t>
      </w:r>
      <w:r w:rsidR="00724E3A">
        <w:t>users</w:t>
      </w:r>
      <w:r w:rsidR="006E136D">
        <w:t xml:space="preserve"> such as transport planners and other decision makers</w:t>
      </w:r>
      <w:r w:rsidR="00724E3A">
        <w:t xml:space="preserve"> in central and local government</w:t>
      </w:r>
      <w:r>
        <w:t xml:space="preserve">. </w:t>
      </w:r>
      <w:r w:rsidR="00AE049E">
        <w:t xml:space="preserve">It will be judged for quality based on </w:t>
      </w:r>
      <w:r w:rsidR="00724E3A">
        <w:t>the simplicity when</w:t>
      </w:r>
      <w:r w:rsidR="00AE049E">
        <w:t xml:space="preserve"> convert</w:t>
      </w:r>
      <w:r w:rsidR="00724E3A">
        <w:t>ing</w:t>
      </w:r>
      <w:r w:rsidR="00AE049E">
        <w:t xml:space="preserve"> the outputs of the toolkit into a WebTAG compliant active mode transport appraisal.</w:t>
      </w:r>
      <w:r w:rsidR="00C361E8">
        <w:t xml:space="preserve"> Also judgement will be made on how the robustness of the toolkit’s results are assured.</w:t>
      </w:r>
    </w:p>
    <w:p w14:paraId="7B069DF3" w14:textId="7433E1EE" w:rsidR="00566842" w:rsidRDefault="006E136D" w:rsidP="00D42D25">
      <w:pPr>
        <w:pStyle w:val="Heading3"/>
      </w:pPr>
      <w:r>
        <w:t>Throughout the research project in every element the supplier will be judged for</w:t>
      </w:r>
      <w:r w:rsidR="00724E3A">
        <w:t xml:space="preserve"> overall</w:t>
      </w:r>
      <w:r>
        <w:t xml:space="preserve"> quality based on their own framework for quality assurance and how the supplier ensures that their outputs are to the highest possible standard of robustness. </w:t>
      </w:r>
    </w:p>
    <w:p w14:paraId="47E66F5C" w14:textId="77777777" w:rsidR="00764B11" w:rsidRPr="00CC21A7" w:rsidRDefault="00764B11" w:rsidP="00C81D6D">
      <w:pPr>
        <w:pStyle w:val="Heading2"/>
        <w:rPr>
          <w:b/>
        </w:rPr>
      </w:pPr>
      <w:r w:rsidRPr="00CC21A7">
        <w:t>The Plan as at the Effective Date is set out below:</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096"/>
        <w:gridCol w:w="1701"/>
      </w:tblGrid>
      <w:tr w:rsidR="00D74D97" w:rsidRPr="009F6433" w14:paraId="770353B6" w14:textId="77777777" w:rsidTr="00724E3A">
        <w:trPr>
          <w:trHeight w:val="523"/>
          <w:tblHeader/>
        </w:trPr>
        <w:tc>
          <w:tcPr>
            <w:tcW w:w="1129" w:type="dxa"/>
            <w:tcBorders>
              <w:bottom w:val="single" w:sz="4" w:space="0" w:color="auto"/>
            </w:tcBorders>
          </w:tcPr>
          <w:p w14:paraId="4BAB4776" w14:textId="546E56E8" w:rsidR="00D74D97" w:rsidRPr="00CC21A7" w:rsidRDefault="00D74D97" w:rsidP="00941019">
            <w:pPr>
              <w:pStyle w:val="MarginText"/>
              <w:rPr>
                <w:rFonts w:cs="Arial"/>
                <w:sz w:val="20"/>
              </w:rPr>
            </w:pPr>
            <w:r w:rsidRPr="00CC21A7">
              <w:rPr>
                <w:rFonts w:cs="Arial"/>
                <w:sz w:val="20"/>
              </w:rPr>
              <w:lastRenderedPageBreak/>
              <w:t>Milestone</w:t>
            </w:r>
            <w:r>
              <w:rPr>
                <w:rFonts w:cs="Arial"/>
                <w:sz w:val="20"/>
              </w:rPr>
              <w:t xml:space="preserve">: </w:t>
            </w:r>
          </w:p>
        </w:tc>
        <w:tc>
          <w:tcPr>
            <w:tcW w:w="6096" w:type="dxa"/>
            <w:tcBorders>
              <w:bottom w:val="single" w:sz="4" w:space="0" w:color="auto"/>
            </w:tcBorders>
          </w:tcPr>
          <w:p w14:paraId="54468D90" w14:textId="50D9F3E4" w:rsidR="00D74D97" w:rsidRPr="00CC21A7" w:rsidRDefault="006E136D" w:rsidP="006E136D">
            <w:pPr>
              <w:pStyle w:val="MarginText"/>
              <w:rPr>
                <w:rFonts w:cs="Arial"/>
                <w:sz w:val="20"/>
              </w:rPr>
            </w:pPr>
            <w:r>
              <w:rPr>
                <w:rFonts w:cs="Arial"/>
                <w:sz w:val="20"/>
              </w:rPr>
              <w:t>Deliverable</w:t>
            </w:r>
          </w:p>
        </w:tc>
        <w:tc>
          <w:tcPr>
            <w:tcW w:w="1701" w:type="dxa"/>
            <w:tcBorders>
              <w:bottom w:val="single" w:sz="4" w:space="0" w:color="auto"/>
            </w:tcBorders>
          </w:tcPr>
          <w:p w14:paraId="3ADE2377" w14:textId="77777777" w:rsidR="00D74D97" w:rsidRPr="00CC21A7" w:rsidRDefault="00D74D97" w:rsidP="00941019">
            <w:pPr>
              <w:pStyle w:val="MarginText"/>
              <w:rPr>
                <w:rFonts w:cs="Arial"/>
                <w:sz w:val="20"/>
              </w:rPr>
            </w:pPr>
            <w:r w:rsidRPr="00CC21A7">
              <w:rPr>
                <w:rFonts w:cs="Arial"/>
                <w:sz w:val="20"/>
              </w:rPr>
              <w:t>Milestone Date</w:t>
            </w:r>
          </w:p>
        </w:tc>
      </w:tr>
      <w:tr w:rsidR="006E136D" w:rsidRPr="009870B6" w14:paraId="05299918" w14:textId="77777777" w:rsidTr="00724E3A">
        <w:trPr>
          <w:trHeight w:val="608"/>
          <w:tblHeader/>
        </w:trPr>
        <w:tc>
          <w:tcPr>
            <w:tcW w:w="1129" w:type="dxa"/>
            <w:shd w:val="clear" w:color="auto" w:fill="auto"/>
          </w:tcPr>
          <w:p w14:paraId="1F1F9AAA" w14:textId="4450BF12" w:rsidR="006E136D" w:rsidRPr="009870B6" w:rsidRDefault="006E136D" w:rsidP="007C0B3E">
            <w:pPr>
              <w:pStyle w:val="MarginText"/>
              <w:jc w:val="left"/>
              <w:rPr>
                <w:rFonts w:cs="Arial"/>
                <w:sz w:val="20"/>
              </w:rPr>
            </w:pPr>
            <w:r>
              <w:rPr>
                <w:rFonts w:cs="Arial"/>
                <w:sz w:val="20"/>
              </w:rPr>
              <w:t>1</w:t>
            </w:r>
          </w:p>
        </w:tc>
        <w:tc>
          <w:tcPr>
            <w:tcW w:w="6096" w:type="dxa"/>
            <w:shd w:val="clear" w:color="auto" w:fill="auto"/>
          </w:tcPr>
          <w:p w14:paraId="1EF8C9C6" w14:textId="77777777" w:rsidR="002F6A1B" w:rsidRDefault="002F6A1B" w:rsidP="002F6A1B">
            <w:pPr>
              <w:pStyle w:val="MarginText"/>
              <w:jc w:val="left"/>
              <w:rPr>
                <w:rFonts w:cs="Arial"/>
                <w:sz w:val="20"/>
              </w:rPr>
            </w:pPr>
            <w:r>
              <w:rPr>
                <w:rFonts w:cs="Arial"/>
                <w:sz w:val="20"/>
              </w:rPr>
              <w:t>A full research summary document in</w:t>
            </w:r>
            <w:r w:rsidR="006E136D" w:rsidRPr="009870B6">
              <w:rPr>
                <w:rFonts w:cs="Arial"/>
                <w:sz w:val="20"/>
              </w:rPr>
              <w:t xml:space="preserve"> Word </w:t>
            </w:r>
            <w:r w:rsidR="006E136D">
              <w:rPr>
                <w:rFonts w:cs="Arial"/>
                <w:sz w:val="20"/>
              </w:rPr>
              <w:t xml:space="preserve">format </w:t>
            </w:r>
            <w:r w:rsidR="006E136D" w:rsidRPr="009870B6">
              <w:rPr>
                <w:rFonts w:cs="Arial"/>
                <w:sz w:val="20"/>
              </w:rPr>
              <w:t xml:space="preserve">outlining </w:t>
            </w:r>
            <w:r>
              <w:rPr>
                <w:rFonts w:cs="Arial"/>
                <w:sz w:val="20"/>
              </w:rPr>
              <w:t>the new proposed methodology to value h</w:t>
            </w:r>
            <w:r w:rsidR="006E136D" w:rsidRPr="009870B6">
              <w:rPr>
                <w:rFonts w:cs="Arial"/>
                <w:sz w:val="20"/>
              </w:rPr>
              <w:t xml:space="preserve">ealth impacts of active transport </w:t>
            </w:r>
            <w:r>
              <w:rPr>
                <w:rFonts w:cs="Arial"/>
                <w:sz w:val="20"/>
              </w:rPr>
              <w:t>based on</w:t>
            </w:r>
            <w:r w:rsidR="006E136D">
              <w:rPr>
                <w:rFonts w:cs="Arial"/>
                <w:sz w:val="20"/>
              </w:rPr>
              <w:t xml:space="preserve"> a </w:t>
            </w:r>
            <w:r w:rsidR="006E136D" w:rsidRPr="009870B6">
              <w:rPr>
                <w:rFonts w:cs="Arial"/>
                <w:sz w:val="20"/>
              </w:rPr>
              <w:t>statistical life</w:t>
            </w:r>
            <w:r w:rsidR="006E136D">
              <w:rPr>
                <w:rFonts w:cs="Arial"/>
                <w:sz w:val="20"/>
              </w:rPr>
              <w:t xml:space="preserve"> year</w:t>
            </w:r>
            <w:r>
              <w:rPr>
                <w:rFonts w:cs="Arial"/>
                <w:sz w:val="20"/>
              </w:rPr>
              <w:t xml:space="preserve"> measure</w:t>
            </w:r>
            <w:r w:rsidR="006E136D">
              <w:rPr>
                <w:rFonts w:cs="Arial"/>
                <w:sz w:val="20"/>
              </w:rPr>
              <w:t xml:space="preserve"> (</w:t>
            </w:r>
            <w:r>
              <w:rPr>
                <w:rFonts w:cs="Arial"/>
                <w:sz w:val="20"/>
              </w:rPr>
              <w:t>such as</w:t>
            </w:r>
            <w:r w:rsidR="006E136D">
              <w:rPr>
                <w:rFonts w:cs="Arial"/>
                <w:sz w:val="20"/>
              </w:rPr>
              <w:t xml:space="preserve"> QALY or DALY). </w:t>
            </w:r>
          </w:p>
          <w:p w14:paraId="58CD4AD0" w14:textId="5B26A279" w:rsidR="006E136D" w:rsidRDefault="002F6A1B" w:rsidP="002F6A1B">
            <w:pPr>
              <w:pStyle w:val="MarginText"/>
              <w:jc w:val="left"/>
              <w:rPr>
                <w:rFonts w:cs="Arial"/>
                <w:sz w:val="20"/>
              </w:rPr>
            </w:pPr>
            <w:r>
              <w:rPr>
                <w:rFonts w:cs="Arial"/>
                <w:sz w:val="20"/>
              </w:rPr>
              <w:t>The document must make a recommendation on whether the new approach can be incorporated into WebTAG appraisal guidance within one year and specify how the new approach will fit in with WebTAG appraisal guidance on active modes of transport</w:t>
            </w:r>
            <w:r w:rsidR="00724E3A">
              <w:rPr>
                <w:rFonts w:cs="Arial"/>
                <w:sz w:val="20"/>
              </w:rPr>
              <w:t xml:space="preserve"> (WebTAG unit 5.1)</w:t>
            </w:r>
            <w:r>
              <w:rPr>
                <w:rFonts w:cs="Arial"/>
                <w:sz w:val="20"/>
              </w:rPr>
              <w:t>.</w:t>
            </w:r>
            <w:r w:rsidR="006E136D" w:rsidRPr="009870B6">
              <w:rPr>
                <w:rFonts w:cs="Arial"/>
                <w:sz w:val="20"/>
              </w:rPr>
              <w:t xml:space="preserve"> </w:t>
            </w:r>
          </w:p>
          <w:p w14:paraId="1A7D3677" w14:textId="4BE50670" w:rsidR="007905EC" w:rsidRPr="009870B6" w:rsidRDefault="007905EC" w:rsidP="007905EC">
            <w:pPr>
              <w:pStyle w:val="MarginText"/>
              <w:jc w:val="left"/>
              <w:rPr>
                <w:rFonts w:cs="Arial"/>
                <w:sz w:val="20"/>
              </w:rPr>
            </w:pPr>
            <w:r>
              <w:rPr>
                <w:rFonts w:cs="Arial"/>
                <w:sz w:val="20"/>
              </w:rPr>
              <w:t>The supplier is encouraged to submit supporting evidence and modelling behind the developed methodology as a separate annex within the same timelines.</w:t>
            </w:r>
          </w:p>
        </w:tc>
        <w:tc>
          <w:tcPr>
            <w:tcW w:w="1701" w:type="dxa"/>
            <w:shd w:val="clear" w:color="auto" w:fill="auto"/>
          </w:tcPr>
          <w:p w14:paraId="509F2A61" w14:textId="29A6AE66" w:rsidR="006E136D" w:rsidRPr="009870B6" w:rsidRDefault="0082215F" w:rsidP="007C0B3E">
            <w:pPr>
              <w:pStyle w:val="MarginText"/>
              <w:jc w:val="left"/>
              <w:rPr>
                <w:rFonts w:cs="Arial"/>
                <w:sz w:val="20"/>
              </w:rPr>
            </w:pPr>
            <w:r>
              <w:rPr>
                <w:rFonts w:cs="Arial"/>
                <w:sz w:val="20"/>
              </w:rPr>
              <w:t>June 10</w:t>
            </w:r>
            <w:r w:rsidR="006E136D" w:rsidRPr="009870B6">
              <w:rPr>
                <w:rFonts w:cs="Arial"/>
                <w:sz w:val="20"/>
                <w:vertAlign w:val="superscript"/>
              </w:rPr>
              <w:t>th</w:t>
            </w:r>
            <w:r w:rsidR="006E136D" w:rsidRPr="009870B6">
              <w:rPr>
                <w:rFonts w:cs="Arial"/>
                <w:sz w:val="20"/>
              </w:rPr>
              <w:t>, 2016</w:t>
            </w:r>
          </w:p>
        </w:tc>
      </w:tr>
      <w:tr w:rsidR="00D74D97" w:rsidRPr="009F6433" w14:paraId="3620F3CB" w14:textId="77777777" w:rsidTr="00724E3A">
        <w:trPr>
          <w:trHeight w:val="806"/>
          <w:tblHeader/>
        </w:trPr>
        <w:tc>
          <w:tcPr>
            <w:tcW w:w="1129" w:type="dxa"/>
            <w:shd w:val="clear" w:color="auto" w:fill="auto"/>
          </w:tcPr>
          <w:p w14:paraId="55AF51E5" w14:textId="00B884FE" w:rsidR="00D74D97" w:rsidRPr="009870B6" w:rsidRDefault="006E136D" w:rsidP="009870B6">
            <w:pPr>
              <w:pStyle w:val="MarginText"/>
              <w:jc w:val="left"/>
              <w:rPr>
                <w:rFonts w:cs="Arial"/>
                <w:sz w:val="20"/>
              </w:rPr>
            </w:pPr>
            <w:r>
              <w:rPr>
                <w:rFonts w:cs="Arial"/>
                <w:sz w:val="20"/>
              </w:rPr>
              <w:t>2</w:t>
            </w:r>
          </w:p>
        </w:tc>
        <w:tc>
          <w:tcPr>
            <w:tcW w:w="6096" w:type="dxa"/>
            <w:shd w:val="clear" w:color="auto" w:fill="auto"/>
          </w:tcPr>
          <w:p w14:paraId="55EDD5D1" w14:textId="177F7F91" w:rsidR="007905EC" w:rsidRDefault="00724E3A" w:rsidP="007905EC">
            <w:pPr>
              <w:pStyle w:val="MarginText"/>
              <w:jc w:val="left"/>
              <w:rPr>
                <w:rFonts w:cs="Arial"/>
                <w:sz w:val="20"/>
              </w:rPr>
            </w:pPr>
            <w:r>
              <w:rPr>
                <w:rFonts w:cs="Arial"/>
                <w:sz w:val="20"/>
              </w:rPr>
              <w:t>In parallel: a</w:t>
            </w:r>
            <w:r w:rsidR="00D74D97" w:rsidRPr="009870B6">
              <w:rPr>
                <w:rFonts w:cs="Arial"/>
                <w:sz w:val="20"/>
              </w:rPr>
              <w:t xml:space="preserve"> literature review</w:t>
            </w:r>
            <w:r w:rsidR="00D74D97">
              <w:rPr>
                <w:rFonts w:cs="Arial"/>
                <w:sz w:val="20"/>
              </w:rPr>
              <w:t xml:space="preserve"> of existing evidence </w:t>
            </w:r>
            <w:r w:rsidR="007905EC">
              <w:rPr>
                <w:rFonts w:cs="Arial"/>
                <w:sz w:val="20"/>
              </w:rPr>
              <w:t xml:space="preserve">on how </w:t>
            </w:r>
            <w:r w:rsidR="00F31FFD">
              <w:rPr>
                <w:rFonts w:cs="Arial"/>
                <w:sz w:val="20"/>
              </w:rPr>
              <w:t>heath impacts can be more comprehensively valued</w:t>
            </w:r>
            <w:r w:rsidR="007905EC">
              <w:rPr>
                <w:rFonts w:cs="Arial"/>
                <w:sz w:val="20"/>
              </w:rPr>
              <w:t xml:space="preserve"> </w:t>
            </w:r>
            <w:r w:rsidR="00F31FFD">
              <w:rPr>
                <w:rFonts w:cs="Arial"/>
                <w:sz w:val="20"/>
              </w:rPr>
              <w:t>without changing</w:t>
            </w:r>
            <w:r w:rsidR="007905EC">
              <w:rPr>
                <w:rFonts w:cs="Arial"/>
                <w:sz w:val="20"/>
              </w:rPr>
              <w:t xml:space="preserve"> existing WebTAG appraisal guidance </w:t>
            </w:r>
            <w:r w:rsidR="00F31FFD">
              <w:rPr>
                <w:rFonts w:cs="Arial"/>
                <w:sz w:val="20"/>
              </w:rPr>
              <w:t xml:space="preserve">on active modes </w:t>
            </w:r>
            <w:r w:rsidR="007905EC">
              <w:rPr>
                <w:rFonts w:cs="Arial"/>
                <w:sz w:val="20"/>
              </w:rPr>
              <w:t>(keeping the existing VPF approach) in</w:t>
            </w:r>
            <w:r w:rsidR="00D74D97" w:rsidRPr="009870B6">
              <w:rPr>
                <w:rFonts w:cs="Arial"/>
                <w:sz w:val="20"/>
              </w:rPr>
              <w:t xml:space="preserve"> Word format</w:t>
            </w:r>
            <w:r w:rsidR="007905EC">
              <w:rPr>
                <w:rFonts w:cs="Arial"/>
                <w:sz w:val="20"/>
              </w:rPr>
              <w:t xml:space="preserve"> with particular reference to how additional morbidity impacts would be captured within that framework. </w:t>
            </w:r>
            <w:r w:rsidR="00D74D97" w:rsidRPr="009870B6">
              <w:rPr>
                <w:rFonts w:cs="Arial"/>
                <w:sz w:val="20"/>
              </w:rPr>
              <w:t xml:space="preserve"> </w:t>
            </w:r>
          </w:p>
          <w:p w14:paraId="41E5A3DF" w14:textId="1CFB6176" w:rsidR="00D74D97" w:rsidRPr="009870B6" w:rsidRDefault="007905EC" w:rsidP="00694F02">
            <w:pPr>
              <w:pStyle w:val="MarginText"/>
              <w:jc w:val="left"/>
              <w:rPr>
                <w:rFonts w:cs="Arial"/>
                <w:sz w:val="20"/>
              </w:rPr>
            </w:pPr>
            <w:r>
              <w:rPr>
                <w:rFonts w:cs="Arial"/>
                <w:sz w:val="20"/>
              </w:rPr>
              <w:t xml:space="preserve">The literature review will include a clear recommendation </w:t>
            </w:r>
            <w:r w:rsidR="00694F02">
              <w:rPr>
                <w:rFonts w:cs="Arial"/>
                <w:sz w:val="20"/>
              </w:rPr>
              <w:t>on how the evidence can be incorpirated</w:t>
            </w:r>
            <w:r>
              <w:rPr>
                <w:rFonts w:cs="Arial"/>
                <w:sz w:val="20"/>
              </w:rPr>
              <w:t xml:space="preserve"> </w:t>
            </w:r>
            <w:r w:rsidR="00D74D97">
              <w:rPr>
                <w:rFonts w:cs="Arial"/>
                <w:sz w:val="20"/>
              </w:rPr>
              <w:t>in</w:t>
            </w:r>
            <w:r>
              <w:rPr>
                <w:rFonts w:cs="Arial"/>
                <w:sz w:val="20"/>
              </w:rPr>
              <w:t>to existing</w:t>
            </w:r>
            <w:r w:rsidR="00D74D97">
              <w:rPr>
                <w:rFonts w:cs="Arial"/>
                <w:sz w:val="20"/>
              </w:rPr>
              <w:t xml:space="preserve"> </w:t>
            </w:r>
            <w:r>
              <w:rPr>
                <w:rFonts w:cs="Arial"/>
                <w:sz w:val="20"/>
              </w:rPr>
              <w:t xml:space="preserve">WebTAG </w:t>
            </w:r>
            <w:r w:rsidR="00D74D97">
              <w:rPr>
                <w:rFonts w:cs="Arial"/>
                <w:sz w:val="20"/>
              </w:rPr>
              <w:t>transport appraisal</w:t>
            </w:r>
            <w:r>
              <w:rPr>
                <w:rFonts w:cs="Arial"/>
                <w:sz w:val="20"/>
              </w:rPr>
              <w:t xml:space="preserve"> guidance</w:t>
            </w:r>
            <w:r w:rsidR="00D74D97" w:rsidRPr="009870B6">
              <w:rPr>
                <w:rFonts w:cs="Arial"/>
                <w:sz w:val="20"/>
              </w:rPr>
              <w:t>.</w:t>
            </w:r>
          </w:p>
        </w:tc>
        <w:tc>
          <w:tcPr>
            <w:tcW w:w="1701" w:type="dxa"/>
            <w:shd w:val="clear" w:color="auto" w:fill="auto"/>
          </w:tcPr>
          <w:p w14:paraId="39C42DE1" w14:textId="31DA0821" w:rsidR="00D74D97" w:rsidRPr="009870B6" w:rsidRDefault="0082215F" w:rsidP="009870B6">
            <w:pPr>
              <w:pStyle w:val="MarginText"/>
              <w:jc w:val="left"/>
              <w:rPr>
                <w:rFonts w:cs="Arial"/>
                <w:sz w:val="20"/>
              </w:rPr>
            </w:pPr>
            <w:r>
              <w:rPr>
                <w:rFonts w:cs="Arial"/>
                <w:sz w:val="20"/>
              </w:rPr>
              <w:t>June 10</w:t>
            </w:r>
            <w:r w:rsidR="00D74D97" w:rsidRPr="009870B6">
              <w:rPr>
                <w:rFonts w:cs="Arial"/>
                <w:sz w:val="20"/>
                <w:vertAlign w:val="superscript"/>
              </w:rPr>
              <w:t>th</w:t>
            </w:r>
            <w:r w:rsidR="00D74D97" w:rsidRPr="009870B6">
              <w:rPr>
                <w:rFonts w:cs="Arial"/>
                <w:sz w:val="20"/>
              </w:rPr>
              <w:t>, 2016</w:t>
            </w:r>
          </w:p>
        </w:tc>
      </w:tr>
      <w:tr w:rsidR="00D74D97" w:rsidRPr="009F6433" w14:paraId="1F7BA786" w14:textId="77777777" w:rsidTr="00724E3A">
        <w:trPr>
          <w:trHeight w:val="411"/>
          <w:tblHeader/>
        </w:trPr>
        <w:tc>
          <w:tcPr>
            <w:tcW w:w="1129" w:type="dxa"/>
            <w:shd w:val="clear" w:color="auto" w:fill="auto"/>
          </w:tcPr>
          <w:p w14:paraId="735FF4C8" w14:textId="77777777" w:rsidR="00D74D97" w:rsidRPr="009870B6" w:rsidRDefault="00D74D97" w:rsidP="009870B6">
            <w:pPr>
              <w:pStyle w:val="MarginText"/>
              <w:jc w:val="left"/>
              <w:rPr>
                <w:rFonts w:cs="Arial"/>
                <w:sz w:val="20"/>
              </w:rPr>
            </w:pPr>
            <w:r w:rsidRPr="009870B6">
              <w:rPr>
                <w:rFonts w:cs="Arial"/>
                <w:sz w:val="20"/>
              </w:rPr>
              <w:t>3</w:t>
            </w:r>
          </w:p>
        </w:tc>
        <w:tc>
          <w:tcPr>
            <w:tcW w:w="6096" w:type="dxa"/>
            <w:shd w:val="clear" w:color="auto" w:fill="auto"/>
          </w:tcPr>
          <w:p w14:paraId="7523A8FD" w14:textId="30FFF34A" w:rsidR="00D74D97" w:rsidRDefault="00AE049E" w:rsidP="00566842">
            <w:pPr>
              <w:pStyle w:val="MarginText"/>
              <w:jc w:val="left"/>
              <w:rPr>
                <w:rFonts w:cs="Arial"/>
                <w:sz w:val="20"/>
              </w:rPr>
            </w:pPr>
            <w:r>
              <w:rPr>
                <w:rFonts w:cs="Arial"/>
                <w:sz w:val="20"/>
              </w:rPr>
              <w:t>A</w:t>
            </w:r>
            <w:r w:rsidR="00D74D97">
              <w:rPr>
                <w:rFonts w:cs="Arial"/>
                <w:sz w:val="20"/>
              </w:rPr>
              <w:t>n</w:t>
            </w:r>
            <w:r w:rsidR="00D74D97" w:rsidRPr="009870B6">
              <w:rPr>
                <w:rFonts w:cs="Arial"/>
                <w:sz w:val="20"/>
              </w:rPr>
              <w:t xml:space="preserve"> easy to use toolkit </w:t>
            </w:r>
            <w:r>
              <w:rPr>
                <w:rFonts w:cs="Arial"/>
                <w:sz w:val="20"/>
              </w:rPr>
              <w:t xml:space="preserve">in an accessible format (either Excel or a web-based tool for example). The toolkit will estimate health impacts of active modes of transport based on the new approach developed in milestone one only. The outputs of the toolkit will be compatible with a WebTAG compliant appraisal. </w:t>
            </w:r>
          </w:p>
          <w:p w14:paraId="433E7FF0" w14:textId="174F8C94" w:rsidR="006E136D" w:rsidRPr="006E136D" w:rsidRDefault="006E136D" w:rsidP="00D05A7D">
            <w:pPr>
              <w:pStyle w:val="MarginText"/>
              <w:jc w:val="left"/>
              <w:rPr>
                <w:rFonts w:cs="Arial"/>
                <w:color w:val="FF0000"/>
                <w:sz w:val="20"/>
              </w:rPr>
            </w:pPr>
            <w:r w:rsidRPr="007905EC">
              <w:rPr>
                <w:rFonts w:cs="Arial"/>
                <w:b/>
                <w:sz w:val="20"/>
              </w:rPr>
              <w:t>This deliverable is dependent on the break clause not being activated by the Department</w:t>
            </w:r>
            <w:r w:rsidRPr="007905EC">
              <w:rPr>
                <w:rFonts w:cs="Arial"/>
                <w:sz w:val="20"/>
              </w:rPr>
              <w:t xml:space="preserve">. The Department reserves the right – upon completion of </w:t>
            </w:r>
            <w:r w:rsidR="00D05A7D">
              <w:rPr>
                <w:rFonts w:cs="Arial"/>
                <w:sz w:val="20"/>
              </w:rPr>
              <w:t>milestones</w:t>
            </w:r>
            <w:r w:rsidRPr="007905EC">
              <w:rPr>
                <w:rFonts w:cs="Arial"/>
                <w:sz w:val="20"/>
              </w:rPr>
              <w:t xml:space="preserve"> one and two – to only pay for those </w:t>
            </w:r>
            <w:r w:rsidR="007905EC">
              <w:rPr>
                <w:rFonts w:cs="Arial"/>
                <w:sz w:val="20"/>
              </w:rPr>
              <w:t>these</w:t>
            </w:r>
            <w:r w:rsidRPr="007905EC">
              <w:rPr>
                <w:rFonts w:cs="Arial"/>
                <w:sz w:val="20"/>
              </w:rPr>
              <w:t xml:space="preserve"> and terminate the project</w:t>
            </w:r>
            <w:r w:rsidR="007905EC">
              <w:rPr>
                <w:rFonts w:cs="Arial"/>
                <w:sz w:val="20"/>
              </w:rPr>
              <w:t xml:space="preserve"> thereafter</w:t>
            </w:r>
            <w:r w:rsidRPr="007905EC">
              <w:rPr>
                <w:rFonts w:cs="Arial"/>
                <w:sz w:val="20"/>
              </w:rPr>
              <w:t>.</w:t>
            </w:r>
            <w:r w:rsidR="007905EC">
              <w:rPr>
                <w:rStyle w:val="FootnoteReference"/>
              </w:rPr>
              <w:footnoteReference w:id="7"/>
            </w:r>
            <w:r w:rsidRPr="007905EC">
              <w:rPr>
                <w:rFonts w:cs="Arial"/>
                <w:sz w:val="20"/>
              </w:rPr>
              <w:t xml:space="preserve"> </w:t>
            </w:r>
          </w:p>
        </w:tc>
        <w:tc>
          <w:tcPr>
            <w:tcW w:w="1701" w:type="dxa"/>
            <w:shd w:val="clear" w:color="auto" w:fill="auto"/>
          </w:tcPr>
          <w:p w14:paraId="69C757AE" w14:textId="06A79183" w:rsidR="00D74D97" w:rsidRPr="009870B6" w:rsidRDefault="00E16310" w:rsidP="0082215F">
            <w:pPr>
              <w:pStyle w:val="MarginText"/>
              <w:jc w:val="left"/>
              <w:rPr>
                <w:rFonts w:cs="Arial"/>
                <w:sz w:val="20"/>
              </w:rPr>
            </w:pPr>
            <w:r>
              <w:rPr>
                <w:rFonts w:cs="Arial"/>
                <w:sz w:val="20"/>
              </w:rPr>
              <w:t xml:space="preserve">Within four weeks of the Department deciding whether to activate the break clause. No later than July </w:t>
            </w:r>
            <w:r w:rsidR="0082215F">
              <w:rPr>
                <w:rFonts w:cs="Arial"/>
                <w:sz w:val="20"/>
              </w:rPr>
              <w:t>15</w:t>
            </w:r>
            <w:r w:rsidR="0082215F" w:rsidRPr="0082215F">
              <w:rPr>
                <w:rFonts w:cs="Arial"/>
                <w:sz w:val="20"/>
                <w:vertAlign w:val="superscript"/>
              </w:rPr>
              <w:t>th</w:t>
            </w:r>
            <w:r w:rsidR="0082215F">
              <w:rPr>
                <w:rFonts w:cs="Arial"/>
                <w:sz w:val="20"/>
              </w:rPr>
              <w:t xml:space="preserve"> </w:t>
            </w:r>
            <w:r>
              <w:rPr>
                <w:rFonts w:cs="Arial"/>
                <w:sz w:val="20"/>
              </w:rPr>
              <w:t>2016.</w:t>
            </w:r>
          </w:p>
        </w:tc>
      </w:tr>
      <w:tr w:rsidR="00D74D97" w:rsidRPr="009F6433" w14:paraId="483E39BF" w14:textId="77777777" w:rsidTr="00724E3A">
        <w:trPr>
          <w:trHeight w:val="394"/>
          <w:tblHeader/>
        </w:trPr>
        <w:tc>
          <w:tcPr>
            <w:tcW w:w="1129" w:type="dxa"/>
            <w:shd w:val="clear" w:color="auto" w:fill="auto"/>
          </w:tcPr>
          <w:p w14:paraId="65D67613" w14:textId="77777777" w:rsidR="00D74D97" w:rsidRPr="009870B6" w:rsidRDefault="00D74D97" w:rsidP="009870B6">
            <w:pPr>
              <w:pStyle w:val="MarginText"/>
              <w:jc w:val="left"/>
              <w:rPr>
                <w:rFonts w:cs="Arial"/>
                <w:sz w:val="20"/>
              </w:rPr>
            </w:pPr>
            <w:r w:rsidRPr="009870B6">
              <w:rPr>
                <w:rFonts w:cs="Arial"/>
                <w:sz w:val="20"/>
              </w:rPr>
              <w:t>4</w:t>
            </w:r>
          </w:p>
        </w:tc>
        <w:tc>
          <w:tcPr>
            <w:tcW w:w="6096" w:type="dxa"/>
            <w:shd w:val="clear" w:color="auto" w:fill="auto"/>
          </w:tcPr>
          <w:p w14:paraId="6F7CB228" w14:textId="7D454668" w:rsidR="00D74D97" w:rsidRPr="009870B6" w:rsidRDefault="00D74D97" w:rsidP="00806E49">
            <w:pPr>
              <w:pStyle w:val="MarginText"/>
              <w:jc w:val="left"/>
              <w:rPr>
                <w:rFonts w:cs="Arial"/>
                <w:sz w:val="20"/>
              </w:rPr>
            </w:pPr>
            <w:r w:rsidRPr="009870B6">
              <w:rPr>
                <w:rFonts w:cs="Arial"/>
                <w:sz w:val="20"/>
              </w:rPr>
              <w:t>Full participation in dissemination work and stakeholder engagement following the conclusions made in each of the above deliverables.</w:t>
            </w:r>
            <w:r w:rsidR="00806E49">
              <w:rPr>
                <w:rFonts w:cs="Arial"/>
                <w:sz w:val="20"/>
              </w:rPr>
              <w:t xml:space="preserve"> This will most likely involve a one day stakeholder engagement event and no more than three half day workshops.</w:t>
            </w:r>
          </w:p>
        </w:tc>
        <w:tc>
          <w:tcPr>
            <w:tcW w:w="1701" w:type="dxa"/>
            <w:shd w:val="clear" w:color="auto" w:fill="auto"/>
          </w:tcPr>
          <w:p w14:paraId="27ECF34B" w14:textId="77777777" w:rsidR="00D74D97" w:rsidRPr="009870B6" w:rsidRDefault="00D74D97" w:rsidP="009870B6">
            <w:pPr>
              <w:pStyle w:val="MarginText"/>
              <w:jc w:val="left"/>
              <w:rPr>
                <w:rFonts w:cs="Arial"/>
                <w:sz w:val="20"/>
              </w:rPr>
            </w:pPr>
            <w:r w:rsidRPr="009870B6">
              <w:rPr>
                <w:rFonts w:cs="Arial"/>
                <w:sz w:val="20"/>
              </w:rPr>
              <w:t>August 5</w:t>
            </w:r>
            <w:r w:rsidRPr="009870B6">
              <w:rPr>
                <w:rFonts w:cs="Arial"/>
                <w:sz w:val="20"/>
                <w:vertAlign w:val="superscript"/>
              </w:rPr>
              <w:t>th</w:t>
            </w:r>
            <w:r w:rsidRPr="009870B6">
              <w:rPr>
                <w:rFonts w:cs="Arial"/>
                <w:sz w:val="20"/>
              </w:rPr>
              <w:t>, 2016</w:t>
            </w:r>
          </w:p>
        </w:tc>
      </w:tr>
    </w:tbl>
    <w:p w14:paraId="163A2264" w14:textId="77777777" w:rsidR="00764B11" w:rsidRPr="009F6433" w:rsidRDefault="00764B11" w:rsidP="00764B11">
      <w:pPr>
        <w:pStyle w:val="Heading3"/>
        <w:numPr>
          <w:ilvl w:val="0"/>
          <w:numId w:val="0"/>
        </w:numPr>
        <w:rPr>
          <w:b/>
          <w:highlight w:val="yellow"/>
        </w:rPr>
      </w:pPr>
    </w:p>
    <w:p w14:paraId="4F460D2D" w14:textId="77777777" w:rsidR="00764B11" w:rsidRPr="00CC21A7" w:rsidRDefault="00764B11" w:rsidP="00764B11">
      <w:pPr>
        <w:pStyle w:val="Heading3"/>
        <w:rPr>
          <w:b/>
        </w:rPr>
      </w:pPr>
      <w:r w:rsidRPr="00CC21A7">
        <w:rPr>
          <w:rFonts w:cs="Arial"/>
          <w:szCs w:val="22"/>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4D744FB0" w14:textId="77777777" w:rsidR="00764B11" w:rsidRPr="00CC21A7" w:rsidRDefault="00764B11" w:rsidP="00764B11">
      <w:pPr>
        <w:pStyle w:val="Heading3"/>
        <w:rPr>
          <w:b/>
        </w:rPr>
      </w:pPr>
      <w:r w:rsidRPr="00CC21A7">
        <w:rPr>
          <w:rFonts w:cs="Arial"/>
          <w:szCs w:val="22"/>
        </w:rPr>
        <w:lastRenderedPageBreak/>
        <w:t>The Customer shall have the right to require the Supplier to include any reasonable changes or provisions in each version of the Implementation Plan.</w:t>
      </w:r>
    </w:p>
    <w:p w14:paraId="0221F2B3" w14:textId="188F2055" w:rsidR="00764B11" w:rsidRPr="00CC21A7" w:rsidRDefault="00764B11" w:rsidP="00764B11">
      <w:pPr>
        <w:pStyle w:val="Heading3"/>
        <w:rPr>
          <w:b/>
        </w:rPr>
      </w:pPr>
      <w:r w:rsidRPr="00CC21A7">
        <w:rPr>
          <w:rFonts w:cs="Arial"/>
          <w:szCs w:val="22"/>
        </w:rPr>
        <w:t>The Supplier shall perform its obligations so as to achieve each Milestone by the Milestone Date.</w:t>
      </w:r>
      <w:r w:rsidR="00566842">
        <w:rPr>
          <w:rFonts w:cs="Arial"/>
          <w:szCs w:val="22"/>
        </w:rPr>
        <w:t xml:space="preserve"> Should the break clause be activated then no further obligations will be performed by the supplier beyond the first two milestones.</w:t>
      </w:r>
      <w:r w:rsidR="002E2196">
        <w:rPr>
          <w:rFonts w:cs="Arial"/>
          <w:szCs w:val="22"/>
        </w:rPr>
        <w:t xml:space="preserve"> The Department reserves the right to pay only for the first two milestones should the Department </w:t>
      </w:r>
      <w:r w:rsidR="002A7480">
        <w:rPr>
          <w:rFonts w:cs="Arial"/>
          <w:szCs w:val="22"/>
        </w:rPr>
        <w:t>wish to activate the break clause after the delivery of the first two milestones</w:t>
      </w:r>
      <w:r w:rsidR="002E2196">
        <w:rPr>
          <w:rFonts w:cs="Arial"/>
          <w:szCs w:val="22"/>
        </w:rPr>
        <w:t xml:space="preserve">. The responsibility for the decision to activate the break clause </w:t>
      </w:r>
      <w:r w:rsidR="002A7480">
        <w:rPr>
          <w:rFonts w:cs="Arial"/>
          <w:szCs w:val="22"/>
        </w:rPr>
        <w:t>shall</w:t>
      </w:r>
      <w:r w:rsidR="002E2196">
        <w:rPr>
          <w:rFonts w:cs="Arial"/>
          <w:szCs w:val="22"/>
        </w:rPr>
        <w:t xml:space="preserve"> lie solely with the Department.</w:t>
      </w:r>
    </w:p>
    <w:p w14:paraId="6B6875BF" w14:textId="77777777" w:rsidR="005E433A" w:rsidRPr="00CC21A7" w:rsidRDefault="00764B11" w:rsidP="005E433A">
      <w:pPr>
        <w:pStyle w:val="Heading3"/>
        <w:rPr>
          <w:b/>
        </w:rPr>
      </w:pPr>
      <w:r w:rsidRPr="00CC21A7">
        <w:rPr>
          <w:rFonts w:cs="Arial"/>
          <w:szCs w:val="22"/>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217A0D7D" w14:textId="77777777" w:rsidR="00BA6D3D" w:rsidRDefault="00E90EE3" w:rsidP="00566842">
      <w:pPr>
        <w:pStyle w:val="Heading2"/>
      </w:pPr>
      <w:r w:rsidRPr="00E90EE3">
        <w:t>The contract manager will continuously monitor the performance of the supplier.</w:t>
      </w:r>
    </w:p>
    <w:p w14:paraId="62642A95" w14:textId="77777777" w:rsidR="007B2B7A" w:rsidRDefault="007B2B7A" w:rsidP="007B2B7A">
      <w:pPr>
        <w:pStyle w:val="Heading3"/>
      </w:pPr>
      <w:r>
        <w:t>Regular correspondence will be maintained throughout the duration of the project by email, phone and any other means deemed suitable mutually by the supplier and the Department.</w:t>
      </w:r>
    </w:p>
    <w:p w14:paraId="37C27C7B" w14:textId="77777777" w:rsidR="007B2B7A" w:rsidRDefault="007B2B7A" w:rsidP="007B2B7A">
      <w:pPr>
        <w:pStyle w:val="Heading3"/>
      </w:pPr>
      <w:r>
        <w:t>A regular schedule of review meetings will be mandatory and will occur ahead of the completion of each milestone.</w:t>
      </w:r>
    </w:p>
    <w:p w14:paraId="3B2E592B" w14:textId="77777777" w:rsidR="007B2B7A" w:rsidRPr="00E90EE3" w:rsidRDefault="007B2B7A" w:rsidP="007B2B7A">
      <w:pPr>
        <w:pStyle w:val="Heading3"/>
      </w:pPr>
      <w:r>
        <w:t xml:space="preserve">Ongoing work will be shared with the Department at regular intervals in confidence for </w:t>
      </w:r>
      <w:r w:rsidR="002E2196">
        <w:t xml:space="preserve">our </w:t>
      </w:r>
      <w:r>
        <w:t>quality assurance purposes.</w:t>
      </w:r>
    </w:p>
    <w:p w14:paraId="7C1FA254" w14:textId="77777777" w:rsidR="00BA6D3D" w:rsidRPr="00E90EE3" w:rsidRDefault="006278EE" w:rsidP="00E90EE3">
      <w:pPr>
        <w:pStyle w:val="Heading2"/>
      </w:pPr>
      <w:r w:rsidRPr="00E90EE3">
        <w:t>Item 9</w:t>
      </w:r>
      <w:r w:rsidR="00D57358" w:rsidRPr="00E90EE3">
        <w:t xml:space="preserve"> of the ITT document</w:t>
      </w:r>
      <w:r w:rsidR="00BA6D3D" w:rsidRPr="00E90EE3">
        <w:t xml:space="preserve"> states</w:t>
      </w:r>
      <w:r w:rsidR="00BD21D6" w:rsidRPr="00E90EE3">
        <w:t xml:space="preserve"> that:</w:t>
      </w:r>
    </w:p>
    <w:p w14:paraId="64A37D4E" w14:textId="77777777" w:rsidR="00BA6D3D" w:rsidRPr="00CC21A7" w:rsidRDefault="00BA6D3D" w:rsidP="00BA6D3D">
      <w:pPr>
        <w:pStyle w:val="ListParagraph"/>
        <w:numPr>
          <w:ilvl w:val="0"/>
          <w:numId w:val="45"/>
        </w:numPr>
        <w:jc w:val="both"/>
        <w:rPr>
          <w:rFonts w:cs="Arial"/>
          <w:i/>
          <w:szCs w:val="22"/>
        </w:rPr>
      </w:pPr>
      <w:r w:rsidRPr="00CC21A7">
        <w:rPr>
          <w:rFonts w:cs="Arial"/>
          <w:i/>
          <w:szCs w:val="22"/>
        </w:rPr>
        <w:t>Payment can only be made following satisfactory delivery of pre-agreed certified products and deliverables.</w:t>
      </w:r>
    </w:p>
    <w:p w14:paraId="6F0AFEDC" w14:textId="77777777" w:rsidR="00BA6D3D" w:rsidRPr="00CC21A7" w:rsidRDefault="00BA6D3D" w:rsidP="00BA6D3D">
      <w:pPr>
        <w:jc w:val="both"/>
        <w:rPr>
          <w:rFonts w:cs="Arial"/>
          <w:i/>
          <w:szCs w:val="22"/>
        </w:rPr>
      </w:pPr>
    </w:p>
    <w:p w14:paraId="13E042D9" w14:textId="77777777" w:rsidR="00D57358" w:rsidRPr="002E2196" w:rsidRDefault="00BA6D3D" w:rsidP="00D57358">
      <w:pPr>
        <w:pStyle w:val="ListParagraph"/>
        <w:numPr>
          <w:ilvl w:val="0"/>
          <w:numId w:val="45"/>
        </w:numPr>
        <w:jc w:val="both"/>
        <w:rPr>
          <w:rFonts w:cs="Arial"/>
          <w:i/>
          <w:szCs w:val="22"/>
        </w:rPr>
      </w:pPr>
      <w:r w:rsidRPr="00CC21A7">
        <w:rPr>
          <w:rFonts w:cs="Arial"/>
          <w:i/>
          <w:szCs w:val="22"/>
        </w:rPr>
        <w:t xml:space="preserve">Before payment can be considered, each invoice must include a detailed elemental </w:t>
      </w:r>
      <w:r w:rsidRPr="002E2196">
        <w:rPr>
          <w:rFonts w:cs="Arial"/>
          <w:i/>
          <w:szCs w:val="22"/>
        </w:rPr>
        <w:t xml:space="preserve">breakdown of work completed and the associated costs. </w:t>
      </w:r>
    </w:p>
    <w:p w14:paraId="1D713B4D" w14:textId="77777777" w:rsidR="002E2196" w:rsidRPr="002E2196" w:rsidRDefault="002E2196" w:rsidP="002E2196">
      <w:pPr>
        <w:pStyle w:val="Heading2"/>
        <w:numPr>
          <w:ilvl w:val="0"/>
          <w:numId w:val="0"/>
        </w:numPr>
        <w:spacing w:after="120"/>
      </w:pPr>
    </w:p>
    <w:p w14:paraId="1BFCC2DB" w14:textId="77777777" w:rsidR="000C73A3" w:rsidRPr="002E2196" w:rsidRDefault="002E2196" w:rsidP="006E40D5">
      <w:pPr>
        <w:pStyle w:val="Heading1"/>
      </w:pPr>
      <w:r w:rsidRPr="002E2196">
        <w:t>Location</w:t>
      </w:r>
    </w:p>
    <w:p w14:paraId="4ACC02C8" w14:textId="249D2EFD" w:rsidR="00BD21D6" w:rsidRPr="002E2196" w:rsidRDefault="002E2196" w:rsidP="00BD21D6">
      <w:pPr>
        <w:pStyle w:val="Heading2"/>
      </w:pPr>
      <w:r w:rsidRPr="002E2196">
        <w:t xml:space="preserve">There are no restrictions on where this research project can be carried out. However the supplier </w:t>
      </w:r>
      <w:r w:rsidR="00D05A7D">
        <w:t>shall</w:t>
      </w:r>
      <w:r w:rsidRPr="002E2196">
        <w:t xml:space="preserve"> be to travel to the Department for</w:t>
      </w:r>
      <w:r w:rsidR="006E40D5">
        <w:t xml:space="preserve"> </w:t>
      </w:r>
      <w:r w:rsidR="00D05A7D">
        <w:t xml:space="preserve">all </w:t>
      </w:r>
      <w:r w:rsidR="006E40D5">
        <w:t xml:space="preserve">project meetings and updates. The Department is under no obligation to fund travel to the Department for the supplier. </w:t>
      </w:r>
      <w:r w:rsidR="00D05A7D">
        <w:t>I</w:t>
      </w:r>
      <w:r w:rsidR="006E40D5">
        <w:t>n exceptional circumstances t</w:t>
      </w:r>
      <w:r w:rsidRPr="002E2196">
        <w:t xml:space="preserve">he Department </w:t>
      </w:r>
      <w:r>
        <w:t>will</w:t>
      </w:r>
      <w:r w:rsidRPr="002E2196">
        <w:t xml:space="preserve"> consider other options </w:t>
      </w:r>
      <w:r w:rsidR="006E40D5">
        <w:t>such as</w:t>
      </w:r>
      <w:r w:rsidRPr="002E2196">
        <w:t xml:space="preserve"> telephone mee</w:t>
      </w:r>
      <w:r>
        <w:t xml:space="preserve">tings or videoconferencing if it </w:t>
      </w:r>
      <w:r w:rsidRPr="002E2196">
        <w:t>is not possible</w:t>
      </w:r>
      <w:r w:rsidR="002A7480">
        <w:t xml:space="preserve"> for the supplier to fulfil the location</w:t>
      </w:r>
      <w:r>
        <w:t xml:space="preserve"> requirement</w:t>
      </w:r>
      <w:r w:rsidRPr="002E2196">
        <w:t>.</w:t>
      </w:r>
    </w:p>
    <w:p w14:paraId="0F93877A" w14:textId="77777777" w:rsidR="00BD21D6" w:rsidRDefault="00BD21D6" w:rsidP="00BD21D6">
      <w:pPr>
        <w:pStyle w:val="Heading2"/>
        <w:numPr>
          <w:ilvl w:val="0"/>
          <w:numId w:val="0"/>
        </w:numPr>
        <w:ind w:left="720"/>
      </w:pPr>
    </w:p>
    <w:p w14:paraId="29C11E7A" w14:textId="77777777" w:rsidR="000C73A3" w:rsidRPr="002E2196" w:rsidRDefault="000C73A3" w:rsidP="000C73A3">
      <w:pPr>
        <w:pStyle w:val="Heading1"/>
      </w:pPr>
      <w:bookmarkStart w:id="14" w:name="_Toc383464507"/>
      <w:r w:rsidRPr="002E2196">
        <w:t>Security requirements</w:t>
      </w:r>
      <w:bookmarkEnd w:id="14"/>
      <w:r w:rsidR="007B2B7A" w:rsidRPr="002E2196">
        <w:t xml:space="preserve"> </w:t>
      </w:r>
    </w:p>
    <w:p w14:paraId="70BAE8E9" w14:textId="5DA9A502" w:rsidR="00BD21D6" w:rsidRPr="002E2196" w:rsidRDefault="00900FAF" w:rsidP="00273AF5">
      <w:pPr>
        <w:pStyle w:val="Heading2"/>
      </w:pPr>
      <w:r w:rsidRPr="002E2196">
        <w:t xml:space="preserve">The supplier </w:t>
      </w:r>
      <w:r w:rsidR="00E00BE6">
        <w:t>shall</w:t>
      </w:r>
      <w:r w:rsidRPr="002E2196">
        <w:t xml:space="preserve"> conduct the research and</w:t>
      </w:r>
      <w:r w:rsidR="00E00BE6">
        <w:t xml:space="preserve"> handle all</w:t>
      </w:r>
      <w:r w:rsidRPr="002E2196">
        <w:t xml:space="preserve"> dealings with the Department </w:t>
      </w:r>
      <w:r w:rsidR="00E00BE6">
        <w:t xml:space="preserve">for this research </w:t>
      </w:r>
      <w:r w:rsidRPr="002E2196">
        <w:t xml:space="preserve">in strict confidence; this will include protection of </w:t>
      </w:r>
      <w:r w:rsidR="002E2196">
        <w:t>all</w:t>
      </w:r>
      <w:r w:rsidRPr="002E2196">
        <w:t xml:space="preserve"> data</w:t>
      </w:r>
      <w:r w:rsidR="002E2196">
        <w:t xml:space="preserve"> and information</w:t>
      </w:r>
      <w:r w:rsidRPr="002E2196">
        <w:t xml:space="preserve"> shared between the parties. </w:t>
      </w:r>
      <w:r w:rsidR="002E2196">
        <w:t xml:space="preserve">When the supplier will visit Government </w:t>
      </w:r>
      <w:r w:rsidR="002E2196">
        <w:lastRenderedPageBreak/>
        <w:t>offices, for example for</w:t>
      </w:r>
      <w:r w:rsidRPr="002E2196">
        <w:t xml:space="preserve"> project meetings in Government buildings</w:t>
      </w:r>
      <w:r w:rsidR="002E2196">
        <w:t>,</w:t>
      </w:r>
      <w:r w:rsidRPr="002E2196">
        <w:t xml:space="preserve"> the supplier will comply with</w:t>
      </w:r>
      <w:r w:rsidR="002E2196">
        <w:t xml:space="preserve"> all</w:t>
      </w:r>
      <w:r w:rsidRPr="002E2196">
        <w:t xml:space="preserve"> </w:t>
      </w:r>
      <w:r w:rsidR="002E2196">
        <w:t xml:space="preserve">necessary </w:t>
      </w:r>
      <w:r w:rsidRPr="002E2196">
        <w:t>security procedures.</w:t>
      </w:r>
    </w:p>
    <w:p w14:paraId="4D86347F" w14:textId="77777777" w:rsidR="006C1417" w:rsidRPr="006C1417" w:rsidRDefault="006C1417" w:rsidP="006C1417">
      <w:pPr>
        <w:pStyle w:val="Heading2"/>
        <w:numPr>
          <w:ilvl w:val="0"/>
          <w:numId w:val="0"/>
        </w:numPr>
        <w:spacing w:after="120"/>
      </w:pPr>
    </w:p>
    <w:p w14:paraId="3098BDBC" w14:textId="77777777" w:rsidR="00273AF5" w:rsidRPr="007B2B7A" w:rsidRDefault="00273AF5" w:rsidP="00273AF5">
      <w:pPr>
        <w:pStyle w:val="Heading1"/>
      </w:pPr>
      <w:bookmarkStart w:id="15" w:name="_Toc383464508"/>
      <w:r w:rsidRPr="007B2B7A">
        <w:t>PROJECT TIMETABLE</w:t>
      </w:r>
      <w:bookmarkEnd w:id="15"/>
    </w:p>
    <w:p w14:paraId="330E596B" w14:textId="77777777" w:rsidR="007B2B7A" w:rsidRPr="00836581" w:rsidRDefault="00900FAF" w:rsidP="007B2B7A">
      <w:pPr>
        <w:pStyle w:val="Heading2"/>
        <w:rPr>
          <w:b/>
        </w:rPr>
      </w:pPr>
      <w:r>
        <w:t xml:space="preserve">Then the Project </w:t>
      </w:r>
      <w:r w:rsidR="007B2B7A" w:rsidRPr="00CC21A7">
        <w:t xml:space="preserve">Plan as at the Effective Date </w:t>
      </w:r>
      <w:r>
        <w:t xml:space="preserve">will follow as </w:t>
      </w:r>
      <w:r w:rsidR="007B2B7A" w:rsidRPr="00CC21A7">
        <w:t>is set out below:</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gridCol w:w="1843"/>
      </w:tblGrid>
      <w:tr w:rsidR="00836581" w:rsidRPr="009F6433" w14:paraId="5D27BF13" w14:textId="77777777" w:rsidTr="00724E3A">
        <w:trPr>
          <w:trHeight w:val="523"/>
          <w:tblHeader/>
        </w:trPr>
        <w:tc>
          <w:tcPr>
            <w:tcW w:w="1129" w:type="dxa"/>
            <w:tcBorders>
              <w:bottom w:val="single" w:sz="4" w:space="0" w:color="auto"/>
            </w:tcBorders>
          </w:tcPr>
          <w:p w14:paraId="7B64E46F" w14:textId="77777777" w:rsidR="00836581" w:rsidRPr="00CC21A7" w:rsidRDefault="00836581" w:rsidP="007C0B3E">
            <w:pPr>
              <w:pStyle w:val="MarginText"/>
              <w:rPr>
                <w:rFonts w:cs="Arial"/>
                <w:sz w:val="20"/>
              </w:rPr>
            </w:pPr>
            <w:r w:rsidRPr="00CC21A7">
              <w:rPr>
                <w:rFonts w:cs="Arial"/>
                <w:sz w:val="20"/>
              </w:rPr>
              <w:t>Milestone</w:t>
            </w:r>
            <w:r>
              <w:rPr>
                <w:rFonts w:cs="Arial"/>
                <w:sz w:val="20"/>
              </w:rPr>
              <w:t xml:space="preserve">: </w:t>
            </w:r>
          </w:p>
        </w:tc>
        <w:tc>
          <w:tcPr>
            <w:tcW w:w="5954" w:type="dxa"/>
            <w:tcBorders>
              <w:bottom w:val="single" w:sz="4" w:space="0" w:color="auto"/>
            </w:tcBorders>
          </w:tcPr>
          <w:p w14:paraId="689C63CB" w14:textId="77777777" w:rsidR="00836581" w:rsidRPr="00CC21A7" w:rsidRDefault="00836581" w:rsidP="007C0B3E">
            <w:pPr>
              <w:pStyle w:val="MarginText"/>
              <w:rPr>
                <w:rFonts w:cs="Arial"/>
                <w:sz w:val="20"/>
              </w:rPr>
            </w:pPr>
            <w:r>
              <w:rPr>
                <w:rFonts w:cs="Arial"/>
                <w:sz w:val="20"/>
              </w:rPr>
              <w:t>Deliverable</w:t>
            </w:r>
          </w:p>
        </w:tc>
        <w:tc>
          <w:tcPr>
            <w:tcW w:w="1843" w:type="dxa"/>
            <w:tcBorders>
              <w:bottom w:val="single" w:sz="4" w:space="0" w:color="auto"/>
            </w:tcBorders>
          </w:tcPr>
          <w:p w14:paraId="52AD4B1F" w14:textId="77777777" w:rsidR="00836581" w:rsidRPr="00CC21A7" w:rsidRDefault="00836581" w:rsidP="007C0B3E">
            <w:pPr>
              <w:pStyle w:val="MarginText"/>
              <w:rPr>
                <w:rFonts w:cs="Arial"/>
                <w:sz w:val="20"/>
              </w:rPr>
            </w:pPr>
            <w:r w:rsidRPr="00CC21A7">
              <w:rPr>
                <w:rFonts w:cs="Arial"/>
                <w:sz w:val="20"/>
              </w:rPr>
              <w:t>Milestone Date</w:t>
            </w:r>
          </w:p>
        </w:tc>
      </w:tr>
      <w:tr w:rsidR="00836581" w:rsidRPr="009870B6" w14:paraId="4AB97ACB" w14:textId="77777777" w:rsidTr="00724E3A">
        <w:trPr>
          <w:trHeight w:val="608"/>
          <w:tblHeader/>
        </w:trPr>
        <w:tc>
          <w:tcPr>
            <w:tcW w:w="1129" w:type="dxa"/>
            <w:shd w:val="clear" w:color="auto" w:fill="auto"/>
          </w:tcPr>
          <w:p w14:paraId="58DA1B6F" w14:textId="77777777" w:rsidR="00836581" w:rsidRPr="009870B6" w:rsidRDefault="00836581" w:rsidP="007C0B3E">
            <w:pPr>
              <w:pStyle w:val="MarginText"/>
              <w:jc w:val="left"/>
              <w:rPr>
                <w:rFonts w:cs="Arial"/>
                <w:sz w:val="20"/>
              </w:rPr>
            </w:pPr>
            <w:r>
              <w:rPr>
                <w:rFonts w:cs="Arial"/>
                <w:sz w:val="20"/>
              </w:rPr>
              <w:t>1</w:t>
            </w:r>
          </w:p>
        </w:tc>
        <w:tc>
          <w:tcPr>
            <w:tcW w:w="5954" w:type="dxa"/>
            <w:shd w:val="clear" w:color="auto" w:fill="auto"/>
          </w:tcPr>
          <w:p w14:paraId="425B61DE" w14:textId="77777777" w:rsidR="00836581" w:rsidRDefault="00836581" w:rsidP="007C0B3E">
            <w:pPr>
              <w:pStyle w:val="MarginText"/>
              <w:jc w:val="left"/>
              <w:rPr>
                <w:rFonts w:cs="Arial"/>
                <w:sz w:val="20"/>
              </w:rPr>
            </w:pPr>
            <w:r>
              <w:rPr>
                <w:rFonts w:cs="Arial"/>
                <w:sz w:val="20"/>
              </w:rPr>
              <w:t>A full research summary document in</w:t>
            </w:r>
            <w:r w:rsidRPr="009870B6">
              <w:rPr>
                <w:rFonts w:cs="Arial"/>
                <w:sz w:val="20"/>
              </w:rPr>
              <w:t xml:space="preserve"> Word </w:t>
            </w:r>
            <w:r>
              <w:rPr>
                <w:rFonts w:cs="Arial"/>
                <w:sz w:val="20"/>
              </w:rPr>
              <w:t xml:space="preserve">format </w:t>
            </w:r>
            <w:r w:rsidRPr="009870B6">
              <w:rPr>
                <w:rFonts w:cs="Arial"/>
                <w:sz w:val="20"/>
              </w:rPr>
              <w:t xml:space="preserve">outlining </w:t>
            </w:r>
            <w:r>
              <w:rPr>
                <w:rFonts w:cs="Arial"/>
                <w:sz w:val="20"/>
              </w:rPr>
              <w:t>the new proposed methodology to value h</w:t>
            </w:r>
            <w:r w:rsidRPr="009870B6">
              <w:rPr>
                <w:rFonts w:cs="Arial"/>
                <w:sz w:val="20"/>
              </w:rPr>
              <w:t xml:space="preserve">ealth impacts of active transport </w:t>
            </w:r>
            <w:r>
              <w:rPr>
                <w:rFonts w:cs="Arial"/>
                <w:sz w:val="20"/>
              </w:rPr>
              <w:t xml:space="preserve">based on a </w:t>
            </w:r>
            <w:r w:rsidRPr="009870B6">
              <w:rPr>
                <w:rFonts w:cs="Arial"/>
                <w:sz w:val="20"/>
              </w:rPr>
              <w:t>statistical life</w:t>
            </w:r>
            <w:r>
              <w:rPr>
                <w:rFonts w:cs="Arial"/>
                <w:sz w:val="20"/>
              </w:rPr>
              <w:t xml:space="preserve"> year measure (such as QALY or DALY). </w:t>
            </w:r>
          </w:p>
          <w:p w14:paraId="46C654BE" w14:textId="77777777" w:rsidR="00836581" w:rsidRDefault="00836581" w:rsidP="007C0B3E">
            <w:pPr>
              <w:pStyle w:val="MarginText"/>
              <w:jc w:val="left"/>
              <w:rPr>
                <w:rFonts w:cs="Arial"/>
                <w:sz w:val="20"/>
              </w:rPr>
            </w:pPr>
            <w:r>
              <w:rPr>
                <w:rFonts w:cs="Arial"/>
                <w:sz w:val="20"/>
              </w:rPr>
              <w:t>The document must make a recommendation on whether the new approach can be incorporated into WebTAG appraisal guidance within one year and specify how the new approach will fit in with WebTAG appraisal guidance on active modes of transport.</w:t>
            </w:r>
            <w:r w:rsidRPr="009870B6">
              <w:rPr>
                <w:rFonts w:cs="Arial"/>
                <w:sz w:val="20"/>
              </w:rPr>
              <w:t xml:space="preserve"> </w:t>
            </w:r>
          </w:p>
          <w:p w14:paraId="41ADE7B9" w14:textId="77777777" w:rsidR="00836581" w:rsidRPr="009870B6" w:rsidRDefault="00836581" w:rsidP="007C0B3E">
            <w:pPr>
              <w:pStyle w:val="MarginText"/>
              <w:jc w:val="left"/>
              <w:rPr>
                <w:rFonts w:cs="Arial"/>
                <w:sz w:val="20"/>
              </w:rPr>
            </w:pPr>
            <w:r>
              <w:rPr>
                <w:rFonts w:cs="Arial"/>
                <w:sz w:val="20"/>
              </w:rPr>
              <w:t>The supplier is encouraged to submit supporting evidence and modelling behind the developed methodology as a separate annex within the same timelines.</w:t>
            </w:r>
          </w:p>
        </w:tc>
        <w:tc>
          <w:tcPr>
            <w:tcW w:w="1843" w:type="dxa"/>
            <w:shd w:val="clear" w:color="auto" w:fill="auto"/>
          </w:tcPr>
          <w:p w14:paraId="479F70DC" w14:textId="37A675D2" w:rsidR="00836581" w:rsidRPr="009870B6" w:rsidRDefault="0082215F" w:rsidP="007C0B3E">
            <w:pPr>
              <w:pStyle w:val="MarginText"/>
              <w:jc w:val="left"/>
              <w:rPr>
                <w:rFonts w:cs="Arial"/>
                <w:sz w:val="20"/>
              </w:rPr>
            </w:pPr>
            <w:r>
              <w:rPr>
                <w:rFonts w:cs="Arial"/>
                <w:sz w:val="20"/>
              </w:rPr>
              <w:t>June 10</w:t>
            </w:r>
            <w:r w:rsidR="00836581" w:rsidRPr="009870B6">
              <w:rPr>
                <w:rFonts w:cs="Arial"/>
                <w:sz w:val="20"/>
                <w:vertAlign w:val="superscript"/>
              </w:rPr>
              <w:t>th</w:t>
            </w:r>
            <w:r w:rsidR="00836581" w:rsidRPr="009870B6">
              <w:rPr>
                <w:rFonts w:cs="Arial"/>
                <w:sz w:val="20"/>
              </w:rPr>
              <w:t>, 2016</w:t>
            </w:r>
          </w:p>
        </w:tc>
      </w:tr>
      <w:tr w:rsidR="00836581" w:rsidRPr="009F6433" w14:paraId="2EC7FC3C" w14:textId="77777777" w:rsidTr="00724E3A">
        <w:trPr>
          <w:trHeight w:val="806"/>
          <w:tblHeader/>
        </w:trPr>
        <w:tc>
          <w:tcPr>
            <w:tcW w:w="1129" w:type="dxa"/>
            <w:shd w:val="clear" w:color="auto" w:fill="auto"/>
          </w:tcPr>
          <w:p w14:paraId="48A8938A" w14:textId="77777777" w:rsidR="00836581" w:rsidRPr="009870B6" w:rsidRDefault="00836581" w:rsidP="007C0B3E">
            <w:pPr>
              <w:pStyle w:val="MarginText"/>
              <w:jc w:val="left"/>
              <w:rPr>
                <w:rFonts w:cs="Arial"/>
                <w:sz w:val="20"/>
              </w:rPr>
            </w:pPr>
            <w:r>
              <w:rPr>
                <w:rFonts w:cs="Arial"/>
                <w:sz w:val="20"/>
              </w:rPr>
              <w:t>2</w:t>
            </w:r>
          </w:p>
        </w:tc>
        <w:tc>
          <w:tcPr>
            <w:tcW w:w="5954" w:type="dxa"/>
            <w:shd w:val="clear" w:color="auto" w:fill="auto"/>
          </w:tcPr>
          <w:p w14:paraId="3999C7D5" w14:textId="77777777" w:rsidR="00724E3A" w:rsidRDefault="00724E3A" w:rsidP="00724E3A">
            <w:pPr>
              <w:pStyle w:val="MarginText"/>
              <w:jc w:val="left"/>
              <w:rPr>
                <w:rFonts w:cs="Arial"/>
                <w:sz w:val="20"/>
              </w:rPr>
            </w:pPr>
            <w:r>
              <w:rPr>
                <w:rFonts w:cs="Arial"/>
                <w:sz w:val="20"/>
              </w:rPr>
              <w:t>In parallel: a</w:t>
            </w:r>
            <w:r w:rsidRPr="009870B6">
              <w:rPr>
                <w:rFonts w:cs="Arial"/>
                <w:sz w:val="20"/>
              </w:rPr>
              <w:t xml:space="preserve"> literature review</w:t>
            </w:r>
            <w:r>
              <w:rPr>
                <w:rFonts w:cs="Arial"/>
                <w:sz w:val="20"/>
              </w:rPr>
              <w:t xml:space="preserve"> of existing evidence on how heath impacts can be more comprehensively valued without changing existing WebTAG appraisal guidance on active modes (keeping the existing VPF approach) in</w:t>
            </w:r>
            <w:r w:rsidRPr="009870B6">
              <w:rPr>
                <w:rFonts w:cs="Arial"/>
                <w:sz w:val="20"/>
              </w:rPr>
              <w:t xml:space="preserve"> Word format</w:t>
            </w:r>
            <w:r>
              <w:rPr>
                <w:rFonts w:cs="Arial"/>
                <w:sz w:val="20"/>
              </w:rPr>
              <w:t xml:space="preserve"> with particular reference to how additional morbidity impacts would be captured within that framework. </w:t>
            </w:r>
            <w:r w:rsidRPr="009870B6">
              <w:rPr>
                <w:rFonts w:cs="Arial"/>
                <w:sz w:val="20"/>
              </w:rPr>
              <w:t xml:space="preserve"> </w:t>
            </w:r>
          </w:p>
          <w:p w14:paraId="1E2CF98E" w14:textId="5B94146A" w:rsidR="00836581" w:rsidRPr="009870B6" w:rsidRDefault="00724E3A" w:rsidP="00724E3A">
            <w:pPr>
              <w:pStyle w:val="MarginText"/>
              <w:jc w:val="left"/>
              <w:rPr>
                <w:rFonts w:cs="Arial"/>
                <w:sz w:val="20"/>
              </w:rPr>
            </w:pPr>
            <w:r>
              <w:rPr>
                <w:rFonts w:cs="Arial"/>
                <w:sz w:val="20"/>
              </w:rPr>
              <w:t>The literature review will include a clear recommendation to immediately incorporate evidence from the literature review into existing WebTAG transport appraisal guidance</w:t>
            </w:r>
            <w:r w:rsidRPr="009870B6">
              <w:rPr>
                <w:rFonts w:cs="Arial"/>
                <w:sz w:val="20"/>
              </w:rPr>
              <w:t>.</w:t>
            </w:r>
          </w:p>
        </w:tc>
        <w:tc>
          <w:tcPr>
            <w:tcW w:w="1843" w:type="dxa"/>
            <w:shd w:val="clear" w:color="auto" w:fill="auto"/>
          </w:tcPr>
          <w:p w14:paraId="3E6E7695" w14:textId="6C2E8FE7" w:rsidR="00836581" w:rsidRPr="009870B6" w:rsidRDefault="0082215F" w:rsidP="007C0B3E">
            <w:pPr>
              <w:pStyle w:val="MarginText"/>
              <w:jc w:val="left"/>
              <w:rPr>
                <w:rFonts w:cs="Arial"/>
                <w:sz w:val="20"/>
              </w:rPr>
            </w:pPr>
            <w:r>
              <w:rPr>
                <w:rFonts w:cs="Arial"/>
                <w:sz w:val="20"/>
              </w:rPr>
              <w:t>June 10</w:t>
            </w:r>
            <w:r w:rsidR="00836581" w:rsidRPr="009870B6">
              <w:rPr>
                <w:rFonts w:cs="Arial"/>
                <w:sz w:val="20"/>
                <w:vertAlign w:val="superscript"/>
              </w:rPr>
              <w:t>th</w:t>
            </w:r>
            <w:r w:rsidR="00836581" w:rsidRPr="009870B6">
              <w:rPr>
                <w:rFonts w:cs="Arial"/>
                <w:sz w:val="20"/>
              </w:rPr>
              <w:t>, 2016</w:t>
            </w:r>
          </w:p>
        </w:tc>
      </w:tr>
      <w:tr w:rsidR="00836581" w:rsidRPr="009F6433" w14:paraId="4C06473F" w14:textId="77777777" w:rsidTr="00724E3A">
        <w:trPr>
          <w:trHeight w:val="411"/>
          <w:tblHeader/>
        </w:trPr>
        <w:tc>
          <w:tcPr>
            <w:tcW w:w="1129" w:type="dxa"/>
            <w:shd w:val="clear" w:color="auto" w:fill="auto"/>
          </w:tcPr>
          <w:p w14:paraId="492455EC" w14:textId="77777777" w:rsidR="00836581" w:rsidRPr="009870B6" w:rsidRDefault="00836581" w:rsidP="007C0B3E">
            <w:pPr>
              <w:pStyle w:val="MarginText"/>
              <w:jc w:val="left"/>
              <w:rPr>
                <w:rFonts w:cs="Arial"/>
                <w:sz w:val="20"/>
              </w:rPr>
            </w:pPr>
            <w:r w:rsidRPr="009870B6">
              <w:rPr>
                <w:rFonts w:cs="Arial"/>
                <w:sz w:val="20"/>
              </w:rPr>
              <w:t>3</w:t>
            </w:r>
          </w:p>
        </w:tc>
        <w:tc>
          <w:tcPr>
            <w:tcW w:w="5954" w:type="dxa"/>
            <w:shd w:val="clear" w:color="auto" w:fill="auto"/>
          </w:tcPr>
          <w:p w14:paraId="12012D8E" w14:textId="77777777" w:rsidR="00836581" w:rsidRDefault="00836581" w:rsidP="007C0B3E">
            <w:pPr>
              <w:pStyle w:val="MarginText"/>
              <w:jc w:val="left"/>
              <w:rPr>
                <w:rFonts w:cs="Arial"/>
                <w:sz w:val="20"/>
              </w:rPr>
            </w:pPr>
            <w:r>
              <w:rPr>
                <w:rFonts w:cs="Arial"/>
                <w:sz w:val="20"/>
              </w:rPr>
              <w:t>An</w:t>
            </w:r>
            <w:r w:rsidRPr="009870B6">
              <w:rPr>
                <w:rFonts w:cs="Arial"/>
                <w:sz w:val="20"/>
              </w:rPr>
              <w:t xml:space="preserve"> easy to use toolkit </w:t>
            </w:r>
            <w:r>
              <w:rPr>
                <w:rFonts w:cs="Arial"/>
                <w:sz w:val="20"/>
              </w:rPr>
              <w:t xml:space="preserve">in an accessible format (either Excel or a web-based tool for example). The toolkit will estimate health impacts of active modes of transport based on the new approach developed in milestone one only. The outputs of the toolkit will be compatible with a WebTAG compliant appraisal. </w:t>
            </w:r>
          </w:p>
          <w:p w14:paraId="523D6CDD" w14:textId="64427C9C" w:rsidR="00836581" w:rsidRPr="006E136D" w:rsidRDefault="00836581" w:rsidP="00E00BE6">
            <w:pPr>
              <w:pStyle w:val="MarginText"/>
              <w:jc w:val="left"/>
              <w:rPr>
                <w:rFonts w:cs="Arial"/>
                <w:color w:val="FF0000"/>
                <w:sz w:val="20"/>
              </w:rPr>
            </w:pPr>
            <w:r w:rsidRPr="007905EC">
              <w:rPr>
                <w:rFonts w:cs="Arial"/>
                <w:b/>
                <w:sz w:val="20"/>
              </w:rPr>
              <w:t>This deliverable is dependent on the break clause not being activated by the Department</w:t>
            </w:r>
            <w:r w:rsidRPr="007905EC">
              <w:rPr>
                <w:rFonts w:cs="Arial"/>
                <w:sz w:val="20"/>
              </w:rPr>
              <w:t xml:space="preserve">. The Department reserves the right – upon completion of deliverables one and two – to only pay for those </w:t>
            </w:r>
            <w:r>
              <w:rPr>
                <w:rFonts w:cs="Arial"/>
                <w:sz w:val="20"/>
              </w:rPr>
              <w:t>these</w:t>
            </w:r>
            <w:r w:rsidRPr="007905EC">
              <w:rPr>
                <w:rFonts w:cs="Arial"/>
                <w:sz w:val="20"/>
              </w:rPr>
              <w:t xml:space="preserve"> and terminate the project</w:t>
            </w:r>
            <w:r>
              <w:rPr>
                <w:rFonts w:cs="Arial"/>
                <w:sz w:val="20"/>
              </w:rPr>
              <w:t xml:space="preserve"> thereafter</w:t>
            </w:r>
            <w:r w:rsidRPr="007905EC">
              <w:rPr>
                <w:rFonts w:cs="Arial"/>
                <w:sz w:val="20"/>
              </w:rPr>
              <w:t>.</w:t>
            </w:r>
          </w:p>
        </w:tc>
        <w:tc>
          <w:tcPr>
            <w:tcW w:w="1843" w:type="dxa"/>
            <w:shd w:val="clear" w:color="auto" w:fill="auto"/>
          </w:tcPr>
          <w:p w14:paraId="198630AE" w14:textId="0D85E8ED" w:rsidR="00836581" w:rsidRPr="009870B6" w:rsidRDefault="0082215F" w:rsidP="007C0B3E">
            <w:pPr>
              <w:pStyle w:val="MarginText"/>
              <w:jc w:val="left"/>
              <w:rPr>
                <w:rFonts w:cs="Arial"/>
                <w:sz w:val="20"/>
              </w:rPr>
            </w:pPr>
            <w:r>
              <w:rPr>
                <w:rFonts w:cs="Arial"/>
                <w:sz w:val="20"/>
              </w:rPr>
              <w:t>July 15</w:t>
            </w:r>
            <w:r w:rsidR="00836581" w:rsidRPr="009870B6">
              <w:rPr>
                <w:rFonts w:cs="Arial"/>
                <w:sz w:val="20"/>
                <w:vertAlign w:val="superscript"/>
              </w:rPr>
              <w:t>th</w:t>
            </w:r>
            <w:r w:rsidR="00836581" w:rsidRPr="009870B6">
              <w:rPr>
                <w:rFonts w:cs="Arial"/>
                <w:sz w:val="20"/>
              </w:rPr>
              <w:t>, 2016</w:t>
            </w:r>
          </w:p>
        </w:tc>
      </w:tr>
      <w:tr w:rsidR="00836581" w:rsidRPr="009F6433" w14:paraId="1841B0F0" w14:textId="77777777" w:rsidTr="00724E3A">
        <w:trPr>
          <w:trHeight w:val="394"/>
          <w:tblHeader/>
        </w:trPr>
        <w:tc>
          <w:tcPr>
            <w:tcW w:w="1129" w:type="dxa"/>
            <w:shd w:val="clear" w:color="auto" w:fill="auto"/>
          </w:tcPr>
          <w:p w14:paraId="27E81308" w14:textId="77777777" w:rsidR="00836581" w:rsidRPr="009870B6" w:rsidRDefault="00836581" w:rsidP="007C0B3E">
            <w:pPr>
              <w:pStyle w:val="MarginText"/>
              <w:jc w:val="left"/>
              <w:rPr>
                <w:rFonts w:cs="Arial"/>
                <w:sz w:val="20"/>
              </w:rPr>
            </w:pPr>
            <w:r w:rsidRPr="009870B6">
              <w:rPr>
                <w:rFonts w:cs="Arial"/>
                <w:sz w:val="20"/>
              </w:rPr>
              <w:t>4</w:t>
            </w:r>
          </w:p>
        </w:tc>
        <w:tc>
          <w:tcPr>
            <w:tcW w:w="5954" w:type="dxa"/>
            <w:shd w:val="clear" w:color="auto" w:fill="auto"/>
          </w:tcPr>
          <w:p w14:paraId="0D2ED6E7" w14:textId="77777777" w:rsidR="00836581" w:rsidRPr="009870B6" w:rsidRDefault="00836581" w:rsidP="007C0B3E">
            <w:pPr>
              <w:pStyle w:val="MarginText"/>
              <w:jc w:val="left"/>
              <w:rPr>
                <w:rFonts w:cs="Arial"/>
                <w:sz w:val="20"/>
              </w:rPr>
            </w:pPr>
            <w:r w:rsidRPr="009870B6">
              <w:rPr>
                <w:rFonts w:cs="Arial"/>
                <w:sz w:val="20"/>
              </w:rPr>
              <w:t>Full participation in dissemination work and stakeholder engagement following the conclusions made in each of the above deliverables.</w:t>
            </w:r>
          </w:p>
        </w:tc>
        <w:tc>
          <w:tcPr>
            <w:tcW w:w="1843" w:type="dxa"/>
            <w:shd w:val="clear" w:color="auto" w:fill="auto"/>
          </w:tcPr>
          <w:p w14:paraId="58F709D9" w14:textId="77777777" w:rsidR="00836581" w:rsidRPr="009870B6" w:rsidRDefault="00836581" w:rsidP="007C0B3E">
            <w:pPr>
              <w:pStyle w:val="MarginText"/>
              <w:jc w:val="left"/>
              <w:rPr>
                <w:rFonts w:cs="Arial"/>
                <w:sz w:val="20"/>
              </w:rPr>
            </w:pPr>
            <w:r w:rsidRPr="009870B6">
              <w:rPr>
                <w:rFonts w:cs="Arial"/>
                <w:sz w:val="20"/>
              </w:rPr>
              <w:t>August 5</w:t>
            </w:r>
            <w:r w:rsidRPr="009870B6">
              <w:rPr>
                <w:rFonts w:cs="Arial"/>
                <w:sz w:val="20"/>
                <w:vertAlign w:val="superscript"/>
              </w:rPr>
              <w:t>th</w:t>
            </w:r>
            <w:r w:rsidRPr="009870B6">
              <w:rPr>
                <w:rFonts w:cs="Arial"/>
                <w:sz w:val="20"/>
              </w:rPr>
              <w:t>, 2016</w:t>
            </w:r>
          </w:p>
        </w:tc>
      </w:tr>
    </w:tbl>
    <w:p w14:paraId="093E9920" w14:textId="77777777" w:rsidR="00BD21D6" w:rsidRDefault="00BD21D6" w:rsidP="00273AF5">
      <w:pPr>
        <w:pStyle w:val="Heading2"/>
        <w:numPr>
          <w:ilvl w:val="0"/>
          <w:numId w:val="0"/>
        </w:numPr>
        <w:ind w:left="720"/>
        <w:rPr>
          <w:b/>
          <w:highlight w:val="yellow"/>
        </w:rPr>
      </w:pPr>
    </w:p>
    <w:p w14:paraId="31D1C46C" w14:textId="77777777" w:rsidR="00B459C5" w:rsidRPr="002F4D97" w:rsidRDefault="00B459C5" w:rsidP="00FD080D">
      <w:pPr>
        <w:pStyle w:val="Heading1"/>
        <w:numPr>
          <w:ilvl w:val="0"/>
          <w:numId w:val="0"/>
        </w:numPr>
        <w:spacing w:after="120"/>
        <w:ind w:left="720"/>
      </w:pPr>
    </w:p>
    <w:p w14:paraId="57693B20" w14:textId="77777777" w:rsidR="00A028E8" w:rsidRPr="002F4D97" w:rsidRDefault="00A028E8" w:rsidP="00FD080D">
      <w:pPr>
        <w:pStyle w:val="Heading2"/>
        <w:numPr>
          <w:ilvl w:val="0"/>
          <w:numId w:val="0"/>
        </w:numPr>
        <w:spacing w:after="120"/>
      </w:pPr>
    </w:p>
    <w:sectPr w:rsidR="00A028E8" w:rsidRPr="002F4D97" w:rsidSect="00667389">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A7ADC" w14:textId="77777777" w:rsidR="00003ED3" w:rsidRDefault="00003ED3">
      <w:pPr>
        <w:spacing w:line="20" w:lineRule="exact"/>
      </w:pPr>
    </w:p>
  </w:endnote>
  <w:endnote w:type="continuationSeparator" w:id="0">
    <w:p w14:paraId="4C50C183" w14:textId="77777777" w:rsidR="00003ED3" w:rsidRDefault="00003ED3">
      <w:pPr>
        <w:spacing w:line="20" w:lineRule="exact"/>
      </w:pPr>
      <w:r>
        <w:t xml:space="preserve"> </w:t>
      </w:r>
    </w:p>
  </w:endnote>
  <w:endnote w:type="continuationNotice" w:id="1">
    <w:p w14:paraId="50FF4668" w14:textId="77777777" w:rsidR="00003ED3" w:rsidRDefault="00003ED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9F9C" w14:textId="77777777" w:rsidR="009B10AB" w:rsidRDefault="009B1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CE2E8" w14:textId="77777777" w:rsidR="000E60D4" w:rsidRDefault="00CD299A"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7759DB42" w14:textId="77777777" w:rsidR="000E60D4" w:rsidRDefault="000E60D4" w:rsidP="00074357">
    <w:pPr>
      <w:pStyle w:val="Footer"/>
      <w:pBdr>
        <w:top w:val="single" w:sz="6" w:space="1" w:color="auto"/>
      </w:pBdr>
      <w:tabs>
        <w:tab w:val="clear" w:pos="4153"/>
        <w:tab w:val="clear" w:pos="8306"/>
      </w:tabs>
      <w:ind w:right="-43"/>
      <w:jc w:val="center"/>
    </w:pPr>
  </w:p>
  <w:p w14:paraId="4D3D7247" w14:textId="77777777" w:rsidR="000E60D4" w:rsidRPr="00074357" w:rsidRDefault="000E60D4" w:rsidP="00074357">
    <w:pPr>
      <w:pStyle w:val="Footer"/>
      <w:tabs>
        <w:tab w:val="clear" w:pos="8306"/>
      </w:tabs>
      <w:ind w:right="-43"/>
      <w:jc w:val="center"/>
      <w:rPr>
        <w:sz w:val="24"/>
      </w:rPr>
    </w:pPr>
    <w:r w:rsidRPr="00C81EC7">
      <w:rPr>
        <w:rFonts w:cs="Arial"/>
        <w:szCs w:val="22"/>
      </w:rPr>
      <w:t xml:space="preserve">Page </w:t>
    </w:r>
    <w:r w:rsidR="00DA54AA" w:rsidRPr="00C81EC7">
      <w:rPr>
        <w:rFonts w:cs="Arial"/>
        <w:szCs w:val="22"/>
      </w:rPr>
      <w:fldChar w:fldCharType="begin"/>
    </w:r>
    <w:r w:rsidRPr="00C81EC7">
      <w:rPr>
        <w:rFonts w:cs="Arial"/>
        <w:szCs w:val="22"/>
      </w:rPr>
      <w:instrText xml:space="preserve"> PAGE </w:instrText>
    </w:r>
    <w:r w:rsidR="00DA54AA" w:rsidRPr="00C81EC7">
      <w:rPr>
        <w:rFonts w:cs="Arial"/>
        <w:szCs w:val="22"/>
      </w:rPr>
      <w:fldChar w:fldCharType="separate"/>
    </w:r>
    <w:r w:rsidR="009B10AB">
      <w:rPr>
        <w:rFonts w:cs="Arial"/>
        <w:noProof/>
        <w:szCs w:val="22"/>
      </w:rPr>
      <w:t>7</w:t>
    </w:r>
    <w:r w:rsidR="00DA54AA" w:rsidRPr="00C81EC7">
      <w:rPr>
        <w:rFonts w:cs="Arial"/>
        <w:szCs w:val="22"/>
      </w:rPr>
      <w:fldChar w:fldCharType="end"/>
    </w:r>
    <w:r w:rsidRPr="00C81EC7">
      <w:rPr>
        <w:rFonts w:cs="Arial"/>
        <w:szCs w:val="22"/>
      </w:rPr>
      <w:t xml:space="preserve"> of </w:t>
    </w:r>
    <w:r w:rsidR="00DA54AA" w:rsidRPr="00C81EC7">
      <w:rPr>
        <w:rFonts w:cs="Arial"/>
        <w:szCs w:val="22"/>
      </w:rPr>
      <w:fldChar w:fldCharType="begin"/>
    </w:r>
    <w:r w:rsidRPr="00C81EC7">
      <w:rPr>
        <w:rFonts w:cs="Arial"/>
        <w:szCs w:val="22"/>
      </w:rPr>
      <w:instrText xml:space="preserve"> NUMPAGES </w:instrText>
    </w:r>
    <w:r w:rsidR="00DA54AA" w:rsidRPr="00C81EC7">
      <w:rPr>
        <w:rFonts w:cs="Arial"/>
        <w:szCs w:val="22"/>
      </w:rPr>
      <w:fldChar w:fldCharType="separate"/>
    </w:r>
    <w:r w:rsidR="009B10AB">
      <w:rPr>
        <w:rFonts w:cs="Arial"/>
        <w:noProof/>
        <w:szCs w:val="22"/>
      </w:rPr>
      <w:t>8</w:t>
    </w:r>
    <w:r w:rsidR="00DA54AA" w:rsidRPr="00C81EC7">
      <w:rPr>
        <w:rFonts w:cs="Arial"/>
        <w:szCs w:val="22"/>
      </w:rPr>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7AB53" w14:textId="77777777" w:rsidR="009B10AB" w:rsidRDefault="009B1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DF64E" w14:textId="77777777" w:rsidR="00003ED3" w:rsidRDefault="00003ED3">
      <w:r>
        <w:separator/>
      </w:r>
    </w:p>
  </w:footnote>
  <w:footnote w:type="continuationSeparator" w:id="0">
    <w:p w14:paraId="315F9E07" w14:textId="77777777" w:rsidR="00003ED3" w:rsidRDefault="00003ED3">
      <w:r>
        <w:continuationSeparator/>
      </w:r>
    </w:p>
  </w:footnote>
  <w:footnote w:type="continuationNotice" w:id="1">
    <w:p w14:paraId="398CE53C" w14:textId="77777777" w:rsidR="00003ED3" w:rsidRDefault="00003ED3"/>
  </w:footnote>
  <w:footnote w:id="2">
    <w:p w14:paraId="18EF2A17" w14:textId="77777777" w:rsidR="008D5D88" w:rsidRDefault="008D5D88" w:rsidP="008D5D88">
      <w:pPr>
        <w:pStyle w:val="FootnoteText"/>
        <w:jc w:val="left"/>
      </w:pPr>
      <w:r>
        <w:rPr>
          <w:rStyle w:val="FootnoteReference"/>
        </w:rPr>
        <w:footnoteRef/>
      </w:r>
      <w:r>
        <w:t xml:space="preserve"> </w:t>
      </w:r>
      <w:r w:rsidRPr="00FE7ABE">
        <w:t xml:space="preserve">Department for Transport, 2014, see: </w:t>
      </w:r>
      <w:hyperlink r:id="rId1" w:history="1">
        <w:r w:rsidRPr="00FE7ABE">
          <w:rPr>
            <w:rStyle w:val="Hyperlink"/>
          </w:rPr>
          <w:t>https://www.gov.uk/government/uploads/system/uploads/attachment_data/file/427098/webtag-tag-unit-a5-1-active-mode-appraisal.pdf</w:t>
        </w:r>
      </w:hyperlink>
    </w:p>
  </w:footnote>
  <w:footnote w:id="3">
    <w:p w14:paraId="4356AA8D" w14:textId="592F276D" w:rsidR="00181E5E" w:rsidRDefault="00181E5E">
      <w:pPr>
        <w:pStyle w:val="FootnoteText"/>
      </w:pPr>
      <w:r>
        <w:rPr>
          <w:rStyle w:val="FootnoteReference"/>
        </w:rPr>
        <w:footnoteRef/>
      </w:r>
      <w:r>
        <w:t xml:space="preserve"> QALY and DALY: examples of a statistical life year-based approach, see paragraph 4.3 of this document.</w:t>
      </w:r>
    </w:p>
  </w:footnote>
  <w:footnote w:id="4">
    <w:p w14:paraId="2A2E6117" w14:textId="77777777" w:rsidR="000279DB" w:rsidRDefault="000279DB" w:rsidP="000279DB">
      <w:pPr>
        <w:pStyle w:val="FootnoteText"/>
        <w:jc w:val="left"/>
      </w:pPr>
      <w:r>
        <w:rPr>
          <w:rStyle w:val="FootnoteReference"/>
        </w:rPr>
        <w:footnoteRef/>
      </w:r>
      <w:r>
        <w:t xml:space="preserve"> Department for Transport, 2015, see: </w:t>
      </w:r>
      <w:hyperlink r:id="rId2" w:history="1">
        <w:r w:rsidRPr="002D08DC">
          <w:rPr>
            <w:rStyle w:val="Hyperlink"/>
          </w:rPr>
          <w:t>https://www.gov.uk/government/publications/cycling-and-walking-the-economic-case-for-action</w:t>
        </w:r>
      </w:hyperlink>
      <w:r>
        <w:t xml:space="preserve"> </w:t>
      </w:r>
    </w:p>
  </w:footnote>
  <w:footnote w:id="5">
    <w:p w14:paraId="504F73B0" w14:textId="77777777" w:rsidR="00D77F6A" w:rsidRDefault="00D77F6A" w:rsidP="00D77F6A">
      <w:pPr>
        <w:pStyle w:val="FootnoteText"/>
        <w:jc w:val="left"/>
      </w:pPr>
      <w:r>
        <w:rPr>
          <w:rStyle w:val="FootnoteReference"/>
        </w:rPr>
        <w:footnoteRef/>
      </w:r>
      <w:r>
        <w:t xml:space="preserve"> For more information on current parameters set by the World Health Organisation see the HEAT: </w:t>
      </w:r>
      <w:hyperlink r:id="rId3" w:history="1">
        <w:r w:rsidRPr="002D08DC">
          <w:rPr>
            <w:rStyle w:val="Hyperlink"/>
          </w:rPr>
          <w:t>http://www.euro.who.int/en/health-topics/environment-and-health/Transport-and-health/activities/guidance-and-tools/health-economic-assessment-tool-heat-for-cycling-and-walking</w:t>
        </w:r>
      </w:hyperlink>
      <w:r>
        <w:t xml:space="preserve"> </w:t>
      </w:r>
    </w:p>
  </w:footnote>
  <w:footnote w:id="6">
    <w:p w14:paraId="63870C97" w14:textId="5782D3E0" w:rsidR="00BF3544" w:rsidRDefault="00BF3544" w:rsidP="00BF3544">
      <w:pPr>
        <w:pStyle w:val="FootnoteText"/>
        <w:jc w:val="left"/>
      </w:pPr>
      <w:r>
        <w:rPr>
          <w:rStyle w:val="FootnoteReference"/>
        </w:rPr>
        <w:footnoteRef/>
      </w:r>
      <w:r>
        <w:t xml:space="preserve"> For example see the Department of Health: </w:t>
      </w:r>
      <w:hyperlink r:id="rId4" w:history="1">
        <w:r w:rsidRPr="00D8242D">
          <w:rPr>
            <w:rStyle w:val="Hyperlink"/>
          </w:rPr>
          <w:t>https://www.gov.uk/government/uploads/system/uploads/attachment_data/file/191503/policy_appraisal_and_health.pdf</w:t>
        </w:r>
      </w:hyperlink>
      <w:r>
        <w:t xml:space="preserve"> </w:t>
      </w:r>
    </w:p>
  </w:footnote>
  <w:footnote w:id="7">
    <w:p w14:paraId="42310AC3" w14:textId="2C34CC2F" w:rsidR="007905EC" w:rsidRDefault="007905EC">
      <w:pPr>
        <w:pStyle w:val="FootnoteText"/>
      </w:pPr>
      <w:r>
        <w:rPr>
          <w:rStyle w:val="FootnoteReference"/>
        </w:rPr>
        <w:footnoteRef/>
      </w:r>
      <w:r>
        <w:t xml:space="preserve"> The break clause will be activated by the Department if the outcome of the first two deliverables is judged by the Department to be unsuitable for immediate incorporation into WebTAG appraisal guidance.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5AAA2" w14:textId="77777777" w:rsidR="009B10AB" w:rsidRDefault="009B1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FD615" w14:textId="77777777" w:rsidR="00D846F5" w:rsidRPr="009B19C6" w:rsidRDefault="00CD299A" w:rsidP="00806295">
    <w:pPr>
      <w:pStyle w:val="Header"/>
      <w:jc w:val="center"/>
      <w:rPr>
        <w:b/>
        <w:sz w:val="18"/>
        <w:szCs w:val="18"/>
      </w:rPr>
    </w:pPr>
    <w:r w:rsidRPr="009B19C6">
      <w:rPr>
        <w:sz w:val="18"/>
        <w:szCs w:val="18"/>
      </w:rPr>
      <w:t>OFFICIAL</w:t>
    </w:r>
  </w:p>
  <w:p w14:paraId="6EE4C927" w14:textId="5FD52B77" w:rsidR="00475008" w:rsidRDefault="009B10AB" w:rsidP="00074357">
    <w:pPr>
      <w:pStyle w:val="Header"/>
      <w:jc w:val="center"/>
      <w:rPr>
        <w:b/>
        <w:sz w:val="18"/>
        <w:szCs w:val="18"/>
        <w:lang w:val="en-US"/>
      </w:rPr>
    </w:pPr>
    <w:bookmarkStart w:id="16" w:name="_GoBack"/>
    <w:r w:rsidRPr="009B10AB">
      <w:rPr>
        <w:b/>
        <w:sz w:val="18"/>
        <w:szCs w:val="18"/>
        <w:lang w:val="en-US"/>
      </w:rPr>
      <w:t>SO17859</w:t>
    </w:r>
    <w:r>
      <w:rPr>
        <w:b/>
        <w:sz w:val="18"/>
        <w:szCs w:val="18"/>
        <w:lang w:val="en-US"/>
      </w:rPr>
      <w:t xml:space="preserve"> </w:t>
    </w:r>
    <w:r w:rsidRPr="009B10AB">
      <w:rPr>
        <w:b/>
        <w:sz w:val="18"/>
        <w:szCs w:val="18"/>
        <w:lang w:val="en-US"/>
      </w:rPr>
      <w:t>Research into Valuing health impacts in Transport Appraisal</w:t>
    </w:r>
  </w:p>
  <w:bookmarkEnd w:id="16"/>
  <w:p w14:paraId="5A05E217" w14:textId="77777777" w:rsidR="000E60D4" w:rsidRPr="009B19C6" w:rsidRDefault="000E60D4" w:rsidP="00074357">
    <w:pPr>
      <w:pStyle w:val="Header"/>
      <w:jc w:val="center"/>
      <w:rPr>
        <w:b/>
        <w:sz w:val="18"/>
        <w:szCs w:val="18"/>
      </w:rPr>
    </w:pPr>
    <w:r w:rsidRPr="009B19C6">
      <w:rPr>
        <w:b/>
        <w:sz w:val="18"/>
        <w:szCs w:val="18"/>
      </w:rPr>
      <w:t>Appendix B – Service Description</w:t>
    </w:r>
  </w:p>
  <w:p w14:paraId="2EBF6F30" w14:textId="77777777" w:rsidR="000E60D4" w:rsidRDefault="000E60D4" w:rsidP="00074357">
    <w:pPr>
      <w:pStyle w:val="Header"/>
      <w:tabs>
        <w:tab w:val="clear" w:pos="4153"/>
        <w:tab w:val="clear" w:pos="8306"/>
        <w:tab w:val="center" w:pos="4514"/>
      </w:tabs>
    </w:pPr>
    <w:r>
      <w:tab/>
    </w:r>
  </w:p>
  <w:p w14:paraId="01194E52" w14:textId="77777777" w:rsidR="000E60D4" w:rsidRPr="00074357" w:rsidRDefault="00706C79" w:rsidP="00074357">
    <w:pPr>
      <w:pStyle w:val="Header"/>
    </w:pPr>
    <w:r>
      <w:rPr>
        <w:noProof/>
        <w:lang w:eastAsia="en-GB"/>
      </w:rPr>
      <mc:AlternateContent>
        <mc:Choice Requires="wps">
          <w:drawing>
            <wp:anchor distT="0" distB="0" distL="114300" distR="114300" simplePos="0" relativeHeight="251657216" behindDoc="0" locked="0" layoutInCell="1" allowOverlap="1" wp14:anchorId="37F912F5" wp14:editId="69591107">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5EAFD"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6DDA" w14:textId="77777777" w:rsidR="009B10AB" w:rsidRDefault="009B1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lvl w:ilvl="0" w:tplc="D11E0E64">
      <w:start w:val="13"/>
      <w:numFmt w:val="decimal"/>
      <w:lvlText w:val="%1."/>
      <w:lvlJc w:val="left"/>
      <w:pPr>
        <w:ind w:left="1440" w:hanging="360"/>
      </w:pPr>
      <w:rPr>
        <w:rFonts w:hint="default"/>
      </w:rPr>
    </w:lvl>
    <w:lvl w:ilvl="1" w:tplc="93025B10" w:tentative="1">
      <w:start w:val="1"/>
      <w:numFmt w:val="lowerLetter"/>
      <w:lvlText w:val="%2."/>
      <w:lvlJc w:val="left"/>
      <w:pPr>
        <w:ind w:left="1440" w:hanging="360"/>
      </w:pPr>
    </w:lvl>
    <w:lvl w:ilvl="2" w:tplc="11A8B49A" w:tentative="1">
      <w:start w:val="1"/>
      <w:numFmt w:val="lowerRoman"/>
      <w:lvlText w:val="%3."/>
      <w:lvlJc w:val="right"/>
      <w:pPr>
        <w:ind w:left="2160" w:hanging="180"/>
      </w:pPr>
    </w:lvl>
    <w:lvl w:ilvl="3" w:tplc="29061FFE" w:tentative="1">
      <w:start w:val="1"/>
      <w:numFmt w:val="decimal"/>
      <w:lvlText w:val="%4."/>
      <w:lvlJc w:val="left"/>
      <w:pPr>
        <w:ind w:left="2880" w:hanging="360"/>
      </w:pPr>
    </w:lvl>
    <w:lvl w:ilvl="4" w:tplc="953ED7F4" w:tentative="1">
      <w:start w:val="1"/>
      <w:numFmt w:val="lowerLetter"/>
      <w:lvlText w:val="%5."/>
      <w:lvlJc w:val="left"/>
      <w:pPr>
        <w:ind w:left="3600" w:hanging="360"/>
      </w:pPr>
    </w:lvl>
    <w:lvl w:ilvl="5" w:tplc="5330B414" w:tentative="1">
      <w:start w:val="1"/>
      <w:numFmt w:val="lowerRoman"/>
      <w:lvlText w:val="%6."/>
      <w:lvlJc w:val="right"/>
      <w:pPr>
        <w:ind w:left="4320" w:hanging="180"/>
      </w:pPr>
    </w:lvl>
    <w:lvl w:ilvl="6" w:tplc="F6A4A2F6" w:tentative="1">
      <w:start w:val="1"/>
      <w:numFmt w:val="decimal"/>
      <w:lvlText w:val="%7."/>
      <w:lvlJc w:val="left"/>
      <w:pPr>
        <w:ind w:left="5040" w:hanging="360"/>
      </w:pPr>
    </w:lvl>
    <w:lvl w:ilvl="7" w:tplc="51B26EA2" w:tentative="1">
      <w:start w:val="1"/>
      <w:numFmt w:val="lowerLetter"/>
      <w:lvlText w:val="%8."/>
      <w:lvlJc w:val="left"/>
      <w:pPr>
        <w:ind w:left="5760" w:hanging="360"/>
      </w:pPr>
    </w:lvl>
    <w:lvl w:ilvl="8" w:tplc="B60A25E8" w:tentative="1">
      <w:start w:val="1"/>
      <w:numFmt w:val="lowerRoman"/>
      <w:lvlText w:val="%9."/>
      <w:lvlJc w:val="right"/>
      <w:pPr>
        <w:ind w:left="6480" w:hanging="180"/>
      </w:pPr>
    </w:lvl>
  </w:abstractNum>
  <w:abstractNum w:abstractNumId="8" w15:restartNumberingAfterBreak="0">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D56816"/>
    <w:multiLevelType w:val="hybridMultilevel"/>
    <w:tmpl w:val="C1AED044"/>
    <w:lvl w:ilvl="0" w:tplc="D2E08D94">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lvl w:ilvl="0" w:tplc="9836FA82">
      <w:start w:val="1"/>
      <w:numFmt w:val="bullet"/>
      <w:lvlText w:val=""/>
      <w:lvlJc w:val="left"/>
      <w:pPr>
        <w:ind w:left="720" w:hanging="360"/>
      </w:pPr>
      <w:rPr>
        <w:rFonts w:ascii="Symbol" w:hAnsi="Symbol" w:hint="default"/>
      </w:rPr>
    </w:lvl>
    <w:lvl w:ilvl="1" w:tplc="E77AD91C">
      <w:start w:val="1"/>
      <w:numFmt w:val="bullet"/>
      <w:lvlText w:val="o"/>
      <w:lvlJc w:val="left"/>
      <w:pPr>
        <w:ind w:left="1440" w:hanging="360"/>
      </w:pPr>
      <w:rPr>
        <w:rFonts w:ascii="Courier New" w:hAnsi="Courier New" w:cs="Courier New" w:hint="default"/>
      </w:rPr>
    </w:lvl>
    <w:lvl w:ilvl="2" w:tplc="98B6125C" w:tentative="1">
      <w:start w:val="1"/>
      <w:numFmt w:val="bullet"/>
      <w:lvlText w:val=""/>
      <w:lvlJc w:val="left"/>
      <w:pPr>
        <w:ind w:left="2160" w:hanging="360"/>
      </w:pPr>
      <w:rPr>
        <w:rFonts w:ascii="Wingdings" w:hAnsi="Wingdings" w:hint="default"/>
      </w:rPr>
    </w:lvl>
    <w:lvl w:ilvl="3" w:tplc="ABC06F2E" w:tentative="1">
      <w:start w:val="1"/>
      <w:numFmt w:val="bullet"/>
      <w:lvlText w:val=""/>
      <w:lvlJc w:val="left"/>
      <w:pPr>
        <w:ind w:left="2880" w:hanging="360"/>
      </w:pPr>
      <w:rPr>
        <w:rFonts w:ascii="Symbol" w:hAnsi="Symbol" w:hint="default"/>
      </w:rPr>
    </w:lvl>
    <w:lvl w:ilvl="4" w:tplc="CE1CA23C" w:tentative="1">
      <w:start w:val="1"/>
      <w:numFmt w:val="bullet"/>
      <w:lvlText w:val="o"/>
      <w:lvlJc w:val="left"/>
      <w:pPr>
        <w:ind w:left="3600" w:hanging="360"/>
      </w:pPr>
      <w:rPr>
        <w:rFonts w:ascii="Courier New" w:hAnsi="Courier New" w:cs="Courier New" w:hint="default"/>
      </w:rPr>
    </w:lvl>
    <w:lvl w:ilvl="5" w:tplc="8A3ED8C0" w:tentative="1">
      <w:start w:val="1"/>
      <w:numFmt w:val="bullet"/>
      <w:lvlText w:val=""/>
      <w:lvlJc w:val="left"/>
      <w:pPr>
        <w:ind w:left="4320" w:hanging="360"/>
      </w:pPr>
      <w:rPr>
        <w:rFonts w:ascii="Wingdings" w:hAnsi="Wingdings" w:hint="default"/>
      </w:rPr>
    </w:lvl>
    <w:lvl w:ilvl="6" w:tplc="C69CC292" w:tentative="1">
      <w:start w:val="1"/>
      <w:numFmt w:val="bullet"/>
      <w:lvlText w:val=""/>
      <w:lvlJc w:val="left"/>
      <w:pPr>
        <w:ind w:left="5040" w:hanging="360"/>
      </w:pPr>
      <w:rPr>
        <w:rFonts w:ascii="Symbol" w:hAnsi="Symbol" w:hint="default"/>
      </w:rPr>
    </w:lvl>
    <w:lvl w:ilvl="7" w:tplc="E7C4F688" w:tentative="1">
      <w:start w:val="1"/>
      <w:numFmt w:val="bullet"/>
      <w:lvlText w:val="o"/>
      <w:lvlJc w:val="left"/>
      <w:pPr>
        <w:ind w:left="5760" w:hanging="360"/>
      </w:pPr>
      <w:rPr>
        <w:rFonts w:ascii="Courier New" w:hAnsi="Courier New" w:cs="Courier New" w:hint="default"/>
      </w:rPr>
    </w:lvl>
    <w:lvl w:ilvl="8" w:tplc="54CCAAC0" w:tentative="1">
      <w:start w:val="1"/>
      <w:numFmt w:val="bullet"/>
      <w:lvlText w:val=""/>
      <w:lvlJc w:val="left"/>
      <w:pPr>
        <w:ind w:left="6480" w:hanging="360"/>
      </w:pPr>
      <w:rPr>
        <w:rFonts w:ascii="Wingdings" w:hAnsi="Wingdings" w:hint="default"/>
      </w:rPr>
    </w:lvl>
  </w:abstractNum>
  <w:abstractNum w:abstractNumId="13" w15:restartNumberingAfterBreak="0">
    <w:nsid w:val="13D34191"/>
    <w:multiLevelType w:val="hybridMultilevel"/>
    <w:tmpl w:val="2B387C2C"/>
    <w:lvl w:ilvl="0" w:tplc="AE580B62">
      <w:start w:val="1"/>
      <w:numFmt w:val="lowerLetter"/>
      <w:lvlText w:val="%1)"/>
      <w:lvlJc w:val="left"/>
      <w:pPr>
        <w:ind w:left="720" w:hanging="360"/>
      </w:pPr>
    </w:lvl>
    <w:lvl w:ilvl="1" w:tplc="1DE06164" w:tentative="1">
      <w:start w:val="1"/>
      <w:numFmt w:val="lowerLetter"/>
      <w:lvlText w:val="%2."/>
      <w:lvlJc w:val="left"/>
      <w:pPr>
        <w:ind w:left="1440" w:hanging="360"/>
      </w:pPr>
    </w:lvl>
    <w:lvl w:ilvl="2" w:tplc="8E0253E8" w:tentative="1">
      <w:start w:val="1"/>
      <w:numFmt w:val="lowerRoman"/>
      <w:lvlText w:val="%3."/>
      <w:lvlJc w:val="right"/>
      <w:pPr>
        <w:ind w:left="2160" w:hanging="180"/>
      </w:pPr>
    </w:lvl>
    <w:lvl w:ilvl="3" w:tplc="46D4C2C8" w:tentative="1">
      <w:start w:val="1"/>
      <w:numFmt w:val="decimal"/>
      <w:lvlText w:val="%4."/>
      <w:lvlJc w:val="left"/>
      <w:pPr>
        <w:ind w:left="2880" w:hanging="360"/>
      </w:pPr>
    </w:lvl>
    <w:lvl w:ilvl="4" w:tplc="142C646A" w:tentative="1">
      <w:start w:val="1"/>
      <w:numFmt w:val="lowerLetter"/>
      <w:lvlText w:val="%5."/>
      <w:lvlJc w:val="left"/>
      <w:pPr>
        <w:ind w:left="3600" w:hanging="360"/>
      </w:pPr>
    </w:lvl>
    <w:lvl w:ilvl="5" w:tplc="D06C780A" w:tentative="1">
      <w:start w:val="1"/>
      <w:numFmt w:val="lowerRoman"/>
      <w:lvlText w:val="%6."/>
      <w:lvlJc w:val="right"/>
      <w:pPr>
        <w:ind w:left="4320" w:hanging="180"/>
      </w:pPr>
    </w:lvl>
    <w:lvl w:ilvl="6" w:tplc="B5CA88D8" w:tentative="1">
      <w:start w:val="1"/>
      <w:numFmt w:val="decimal"/>
      <w:lvlText w:val="%7."/>
      <w:lvlJc w:val="left"/>
      <w:pPr>
        <w:ind w:left="5040" w:hanging="360"/>
      </w:pPr>
    </w:lvl>
    <w:lvl w:ilvl="7" w:tplc="51FCC1CA" w:tentative="1">
      <w:start w:val="1"/>
      <w:numFmt w:val="lowerLetter"/>
      <w:lvlText w:val="%8."/>
      <w:lvlJc w:val="left"/>
      <w:pPr>
        <w:ind w:left="5760" w:hanging="360"/>
      </w:pPr>
    </w:lvl>
    <w:lvl w:ilvl="8" w:tplc="1F2E70B8" w:tentative="1">
      <w:start w:val="1"/>
      <w:numFmt w:val="lowerRoman"/>
      <w:lvlText w:val="%9."/>
      <w:lvlJc w:val="right"/>
      <w:pPr>
        <w:ind w:left="6480" w:hanging="180"/>
      </w:pPr>
    </w:lvl>
  </w:abstractNum>
  <w:abstractNum w:abstractNumId="14"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6ED0A03"/>
    <w:multiLevelType w:val="hybridMultilevel"/>
    <w:tmpl w:val="B0FAECF0"/>
    <w:lvl w:ilvl="0" w:tplc="80BC2C4A">
      <w:start w:val="1"/>
      <w:numFmt w:val="lowerRoman"/>
      <w:lvlText w:val="%1."/>
      <w:lvlJc w:val="right"/>
      <w:pPr>
        <w:ind w:left="720" w:hanging="360"/>
      </w:pPr>
    </w:lvl>
    <w:lvl w:ilvl="1" w:tplc="849CF8B0" w:tentative="1">
      <w:start w:val="1"/>
      <w:numFmt w:val="lowerLetter"/>
      <w:lvlText w:val="%2."/>
      <w:lvlJc w:val="left"/>
      <w:pPr>
        <w:ind w:left="1440" w:hanging="360"/>
      </w:pPr>
    </w:lvl>
    <w:lvl w:ilvl="2" w:tplc="01F8C2B0" w:tentative="1">
      <w:start w:val="1"/>
      <w:numFmt w:val="lowerRoman"/>
      <w:lvlText w:val="%3."/>
      <w:lvlJc w:val="right"/>
      <w:pPr>
        <w:ind w:left="2160" w:hanging="180"/>
      </w:pPr>
    </w:lvl>
    <w:lvl w:ilvl="3" w:tplc="8C74E2A8" w:tentative="1">
      <w:start w:val="1"/>
      <w:numFmt w:val="decimal"/>
      <w:lvlText w:val="%4."/>
      <w:lvlJc w:val="left"/>
      <w:pPr>
        <w:ind w:left="2880" w:hanging="360"/>
      </w:pPr>
    </w:lvl>
    <w:lvl w:ilvl="4" w:tplc="E2A6A096" w:tentative="1">
      <w:start w:val="1"/>
      <w:numFmt w:val="lowerLetter"/>
      <w:lvlText w:val="%5."/>
      <w:lvlJc w:val="left"/>
      <w:pPr>
        <w:ind w:left="3600" w:hanging="360"/>
      </w:pPr>
    </w:lvl>
    <w:lvl w:ilvl="5" w:tplc="30FA7378" w:tentative="1">
      <w:start w:val="1"/>
      <w:numFmt w:val="lowerRoman"/>
      <w:lvlText w:val="%6."/>
      <w:lvlJc w:val="right"/>
      <w:pPr>
        <w:ind w:left="4320" w:hanging="180"/>
      </w:pPr>
    </w:lvl>
    <w:lvl w:ilvl="6" w:tplc="36F6FF06" w:tentative="1">
      <w:start w:val="1"/>
      <w:numFmt w:val="decimal"/>
      <w:lvlText w:val="%7."/>
      <w:lvlJc w:val="left"/>
      <w:pPr>
        <w:ind w:left="5040" w:hanging="360"/>
      </w:pPr>
    </w:lvl>
    <w:lvl w:ilvl="7" w:tplc="1A3A91AA" w:tentative="1">
      <w:start w:val="1"/>
      <w:numFmt w:val="lowerLetter"/>
      <w:lvlText w:val="%8."/>
      <w:lvlJc w:val="left"/>
      <w:pPr>
        <w:ind w:left="5760" w:hanging="360"/>
      </w:pPr>
    </w:lvl>
    <w:lvl w:ilvl="8" w:tplc="BF1C3CDA" w:tentative="1">
      <w:start w:val="1"/>
      <w:numFmt w:val="lowerRoman"/>
      <w:lvlText w:val="%9."/>
      <w:lvlJc w:val="right"/>
      <w:pPr>
        <w:ind w:left="6480" w:hanging="180"/>
      </w:p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0B70B6F"/>
    <w:multiLevelType w:val="hybridMultilevel"/>
    <w:tmpl w:val="BAFCF918"/>
    <w:lvl w:ilvl="0" w:tplc="CCF4239C">
      <w:start w:val="1"/>
      <w:numFmt w:val="lowerRoman"/>
      <w:lvlText w:val="%1."/>
      <w:lvlJc w:val="right"/>
      <w:pPr>
        <w:ind w:left="720" w:hanging="360"/>
      </w:pPr>
      <w:rPr>
        <w:rFonts w:hint="default"/>
      </w:rPr>
    </w:lvl>
    <w:lvl w:ilvl="1" w:tplc="848A16E4" w:tentative="1">
      <w:start w:val="1"/>
      <w:numFmt w:val="bullet"/>
      <w:lvlText w:val="o"/>
      <w:lvlJc w:val="left"/>
      <w:pPr>
        <w:ind w:left="1440" w:hanging="360"/>
      </w:pPr>
      <w:rPr>
        <w:rFonts w:ascii="Courier New" w:hAnsi="Courier New" w:cs="Courier New" w:hint="default"/>
      </w:rPr>
    </w:lvl>
    <w:lvl w:ilvl="2" w:tplc="83749D3A" w:tentative="1">
      <w:start w:val="1"/>
      <w:numFmt w:val="bullet"/>
      <w:lvlText w:val=""/>
      <w:lvlJc w:val="left"/>
      <w:pPr>
        <w:ind w:left="2160" w:hanging="360"/>
      </w:pPr>
      <w:rPr>
        <w:rFonts w:ascii="Wingdings" w:hAnsi="Wingdings" w:hint="default"/>
      </w:rPr>
    </w:lvl>
    <w:lvl w:ilvl="3" w:tplc="588C5548" w:tentative="1">
      <w:start w:val="1"/>
      <w:numFmt w:val="bullet"/>
      <w:lvlText w:val=""/>
      <w:lvlJc w:val="left"/>
      <w:pPr>
        <w:ind w:left="2880" w:hanging="360"/>
      </w:pPr>
      <w:rPr>
        <w:rFonts w:ascii="Symbol" w:hAnsi="Symbol" w:hint="default"/>
      </w:rPr>
    </w:lvl>
    <w:lvl w:ilvl="4" w:tplc="46660B2A" w:tentative="1">
      <w:start w:val="1"/>
      <w:numFmt w:val="bullet"/>
      <w:lvlText w:val="o"/>
      <w:lvlJc w:val="left"/>
      <w:pPr>
        <w:ind w:left="3600" w:hanging="360"/>
      </w:pPr>
      <w:rPr>
        <w:rFonts w:ascii="Courier New" w:hAnsi="Courier New" w:cs="Courier New" w:hint="default"/>
      </w:rPr>
    </w:lvl>
    <w:lvl w:ilvl="5" w:tplc="C96CA76A" w:tentative="1">
      <w:start w:val="1"/>
      <w:numFmt w:val="bullet"/>
      <w:lvlText w:val=""/>
      <w:lvlJc w:val="left"/>
      <w:pPr>
        <w:ind w:left="4320" w:hanging="360"/>
      </w:pPr>
      <w:rPr>
        <w:rFonts w:ascii="Wingdings" w:hAnsi="Wingdings" w:hint="default"/>
      </w:rPr>
    </w:lvl>
    <w:lvl w:ilvl="6" w:tplc="2204659A" w:tentative="1">
      <w:start w:val="1"/>
      <w:numFmt w:val="bullet"/>
      <w:lvlText w:val=""/>
      <w:lvlJc w:val="left"/>
      <w:pPr>
        <w:ind w:left="5040" w:hanging="360"/>
      </w:pPr>
      <w:rPr>
        <w:rFonts w:ascii="Symbol" w:hAnsi="Symbol" w:hint="default"/>
      </w:rPr>
    </w:lvl>
    <w:lvl w:ilvl="7" w:tplc="27E6FD62" w:tentative="1">
      <w:start w:val="1"/>
      <w:numFmt w:val="bullet"/>
      <w:lvlText w:val="o"/>
      <w:lvlJc w:val="left"/>
      <w:pPr>
        <w:ind w:left="5760" w:hanging="360"/>
      </w:pPr>
      <w:rPr>
        <w:rFonts w:ascii="Courier New" w:hAnsi="Courier New" w:cs="Courier New" w:hint="default"/>
      </w:rPr>
    </w:lvl>
    <w:lvl w:ilvl="8" w:tplc="5C6E75F2" w:tentative="1">
      <w:start w:val="1"/>
      <w:numFmt w:val="bullet"/>
      <w:lvlText w:val=""/>
      <w:lvlJc w:val="left"/>
      <w:pPr>
        <w:ind w:left="6480" w:hanging="360"/>
      </w:pPr>
      <w:rPr>
        <w:rFonts w:ascii="Wingdings" w:hAnsi="Wingdings"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7366173"/>
    <w:multiLevelType w:val="hybridMultilevel"/>
    <w:tmpl w:val="D5BC13D6"/>
    <w:lvl w:ilvl="0" w:tplc="903CC408">
      <w:start w:val="1"/>
      <w:numFmt w:val="lowerRoman"/>
      <w:lvlText w:val="%1."/>
      <w:lvlJc w:val="left"/>
      <w:pPr>
        <w:ind w:left="1080" w:hanging="720"/>
      </w:pPr>
      <w:rPr>
        <w:rFonts w:hint="default"/>
      </w:rPr>
    </w:lvl>
    <w:lvl w:ilvl="1" w:tplc="D8D4FEDA" w:tentative="1">
      <w:start w:val="1"/>
      <w:numFmt w:val="lowerLetter"/>
      <w:lvlText w:val="%2."/>
      <w:lvlJc w:val="left"/>
      <w:pPr>
        <w:ind w:left="1440" w:hanging="360"/>
      </w:pPr>
    </w:lvl>
    <w:lvl w:ilvl="2" w:tplc="929024CE" w:tentative="1">
      <w:start w:val="1"/>
      <w:numFmt w:val="lowerRoman"/>
      <w:lvlText w:val="%3."/>
      <w:lvlJc w:val="right"/>
      <w:pPr>
        <w:ind w:left="2160" w:hanging="180"/>
      </w:pPr>
    </w:lvl>
    <w:lvl w:ilvl="3" w:tplc="46C8BF40" w:tentative="1">
      <w:start w:val="1"/>
      <w:numFmt w:val="decimal"/>
      <w:lvlText w:val="%4."/>
      <w:lvlJc w:val="left"/>
      <w:pPr>
        <w:ind w:left="2880" w:hanging="360"/>
      </w:pPr>
    </w:lvl>
    <w:lvl w:ilvl="4" w:tplc="895298AA" w:tentative="1">
      <w:start w:val="1"/>
      <w:numFmt w:val="lowerLetter"/>
      <w:lvlText w:val="%5."/>
      <w:lvlJc w:val="left"/>
      <w:pPr>
        <w:ind w:left="3600" w:hanging="360"/>
      </w:pPr>
    </w:lvl>
    <w:lvl w:ilvl="5" w:tplc="58867AD4" w:tentative="1">
      <w:start w:val="1"/>
      <w:numFmt w:val="lowerRoman"/>
      <w:lvlText w:val="%6."/>
      <w:lvlJc w:val="right"/>
      <w:pPr>
        <w:ind w:left="4320" w:hanging="180"/>
      </w:pPr>
    </w:lvl>
    <w:lvl w:ilvl="6" w:tplc="920C5AD8" w:tentative="1">
      <w:start w:val="1"/>
      <w:numFmt w:val="decimal"/>
      <w:lvlText w:val="%7."/>
      <w:lvlJc w:val="left"/>
      <w:pPr>
        <w:ind w:left="5040" w:hanging="360"/>
      </w:pPr>
    </w:lvl>
    <w:lvl w:ilvl="7" w:tplc="A7D41A42" w:tentative="1">
      <w:start w:val="1"/>
      <w:numFmt w:val="lowerLetter"/>
      <w:lvlText w:val="%8."/>
      <w:lvlJc w:val="left"/>
      <w:pPr>
        <w:ind w:left="5760" w:hanging="360"/>
      </w:pPr>
    </w:lvl>
    <w:lvl w:ilvl="8" w:tplc="C2805112" w:tentative="1">
      <w:start w:val="1"/>
      <w:numFmt w:val="lowerRoman"/>
      <w:lvlText w:val="%9."/>
      <w:lvlJc w:val="right"/>
      <w:pPr>
        <w:ind w:left="6480" w:hanging="180"/>
      </w:pPr>
    </w:lvl>
  </w:abstractNum>
  <w:abstractNum w:abstractNumId="24" w15:restartNumberingAfterBreak="0">
    <w:nsid w:val="3C4322F9"/>
    <w:multiLevelType w:val="hybridMultilevel"/>
    <w:tmpl w:val="6608C05C"/>
    <w:lvl w:ilvl="0" w:tplc="0809001B">
      <w:start w:val="1"/>
      <w:numFmt w:val="decimal"/>
      <w:lvlText w:val="%1"/>
      <w:lvlJc w:val="left"/>
      <w:pPr>
        <w:ind w:left="677" w:hanging="360"/>
      </w:pPr>
      <w:rPr>
        <w:rFonts w:hint="default"/>
      </w:rPr>
    </w:lvl>
    <w:lvl w:ilvl="1" w:tplc="08090003" w:tentative="1">
      <w:start w:val="1"/>
      <w:numFmt w:val="lowerLetter"/>
      <w:lvlText w:val="%2."/>
      <w:lvlJc w:val="left"/>
      <w:pPr>
        <w:ind w:left="1397" w:hanging="360"/>
      </w:pPr>
    </w:lvl>
    <w:lvl w:ilvl="2" w:tplc="08090005" w:tentative="1">
      <w:start w:val="1"/>
      <w:numFmt w:val="lowerRoman"/>
      <w:lvlText w:val="%3."/>
      <w:lvlJc w:val="right"/>
      <w:pPr>
        <w:ind w:left="2117" w:hanging="180"/>
      </w:pPr>
    </w:lvl>
    <w:lvl w:ilvl="3" w:tplc="08090001" w:tentative="1">
      <w:start w:val="1"/>
      <w:numFmt w:val="decimal"/>
      <w:lvlText w:val="%4."/>
      <w:lvlJc w:val="left"/>
      <w:pPr>
        <w:ind w:left="2837" w:hanging="360"/>
      </w:pPr>
    </w:lvl>
    <w:lvl w:ilvl="4" w:tplc="08090003" w:tentative="1">
      <w:start w:val="1"/>
      <w:numFmt w:val="lowerLetter"/>
      <w:lvlText w:val="%5."/>
      <w:lvlJc w:val="left"/>
      <w:pPr>
        <w:ind w:left="3557" w:hanging="360"/>
      </w:pPr>
    </w:lvl>
    <w:lvl w:ilvl="5" w:tplc="08090005" w:tentative="1">
      <w:start w:val="1"/>
      <w:numFmt w:val="lowerRoman"/>
      <w:lvlText w:val="%6."/>
      <w:lvlJc w:val="right"/>
      <w:pPr>
        <w:ind w:left="4277" w:hanging="180"/>
      </w:pPr>
    </w:lvl>
    <w:lvl w:ilvl="6" w:tplc="08090001" w:tentative="1">
      <w:start w:val="1"/>
      <w:numFmt w:val="decimal"/>
      <w:lvlText w:val="%7."/>
      <w:lvlJc w:val="left"/>
      <w:pPr>
        <w:ind w:left="4997" w:hanging="360"/>
      </w:pPr>
    </w:lvl>
    <w:lvl w:ilvl="7" w:tplc="08090003" w:tentative="1">
      <w:start w:val="1"/>
      <w:numFmt w:val="lowerLetter"/>
      <w:lvlText w:val="%8."/>
      <w:lvlJc w:val="left"/>
      <w:pPr>
        <w:ind w:left="5717" w:hanging="360"/>
      </w:pPr>
    </w:lvl>
    <w:lvl w:ilvl="8" w:tplc="08090005" w:tentative="1">
      <w:start w:val="1"/>
      <w:numFmt w:val="lowerRoman"/>
      <w:lvlText w:val="%9."/>
      <w:lvlJc w:val="right"/>
      <w:pPr>
        <w:ind w:left="6437" w:hanging="180"/>
      </w:pPr>
    </w:lvl>
  </w:abstractNum>
  <w:abstractNum w:abstractNumId="25" w15:restartNumberingAfterBreak="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042A5"/>
    <w:multiLevelType w:val="hybridMultilevel"/>
    <w:tmpl w:val="5D6419D4"/>
    <w:lvl w:ilvl="0" w:tplc="45867F0C">
      <w:start w:val="1"/>
      <w:numFmt w:val="bullet"/>
      <w:lvlText w:val=""/>
      <w:lvlJc w:val="left"/>
      <w:pPr>
        <w:ind w:left="720" w:hanging="360"/>
      </w:pPr>
      <w:rPr>
        <w:rFonts w:ascii="Symbol" w:hAnsi="Symbol" w:hint="default"/>
      </w:rPr>
    </w:lvl>
    <w:lvl w:ilvl="1" w:tplc="8A1E46AA" w:tentative="1">
      <w:start w:val="1"/>
      <w:numFmt w:val="bullet"/>
      <w:lvlText w:val="o"/>
      <w:lvlJc w:val="left"/>
      <w:pPr>
        <w:ind w:left="1440" w:hanging="360"/>
      </w:pPr>
      <w:rPr>
        <w:rFonts w:ascii="Courier New" w:hAnsi="Courier New" w:cs="Courier New" w:hint="default"/>
      </w:rPr>
    </w:lvl>
    <w:lvl w:ilvl="2" w:tplc="7DEC3A44" w:tentative="1">
      <w:start w:val="1"/>
      <w:numFmt w:val="bullet"/>
      <w:lvlText w:val=""/>
      <w:lvlJc w:val="left"/>
      <w:pPr>
        <w:ind w:left="2160" w:hanging="360"/>
      </w:pPr>
      <w:rPr>
        <w:rFonts w:ascii="Wingdings" w:hAnsi="Wingdings" w:hint="default"/>
      </w:rPr>
    </w:lvl>
    <w:lvl w:ilvl="3" w:tplc="C6DC70DA" w:tentative="1">
      <w:start w:val="1"/>
      <w:numFmt w:val="bullet"/>
      <w:lvlText w:val=""/>
      <w:lvlJc w:val="left"/>
      <w:pPr>
        <w:ind w:left="2880" w:hanging="360"/>
      </w:pPr>
      <w:rPr>
        <w:rFonts w:ascii="Symbol" w:hAnsi="Symbol" w:hint="default"/>
      </w:rPr>
    </w:lvl>
    <w:lvl w:ilvl="4" w:tplc="C3F4F35C" w:tentative="1">
      <w:start w:val="1"/>
      <w:numFmt w:val="bullet"/>
      <w:lvlText w:val="o"/>
      <w:lvlJc w:val="left"/>
      <w:pPr>
        <w:ind w:left="3600" w:hanging="360"/>
      </w:pPr>
      <w:rPr>
        <w:rFonts w:ascii="Courier New" w:hAnsi="Courier New" w:cs="Courier New" w:hint="default"/>
      </w:rPr>
    </w:lvl>
    <w:lvl w:ilvl="5" w:tplc="B6625CFC" w:tentative="1">
      <w:start w:val="1"/>
      <w:numFmt w:val="bullet"/>
      <w:lvlText w:val=""/>
      <w:lvlJc w:val="left"/>
      <w:pPr>
        <w:ind w:left="4320" w:hanging="360"/>
      </w:pPr>
      <w:rPr>
        <w:rFonts w:ascii="Wingdings" w:hAnsi="Wingdings" w:hint="default"/>
      </w:rPr>
    </w:lvl>
    <w:lvl w:ilvl="6" w:tplc="99B2B2A4" w:tentative="1">
      <w:start w:val="1"/>
      <w:numFmt w:val="bullet"/>
      <w:lvlText w:val=""/>
      <w:lvlJc w:val="left"/>
      <w:pPr>
        <w:ind w:left="5040" w:hanging="360"/>
      </w:pPr>
      <w:rPr>
        <w:rFonts w:ascii="Symbol" w:hAnsi="Symbol" w:hint="default"/>
      </w:rPr>
    </w:lvl>
    <w:lvl w:ilvl="7" w:tplc="D9E81938" w:tentative="1">
      <w:start w:val="1"/>
      <w:numFmt w:val="bullet"/>
      <w:lvlText w:val="o"/>
      <w:lvlJc w:val="left"/>
      <w:pPr>
        <w:ind w:left="5760" w:hanging="360"/>
      </w:pPr>
      <w:rPr>
        <w:rFonts w:ascii="Courier New" w:hAnsi="Courier New" w:cs="Courier New" w:hint="default"/>
      </w:rPr>
    </w:lvl>
    <w:lvl w:ilvl="8" w:tplc="E376D3BC" w:tentative="1">
      <w:start w:val="1"/>
      <w:numFmt w:val="bullet"/>
      <w:lvlText w:val=""/>
      <w:lvlJc w:val="left"/>
      <w:pPr>
        <w:ind w:left="6480" w:hanging="360"/>
      </w:pPr>
      <w:rPr>
        <w:rFonts w:ascii="Wingdings" w:hAnsi="Wingdings" w:hint="default"/>
      </w:rPr>
    </w:lvl>
  </w:abstractNum>
  <w:abstractNum w:abstractNumId="27" w15:restartNumberingAfterBreak="0">
    <w:nsid w:val="4667131B"/>
    <w:multiLevelType w:val="hybridMultilevel"/>
    <w:tmpl w:val="3F92599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B6C2C5C"/>
    <w:multiLevelType w:val="multilevel"/>
    <w:tmpl w:val="1332CCD4"/>
    <w:numStyleLink w:val="111111"/>
  </w:abstractNum>
  <w:abstractNum w:abstractNumId="31" w15:restartNumberingAfterBreak="0">
    <w:nsid w:val="4BAC37DE"/>
    <w:multiLevelType w:val="hybridMultilevel"/>
    <w:tmpl w:val="0AC6BB3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D6468D"/>
    <w:multiLevelType w:val="hybridMultilevel"/>
    <w:tmpl w:val="A7804CFA"/>
    <w:lvl w:ilvl="0" w:tplc="883E1478">
      <w:start w:val="1"/>
      <w:numFmt w:val="bullet"/>
      <w:lvlText w:val=""/>
      <w:lvlJc w:val="left"/>
      <w:pPr>
        <w:ind w:left="720" w:hanging="360"/>
      </w:pPr>
      <w:rPr>
        <w:rFonts w:ascii="Symbol" w:hAnsi="Symbol" w:hint="default"/>
      </w:rPr>
    </w:lvl>
    <w:lvl w:ilvl="1" w:tplc="83D895BA" w:tentative="1">
      <w:start w:val="1"/>
      <w:numFmt w:val="bullet"/>
      <w:lvlText w:val="o"/>
      <w:lvlJc w:val="left"/>
      <w:pPr>
        <w:ind w:left="1440" w:hanging="360"/>
      </w:pPr>
      <w:rPr>
        <w:rFonts w:ascii="Courier New" w:hAnsi="Courier New" w:cs="Courier New" w:hint="default"/>
      </w:rPr>
    </w:lvl>
    <w:lvl w:ilvl="2" w:tplc="7F569E72" w:tentative="1">
      <w:start w:val="1"/>
      <w:numFmt w:val="bullet"/>
      <w:lvlText w:val=""/>
      <w:lvlJc w:val="left"/>
      <w:pPr>
        <w:ind w:left="2160" w:hanging="360"/>
      </w:pPr>
      <w:rPr>
        <w:rFonts w:ascii="Wingdings" w:hAnsi="Wingdings" w:hint="default"/>
      </w:rPr>
    </w:lvl>
    <w:lvl w:ilvl="3" w:tplc="0B8C3AA6" w:tentative="1">
      <w:start w:val="1"/>
      <w:numFmt w:val="bullet"/>
      <w:lvlText w:val=""/>
      <w:lvlJc w:val="left"/>
      <w:pPr>
        <w:ind w:left="2880" w:hanging="360"/>
      </w:pPr>
      <w:rPr>
        <w:rFonts w:ascii="Symbol" w:hAnsi="Symbol" w:hint="default"/>
      </w:rPr>
    </w:lvl>
    <w:lvl w:ilvl="4" w:tplc="754C8202" w:tentative="1">
      <w:start w:val="1"/>
      <w:numFmt w:val="bullet"/>
      <w:lvlText w:val="o"/>
      <w:lvlJc w:val="left"/>
      <w:pPr>
        <w:ind w:left="3600" w:hanging="360"/>
      </w:pPr>
      <w:rPr>
        <w:rFonts w:ascii="Courier New" w:hAnsi="Courier New" w:cs="Courier New" w:hint="default"/>
      </w:rPr>
    </w:lvl>
    <w:lvl w:ilvl="5" w:tplc="F9ACE558" w:tentative="1">
      <w:start w:val="1"/>
      <w:numFmt w:val="bullet"/>
      <w:lvlText w:val=""/>
      <w:lvlJc w:val="left"/>
      <w:pPr>
        <w:ind w:left="4320" w:hanging="360"/>
      </w:pPr>
      <w:rPr>
        <w:rFonts w:ascii="Wingdings" w:hAnsi="Wingdings" w:hint="default"/>
      </w:rPr>
    </w:lvl>
    <w:lvl w:ilvl="6" w:tplc="06DEB452" w:tentative="1">
      <w:start w:val="1"/>
      <w:numFmt w:val="bullet"/>
      <w:lvlText w:val=""/>
      <w:lvlJc w:val="left"/>
      <w:pPr>
        <w:ind w:left="5040" w:hanging="360"/>
      </w:pPr>
      <w:rPr>
        <w:rFonts w:ascii="Symbol" w:hAnsi="Symbol" w:hint="default"/>
      </w:rPr>
    </w:lvl>
    <w:lvl w:ilvl="7" w:tplc="4C361538" w:tentative="1">
      <w:start w:val="1"/>
      <w:numFmt w:val="bullet"/>
      <w:lvlText w:val="o"/>
      <w:lvlJc w:val="left"/>
      <w:pPr>
        <w:ind w:left="5760" w:hanging="360"/>
      </w:pPr>
      <w:rPr>
        <w:rFonts w:ascii="Courier New" w:hAnsi="Courier New" w:cs="Courier New" w:hint="default"/>
      </w:rPr>
    </w:lvl>
    <w:lvl w:ilvl="8" w:tplc="652A5F0A" w:tentative="1">
      <w:start w:val="1"/>
      <w:numFmt w:val="bullet"/>
      <w:lvlText w:val=""/>
      <w:lvlJc w:val="left"/>
      <w:pPr>
        <w:ind w:left="6480" w:hanging="360"/>
      </w:pPr>
      <w:rPr>
        <w:rFonts w:ascii="Wingdings" w:hAnsi="Wingdings" w:hint="default"/>
      </w:rPr>
    </w:lvl>
  </w:abstractNum>
  <w:abstractNum w:abstractNumId="33" w15:restartNumberingAfterBreak="0">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34" w15:restartNumberingAfterBreak="0">
    <w:nsid w:val="50965CCA"/>
    <w:multiLevelType w:val="multilevel"/>
    <w:tmpl w:val="1332CCD4"/>
    <w:numStyleLink w:val="111111"/>
  </w:abstractNum>
  <w:abstractNum w:abstractNumId="35" w15:restartNumberingAfterBreak="0">
    <w:nsid w:val="51200365"/>
    <w:multiLevelType w:val="multilevel"/>
    <w:tmpl w:val="D804BF1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428"/>
        </w:tabs>
        <w:ind w:left="1428"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517258E5"/>
    <w:multiLevelType w:val="hybridMultilevel"/>
    <w:tmpl w:val="2ED065C4"/>
    <w:lvl w:ilvl="0" w:tplc="12FCA08A">
      <w:start w:val="1"/>
      <w:numFmt w:val="bullet"/>
      <w:lvlText w:val=""/>
      <w:lvlJc w:val="left"/>
      <w:pPr>
        <w:tabs>
          <w:tab w:val="num" w:pos="1332"/>
        </w:tabs>
        <w:ind w:left="1332" w:hanging="360"/>
      </w:pPr>
      <w:rPr>
        <w:rFonts w:ascii="Symbol" w:hAnsi="Symbol" w:hint="default"/>
      </w:rPr>
    </w:lvl>
    <w:lvl w:ilvl="1" w:tplc="4592515E" w:tentative="1">
      <w:start w:val="1"/>
      <w:numFmt w:val="bullet"/>
      <w:lvlText w:val="o"/>
      <w:lvlJc w:val="left"/>
      <w:pPr>
        <w:tabs>
          <w:tab w:val="num" w:pos="2052"/>
        </w:tabs>
        <w:ind w:left="2052" w:hanging="360"/>
      </w:pPr>
      <w:rPr>
        <w:rFonts w:ascii="Courier New" w:hAnsi="Courier New" w:hint="default"/>
      </w:rPr>
    </w:lvl>
    <w:lvl w:ilvl="2" w:tplc="DABC138A" w:tentative="1">
      <w:start w:val="1"/>
      <w:numFmt w:val="bullet"/>
      <w:lvlText w:val=""/>
      <w:lvlJc w:val="left"/>
      <w:pPr>
        <w:tabs>
          <w:tab w:val="num" w:pos="2772"/>
        </w:tabs>
        <w:ind w:left="2772" w:hanging="360"/>
      </w:pPr>
      <w:rPr>
        <w:rFonts w:ascii="Wingdings" w:hAnsi="Wingdings" w:hint="default"/>
      </w:rPr>
    </w:lvl>
    <w:lvl w:ilvl="3" w:tplc="D5BACF3E" w:tentative="1">
      <w:start w:val="1"/>
      <w:numFmt w:val="bullet"/>
      <w:lvlText w:val=""/>
      <w:lvlJc w:val="left"/>
      <w:pPr>
        <w:tabs>
          <w:tab w:val="num" w:pos="3492"/>
        </w:tabs>
        <w:ind w:left="3492" w:hanging="360"/>
      </w:pPr>
      <w:rPr>
        <w:rFonts w:ascii="Symbol" w:hAnsi="Symbol" w:hint="default"/>
      </w:rPr>
    </w:lvl>
    <w:lvl w:ilvl="4" w:tplc="08AE41E6" w:tentative="1">
      <w:start w:val="1"/>
      <w:numFmt w:val="bullet"/>
      <w:lvlText w:val="o"/>
      <w:lvlJc w:val="left"/>
      <w:pPr>
        <w:tabs>
          <w:tab w:val="num" w:pos="4212"/>
        </w:tabs>
        <w:ind w:left="4212" w:hanging="360"/>
      </w:pPr>
      <w:rPr>
        <w:rFonts w:ascii="Courier New" w:hAnsi="Courier New" w:hint="default"/>
      </w:rPr>
    </w:lvl>
    <w:lvl w:ilvl="5" w:tplc="63DEDBD0" w:tentative="1">
      <w:start w:val="1"/>
      <w:numFmt w:val="bullet"/>
      <w:lvlText w:val=""/>
      <w:lvlJc w:val="left"/>
      <w:pPr>
        <w:tabs>
          <w:tab w:val="num" w:pos="4932"/>
        </w:tabs>
        <w:ind w:left="4932" w:hanging="360"/>
      </w:pPr>
      <w:rPr>
        <w:rFonts w:ascii="Wingdings" w:hAnsi="Wingdings" w:hint="default"/>
      </w:rPr>
    </w:lvl>
    <w:lvl w:ilvl="6" w:tplc="4BF444CA" w:tentative="1">
      <w:start w:val="1"/>
      <w:numFmt w:val="bullet"/>
      <w:lvlText w:val=""/>
      <w:lvlJc w:val="left"/>
      <w:pPr>
        <w:tabs>
          <w:tab w:val="num" w:pos="5652"/>
        </w:tabs>
        <w:ind w:left="5652" w:hanging="360"/>
      </w:pPr>
      <w:rPr>
        <w:rFonts w:ascii="Symbol" w:hAnsi="Symbol" w:hint="default"/>
      </w:rPr>
    </w:lvl>
    <w:lvl w:ilvl="7" w:tplc="5134C03C" w:tentative="1">
      <w:start w:val="1"/>
      <w:numFmt w:val="bullet"/>
      <w:lvlText w:val="o"/>
      <w:lvlJc w:val="left"/>
      <w:pPr>
        <w:tabs>
          <w:tab w:val="num" w:pos="6372"/>
        </w:tabs>
        <w:ind w:left="6372" w:hanging="360"/>
      </w:pPr>
      <w:rPr>
        <w:rFonts w:ascii="Courier New" w:hAnsi="Courier New" w:hint="default"/>
      </w:rPr>
    </w:lvl>
    <w:lvl w:ilvl="8" w:tplc="3FFE7DA2" w:tentative="1">
      <w:start w:val="1"/>
      <w:numFmt w:val="bullet"/>
      <w:lvlText w:val=""/>
      <w:lvlJc w:val="left"/>
      <w:pPr>
        <w:tabs>
          <w:tab w:val="num" w:pos="7092"/>
        </w:tabs>
        <w:ind w:left="7092" w:hanging="360"/>
      </w:pPr>
      <w:rPr>
        <w:rFonts w:ascii="Wingdings" w:hAnsi="Wingdings" w:hint="default"/>
      </w:rPr>
    </w:lvl>
  </w:abstractNum>
  <w:abstractNum w:abstractNumId="37" w15:restartNumberingAfterBreak="0">
    <w:nsid w:val="51E33122"/>
    <w:multiLevelType w:val="hybridMultilevel"/>
    <w:tmpl w:val="4F20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284A4A"/>
    <w:multiLevelType w:val="hybridMultilevel"/>
    <w:tmpl w:val="9732C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42" w15:restartNumberingAfterBreak="0">
    <w:nsid w:val="62F7604D"/>
    <w:multiLevelType w:val="hybridMultilevel"/>
    <w:tmpl w:val="58AAC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663548B3"/>
    <w:multiLevelType w:val="hybridMultilevel"/>
    <w:tmpl w:val="7768722E"/>
    <w:lvl w:ilvl="0" w:tplc="E9EC984E">
      <w:start w:val="1"/>
      <w:numFmt w:val="bullet"/>
      <w:lvlText w:val=""/>
      <w:lvlJc w:val="left"/>
      <w:pPr>
        <w:ind w:left="720" w:hanging="360"/>
      </w:pPr>
      <w:rPr>
        <w:rFonts w:ascii="Symbol" w:hAnsi="Symbol" w:hint="default"/>
      </w:rPr>
    </w:lvl>
    <w:lvl w:ilvl="1" w:tplc="989AF172" w:tentative="1">
      <w:start w:val="1"/>
      <w:numFmt w:val="bullet"/>
      <w:lvlText w:val="o"/>
      <w:lvlJc w:val="left"/>
      <w:pPr>
        <w:ind w:left="1440" w:hanging="360"/>
      </w:pPr>
      <w:rPr>
        <w:rFonts w:ascii="Courier New" w:hAnsi="Courier New" w:cs="Courier New" w:hint="default"/>
      </w:rPr>
    </w:lvl>
    <w:lvl w:ilvl="2" w:tplc="4924458C" w:tentative="1">
      <w:start w:val="1"/>
      <w:numFmt w:val="bullet"/>
      <w:lvlText w:val=""/>
      <w:lvlJc w:val="left"/>
      <w:pPr>
        <w:ind w:left="2160" w:hanging="360"/>
      </w:pPr>
      <w:rPr>
        <w:rFonts w:ascii="Wingdings" w:hAnsi="Wingdings" w:hint="default"/>
      </w:rPr>
    </w:lvl>
    <w:lvl w:ilvl="3" w:tplc="5AD28FCC" w:tentative="1">
      <w:start w:val="1"/>
      <w:numFmt w:val="bullet"/>
      <w:lvlText w:val=""/>
      <w:lvlJc w:val="left"/>
      <w:pPr>
        <w:ind w:left="2880" w:hanging="360"/>
      </w:pPr>
      <w:rPr>
        <w:rFonts w:ascii="Symbol" w:hAnsi="Symbol" w:hint="default"/>
      </w:rPr>
    </w:lvl>
    <w:lvl w:ilvl="4" w:tplc="0C183A74" w:tentative="1">
      <w:start w:val="1"/>
      <w:numFmt w:val="bullet"/>
      <w:lvlText w:val="o"/>
      <w:lvlJc w:val="left"/>
      <w:pPr>
        <w:ind w:left="3600" w:hanging="360"/>
      </w:pPr>
      <w:rPr>
        <w:rFonts w:ascii="Courier New" w:hAnsi="Courier New" w:cs="Courier New" w:hint="default"/>
      </w:rPr>
    </w:lvl>
    <w:lvl w:ilvl="5" w:tplc="C96E3910" w:tentative="1">
      <w:start w:val="1"/>
      <w:numFmt w:val="bullet"/>
      <w:lvlText w:val=""/>
      <w:lvlJc w:val="left"/>
      <w:pPr>
        <w:ind w:left="4320" w:hanging="360"/>
      </w:pPr>
      <w:rPr>
        <w:rFonts w:ascii="Wingdings" w:hAnsi="Wingdings" w:hint="default"/>
      </w:rPr>
    </w:lvl>
    <w:lvl w:ilvl="6" w:tplc="82046552" w:tentative="1">
      <w:start w:val="1"/>
      <w:numFmt w:val="bullet"/>
      <w:lvlText w:val=""/>
      <w:lvlJc w:val="left"/>
      <w:pPr>
        <w:ind w:left="5040" w:hanging="360"/>
      </w:pPr>
      <w:rPr>
        <w:rFonts w:ascii="Symbol" w:hAnsi="Symbol" w:hint="default"/>
      </w:rPr>
    </w:lvl>
    <w:lvl w:ilvl="7" w:tplc="5A8AED4C" w:tentative="1">
      <w:start w:val="1"/>
      <w:numFmt w:val="bullet"/>
      <w:lvlText w:val="o"/>
      <w:lvlJc w:val="left"/>
      <w:pPr>
        <w:ind w:left="5760" w:hanging="360"/>
      </w:pPr>
      <w:rPr>
        <w:rFonts w:ascii="Courier New" w:hAnsi="Courier New" w:cs="Courier New" w:hint="default"/>
      </w:rPr>
    </w:lvl>
    <w:lvl w:ilvl="8" w:tplc="FF4A4814" w:tentative="1">
      <w:start w:val="1"/>
      <w:numFmt w:val="bullet"/>
      <w:lvlText w:val=""/>
      <w:lvlJc w:val="left"/>
      <w:pPr>
        <w:ind w:left="6480" w:hanging="360"/>
      </w:pPr>
      <w:rPr>
        <w:rFonts w:ascii="Wingdings" w:hAnsi="Wingdings" w:hint="default"/>
      </w:rPr>
    </w:lvl>
  </w:abstractNum>
  <w:abstractNum w:abstractNumId="46" w15:restartNumberingAfterBreak="0">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4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711620B1"/>
    <w:multiLevelType w:val="hybridMultilevel"/>
    <w:tmpl w:val="DE32DB06"/>
    <w:lvl w:ilvl="0" w:tplc="E7C867B4">
      <w:start w:val="1"/>
      <w:numFmt w:val="bullet"/>
      <w:lvlText w:val=""/>
      <w:lvlJc w:val="left"/>
      <w:pPr>
        <w:ind w:left="720" w:hanging="360"/>
      </w:pPr>
      <w:rPr>
        <w:rFonts w:ascii="Symbol" w:hAnsi="Symbol" w:hint="default"/>
      </w:rPr>
    </w:lvl>
    <w:lvl w:ilvl="1" w:tplc="F4D8CE34" w:tentative="1">
      <w:start w:val="1"/>
      <w:numFmt w:val="bullet"/>
      <w:lvlText w:val="o"/>
      <w:lvlJc w:val="left"/>
      <w:pPr>
        <w:ind w:left="1440" w:hanging="360"/>
      </w:pPr>
      <w:rPr>
        <w:rFonts w:ascii="Courier New" w:hAnsi="Courier New" w:cs="Courier New" w:hint="default"/>
      </w:rPr>
    </w:lvl>
    <w:lvl w:ilvl="2" w:tplc="52922B90" w:tentative="1">
      <w:start w:val="1"/>
      <w:numFmt w:val="bullet"/>
      <w:lvlText w:val=""/>
      <w:lvlJc w:val="left"/>
      <w:pPr>
        <w:ind w:left="2160" w:hanging="360"/>
      </w:pPr>
      <w:rPr>
        <w:rFonts w:ascii="Wingdings" w:hAnsi="Wingdings" w:hint="default"/>
      </w:rPr>
    </w:lvl>
    <w:lvl w:ilvl="3" w:tplc="C13A71F4" w:tentative="1">
      <w:start w:val="1"/>
      <w:numFmt w:val="bullet"/>
      <w:lvlText w:val=""/>
      <w:lvlJc w:val="left"/>
      <w:pPr>
        <w:ind w:left="2880" w:hanging="360"/>
      </w:pPr>
      <w:rPr>
        <w:rFonts w:ascii="Symbol" w:hAnsi="Symbol" w:hint="default"/>
      </w:rPr>
    </w:lvl>
    <w:lvl w:ilvl="4" w:tplc="09E6F90C" w:tentative="1">
      <w:start w:val="1"/>
      <w:numFmt w:val="bullet"/>
      <w:lvlText w:val="o"/>
      <w:lvlJc w:val="left"/>
      <w:pPr>
        <w:ind w:left="3600" w:hanging="360"/>
      </w:pPr>
      <w:rPr>
        <w:rFonts w:ascii="Courier New" w:hAnsi="Courier New" w:cs="Courier New" w:hint="default"/>
      </w:rPr>
    </w:lvl>
    <w:lvl w:ilvl="5" w:tplc="E084D1EA" w:tentative="1">
      <w:start w:val="1"/>
      <w:numFmt w:val="bullet"/>
      <w:lvlText w:val=""/>
      <w:lvlJc w:val="left"/>
      <w:pPr>
        <w:ind w:left="4320" w:hanging="360"/>
      </w:pPr>
      <w:rPr>
        <w:rFonts w:ascii="Wingdings" w:hAnsi="Wingdings" w:hint="default"/>
      </w:rPr>
    </w:lvl>
    <w:lvl w:ilvl="6" w:tplc="BE065BD4" w:tentative="1">
      <w:start w:val="1"/>
      <w:numFmt w:val="bullet"/>
      <w:lvlText w:val=""/>
      <w:lvlJc w:val="left"/>
      <w:pPr>
        <w:ind w:left="5040" w:hanging="360"/>
      </w:pPr>
      <w:rPr>
        <w:rFonts w:ascii="Symbol" w:hAnsi="Symbol" w:hint="default"/>
      </w:rPr>
    </w:lvl>
    <w:lvl w:ilvl="7" w:tplc="3612C55A" w:tentative="1">
      <w:start w:val="1"/>
      <w:numFmt w:val="bullet"/>
      <w:lvlText w:val="o"/>
      <w:lvlJc w:val="left"/>
      <w:pPr>
        <w:ind w:left="5760" w:hanging="360"/>
      </w:pPr>
      <w:rPr>
        <w:rFonts w:ascii="Courier New" w:hAnsi="Courier New" w:cs="Courier New" w:hint="default"/>
      </w:rPr>
    </w:lvl>
    <w:lvl w:ilvl="8" w:tplc="CA3AC7B2" w:tentative="1">
      <w:start w:val="1"/>
      <w:numFmt w:val="bullet"/>
      <w:lvlText w:val=""/>
      <w:lvlJc w:val="left"/>
      <w:pPr>
        <w:ind w:left="6480" w:hanging="360"/>
      </w:pPr>
      <w:rPr>
        <w:rFonts w:ascii="Wingdings" w:hAnsi="Wingdings" w:hint="default"/>
      </w:rPr>
    </w:lvl>
  </w:abstractNum>
  <w:abstractNum w:abstractNumId="49" w15:restartNumberingAfterBreak="0">
    <w:nsid w:val="729515E8"/>
    <w:multiLevelType w:val="hybridMultilevel"/>
    <w:tmpl w:val="44725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9546A7F"/>
    <w:multiLevelType w:val="hybridMultilevel"/>
    <w:tmpl w:val="B4EA1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9965273"/>
    <w:multiLevelType w:val="hybridMultilevel"/>
    <w:tmpl w:val="8BAEFE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DF03A1D"/>
    <w:multiLevelType w:val="hybridMultilevel"/>
    <w:tmpl w:val="766ED946"/>
    <w:lvl w:ilvl="0" w:tplc="E0D0094E">
      <w:start w:val="6"/>
      <w:numFmt w:val="decimal"/>
      <w:lvlText w:val="%1."/>
      <w:lvlJc w:val="left"/>
      <w:pPr>
        <w:ind w:left="1440" w:hanging="360"/>
      </w:pPr>
      <w:rPr>
        <w:rFonts w:hint="default"/>
      </w:rPr>
    </w:lvl>
    <w:lvl w:ilvl="1" w:tplc="462A3CCE" w:tentative="1">
      <w:start w:val="1"/>
      <w:numFmt w:val="lowerLetter"/>
      <w:lvlText w:val="%2."/>
      <w:lvlJc w:val="left"/>
      <w:pPr>
        <w:ind w:left="1440" w:hanging="360"/>
      </w:pPr>
    </w:lvl>
    <w:lvl w:ilvl="2" w:tplc="19C290D2" w:tentative="1">
      <w:start w:val="1"/>
      <w:numFmt w:val="lowerRoman"/>
      <w:lvlText w:val="%3."/>
      <w:lvlJc w:val="right"/>
      <w:pPr>
        <w:ind w:left="2160" w:hanging="180"/>
      </w:pPr>
    </w:lvl>
    <w:lvl w:ilvl="3" w:tplc="75000512" w:tentative="1">
      <w:start w:val="1"/>
      <w:numFmt w:val="decimal"/>
      <w:lvlText w:val="%4."/>
      <w:lvlJc w:val="left"/>
      <w:pPr>
        <w:ind w:left="2880" w:hanging="360"/>
      </w:pPr>
    </w:lvl>
    <w:lvl w:ilvl="4" w:tplc="F6DAACD0" w:tentative="1">
      <w:start w:val="1"/>
      <w:numFmt w:val="lowerLetter"/>
      <w:lvlText w:val="%5."/>
      <w:lvlJc w:val="left"/>
      <w:pPr>
        <w:ind w:left="3600" w:hanging="360"/>
      </w:pPr>
    </w:lvl>
    <w:lvl w:ilvl="5" w:tplc="155A92EC" w:tentative="1">
      <w:start w:val="1"/>
      <w:numFmt w:val="lowerRoman"/>
      <w:lvlText w:val="%6."/>
      <w:lvlJc w:val="right"/>
      <w:pPr>
        <w:ind w:left="4320" w:hanging="180"/>
      </w:pPr>
    </w:lvl>
    <w:lvl w:ilvl="6" w:tplc="016C0BA2" w:tentative="1">
      <w:start w:val="1"/>
      <w:numFmt w:val="decimal"/>
      <w:lvlText w:val="%7."/>
      <w:lvlJc w:val="left"/>
      <w:pPr>
        <w:ind w:left="5040" w:hanging="360"/>
      </w:pPr>
    </w:lvl>
    <w:lvl w:ilvl="7" w:tplc="9E9AF6A4" w:tentative="1">
      <w:start w:val="1"/>
      <w:numFmt w:val="lowerLetter"/>
      <w:lvlText w:val="%8."/>
      <w:lvlJc w:val="left"/>
      <w:pPr>
        <w:ind w:left="5760" w:hanging="360"/>
      </w:pPr>
    </w:lvl>
    <w:lvl w:ilvl="8" w:tplc="B0448CD8" w:tentative="1">
      <w:start w:val="1"/>
      <w:numFmt w:val="lowerRoman"/>
      <w:lvlText w:val="%9."/>
      <w:lvlJc w:val="right"/>
      <w:pPr>
        <w:ind w:left="6480" w:hanging="180"/>
      </w:pPr>
    </w:lvl>
  </w:abstractNum>
  <w:num w:numId="1">
    <w:abstractNumId w:val="6"/>
  </w:num>
  <w:num w:numId="2">
    <w:abstractNumId w:val="35"/>
  </w:num>
  <w:num w:numId="3">
    <w:abstractNumId w:val="18"/>
  </w:num>
  <w:num w:numId="4">
    <w:abstractNumId w:val="19"/>
  </w:num>
  <w:num w:numId="5">
    <w:abstractNumId w:val="5"/>
  </w:num>
  <w:num w:numId="6">
    <w:abstractNumId w:val="28"/>
  </w:num>
  <w:num w:numId="7">
    <w:abstractNumId w:val="22"/>
  </w:num>
  <w:num w:numId="8">
    <w:abstractNumId w:val="16"/>
  </w:num>
  <w:num w:numId="9">
    <w:abstractNumId w:val="4"/>
  </w:num>
  <w:num w:numId="10">
    <w:abstractNumId w:val="3"/>
  </w:num>
  <w:num w:numId="11">
    <w:abstractNumId w:val="2"/>
  </w:num>
  <w:num w:numId="12">
    <w:abstractNumId w:val="1"/>
  </w:num>
  <w:num w:numId="13">
    <w:abstractNumId w:val="0"/>
  </w:num>
  <w:num w:numId="14">
    <w:abstractNumId w:val="52"/>
  </w:num>
  <w:num w:numId="15">
    <w:abstractNumId w:val="11"/>
  </w:num>
  <w:num w:numId="16">
    <w:abstractNumId w:val="43"/>
  </w:num>
  <w:num w:numId="17">
    <w:abstractNumId w:val="10"/>
  </w:num>
  <w:num w:numId="18">
    <w:abstractNumId w:val="25"/>
  </w:num>
  <w:num w:numId="19">
    <w:abstractNumId w:val="21"/>
  </w:num>
  <w:num w:numId="20">
    <w:abstractNumId w:val="40"/>
  </w:num>
  <w:num w:numId="21">
    <w:abstractNumId w:val="15"/>
  </w:num>
  <w:num w:numId="22">
    <w:abstractNumId w:val="47"/>
  </w:num>
  <w:num w:numId="23">
    <w:abstractNumId w:val="29"/>
  </w:num>
  <w:num w:numId="24">
    <w:abstractNumId w:val="14"/>
  </w:num>
  <w:num w:numId="25">
    <w:abstractNumId w:val="44"/>
  </w:num>
  <w:num w:numId="26">
    <w:abstractNumId w:val="7"/>
  </w:num>
  <w:num w:numId="27">
    <w:abstractNumId w:val="27"/>
  </w:num>
  <w:num w:numId="28">
    <w:abstractNumId w:val="24"/>
  </w:num>
  <w:num w:numId="29">
    <w:abstractNumId w:val="45"/>
  </w:num>
  <w:num w:numId="30">
    <w:abstractNumId w:val="32"/>
  </w:num>
  <w:num w:numId="31">
    <w:abstractNumId w:val="23"/>
  </w:num>
  <w:num w:numId="32">
    <w:abstractNumId w:val="48"/>
  </w:num>
  <w:num w:numId="33">
    <w:abstractNumId w:val="8"/>
  </w:num>
  <w:num w:numId="34">
    <w:abstractNumId w:val="20"/>
  </w:num>
  <w:num w:numId="35">
    <w:abstractNumId w:val="33"/>
  </w:num>
  <w:num w:numId="36">
    <w:abstractNumId w:val="46"/>
  </w:num>
  <w:num w:numId="37">
    <w:abstractNumId w:val="13"/>
  </w:num>
  <w:num w:numId="38">
    <w:abstractNumId w:val="17"/>
  </w:num>
  <w:num w:numId="39">
    <w:abstractNumId w:val="38"/>
  </w:num>
  <w:num w:numId="40">
    <w:abstractNumId w:val="37"/>
  </w:num>
  <w:num w:numId="41">
    <w:abstractNumId w:val="9"/>
  </w:num>
  <w:num w:numId="42">
    <w:abstractNumId w:val="36"/>
  </w:num>
  <w:num w:numId="43">
    <w:abstractNumId w:val="26"/>
  </w:num>
  <w:num w:numId="44">
    <w:abstractNumId w:val="51"/>
  </w:num>
  <w:num w:numId="45">
    <w:abstractNumId w:val="39"/>
  </w:num>
  <w:num w:numId="46">
    <w:abstractNumId w:val="31"/>
  </w:num>
  <w:num w:numId="47">
    <w:abstractNumId w:val="42"/>
  </w:num>
  <w:num w:numId="48">
    <w:abstractNumId w:val="49"/>
  </w:num>
  <w:num w:numId="49">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3ED3"/>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5229"/>
    <w:rsid w:val="00026CBD"/>
    <w:rsid w:val="00026E28"/>
    <w:rsid w:val="000279DB"/>
    <w:rsid w:val="00027C05"/>
    <w:rsid w:val="000318CA"/>
    <w:rsid w:val="0003289F"/>
    <w:rsid w:val="00035A45"/>
    <w:rsid w:val="00037CB6"/>
    <w:rsid w:val="00040A60"/>
    <w:rsid w:val="0004305A"/>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75B"/>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3A3"/>
    <w:rsid w:val="000C7C2B"/>
    <w:rsid w:val="000D1494"/>
    <w:rsid w:val="000D5CB0"/>
    <w:rsid w:val="000E3471"/>
    <w:rsid w:val="000E4C53"/>
    <w:rsid w:val="000E60D4"/>
    <w:rsid w:val="000E6CD7"/>
    <w:rsid w:val="000F232D"/>
    <w:rsid w:val="000F2790"/>
    <w:rsid w:val="000F3348"/>
    <w:rsid w:val="000F3500"/>
    <w:rsid w:val="000F3E1D"/>
    <w:rsid w:val="00100B77"/>
    <w:rsid w:val="0010318E"/>
    <w:rsid w:val="0010453E"/>
    <w:rsid w:val="0010577C"/>
    <w:rsid w:val="00105FBC"/>
    <w:rsid w:val="00106AAD"/>
    <w:rsid w:val="00110F67"/>
    <w:rsid w:val="00113459"/>
    <w:rsid w:val="001151A8"/>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3CB5"/>
    <w:rsid w:val="001541D4"/>
    <w:rsid w:val="00156231"/>
    <w:rsid w:val="0015696A"/>
    <w:rsid w:val="00156E2F"/>
    <w:rsid w:val="00157D99"/>
    <w:rsid w:val="001600AF"/>
    <w:rsid w:val="0016383C"/>
    <w:rsid w:val="00163E79"/>
    <w:rsid w:val="00166299"/>
    <w:rsid w:val="0017225B"/>
    <w:rsid w:val="00173352"/>
    <w:rsid w:val="0017368C"/>
    <w:rsid w:val="00176DF8"/>
    <w:rsid w:val="00176E22"/>
    <w:rsid w:val="00181D58"/>
    <w:rsid w:val="00181E5E"/>
    <w:rsid w:val="00183EB0"/>
    <w:rsid w:val="00184673"/>
    <w:rsid w:val="001863E6"/>
    <w:rsid w:val="0018756A"/>
    <w:rsid w:val="001962E6"/>
    <w:rsid w:val="001A1780"/>
    <w:rsid w:val="001A3C4D"/>
    <w:rsid w:val="001A7AB1"/>
    <w:rsid w:val="001B0A24"/>
    <w:rsid w:val="001B2EA8"/>
    <w:rsid w:val="001B38BD"/>
    <w:rsid w:val="001B3C1C"/>
    <w:rsid w:val="001B485F"/>
    <w:rsid w:val="001B4B79"/>
    <w:rsid w:val="001B52D8"/>
    <w:rsid w:val="001B7875"/>
    <w:rsid w:val="001C18A7"/>
    <w:rsid w:val="001C210F"/>
    <w:rsid w:val="001C3766"/>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1AEF"/>
    <w:rsid w:val="002136EC"/>
    <w:rsid w:val="00215015"/>
    <w:rsid w:val="0022047E"/>
    <w:rsid w:val="002222F1"/>
    <w:rsid w:val="002229A8"/>
    <w:rsid w:val="002235BF"/>
    <w:rsid w:val="0022513D"/>
    <w:rsid w:val="00225865"/>
    <w:rsid w:val="0022592F"/>
    <w:rsid w:val="002262A5"/>
    <w:rsid w:val="002268D4"/>
    <w:rsid w:val="0022721A"/>
    <w:rsid w:val="00227460"/>
    <w:rsid w:val="00230FBE"/>
    <w:rsid w:val="00234955"/>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AF5"/>
    <w:rsid w:val="00273C21"/>
    <w:rsid w:val="00274416"/>
    <w:rsid w:val="00275B97"/>
    <w:rsid w:val="00277524"/>
    <w:rsid w:val="002802B6"/>
    <w:rsid w:val="00280B5B"/>
    <w:rsid w:val="002848C1"/>
    <w:rsid w:val="0028697F"/>
    <w:rsid w:val="00286F62"/>
    <w:rsid w:val="002876FE"/>
    <w:rsid w:val="00293E2C"/>
    <w:rsid w:val="002A08BF"/>
    <w:rsid w:val="002A3EE1"/>
    <w:rsid w:val="002A43CC"/>
    <w:rsid w:val="002A4485"/>
    <w:rsid w:val="002A5258"/>
    <w:rsid w:val="002A7480"/>
    <w:rsid w:val="002A7D10"/>
    <w:rsid w:val="002A7DA6"/>
    <w:rsid w:val="002B1E1B"/>
    <w:rsid w:val="002B43BE"/>
    <w:rsid w:val="002B55ED"/>
    <w:rsid w:val="002B5AEB"/>
    <w:rsid w:val="002B5C29"/>
    <w:rsid w:val="002B6278"/>
    <w:rsid w:val="002B744B"/>
    <w:rsid w:val="002C124F"/>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2196"/>
    <w:rsid w:val="002E3F72"/>
    <w:rsid w:val="002E5436"/>
    <w:rsid w:val="002E594B"/>
    <w:rsid w:val="002F13FD"/>
    <w:rsid w:val="002F1ACB"/>
    <w:rsid w:val="002F1F7F"/>
    <w:rsid w:val="002F42F4"/>
    <w:rsid w:val="002F4D97"/>
    <w:rsid w:val="002F6A1B"/>
    <w:rsid w:val="00301B75"/>
    <w:rsid w:val="0030285B"/>
    <w:rsid w:val="00311429"/>
    <w:rsid w:val="00314691"/>
    <w:rsid w:val="00316D27"/>
    <w:rsid w:val="00321DD2"/>
    <w:rsid w:val="00323541"/>
    <w:rsid w:val="00323EAA"/>
    <w:rsid w:val="003255B1"/>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77540"/>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0178"/>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0BBD"/>
    <w:rsid w:val="0045279B"/>
    <w:rsid w:val="00453D4F"/>
    <w:rsid w:val="00453EE6"/>
    <w:rsid w:val="00457E77"/>
    <w:rsid w:val="00460E5D"/>
    <w:rsid w:val="00461688"/>
    <w:rsid w:val="00466CA2"/>
    <w:rsid w:val="00470A2A"/>
    <w:rsid w:val="00475008"/>
    <w:rsid w:val="00476F39"/>
    <w:rsid w:val="004771C4"/>
    <w:rsid w:val="00480506"/>
    <w:rsid w:val="00480E50"/>
    <w:rsid w:val="004900A1"/>
    <w:rsid w:val="004909B0"/>
    <w:rsid w:val="00491AB0"/>
    <w:rsid w:val="0049625F"/>
    <w:rsid w:val="004A1958"/>
    <w:rsid w:val="004A225E"/>
    <w:rsid w:val="004A2610"/>
    <w:rsid w:val="004A2A99"/>
    <w:rsid w:val="004A2D0B"/>
    <w:rsid w:val="004A31F5"/>
    <w:rsid w:val="004A4371"/>
    <w:rsid w:val="004B4E34"/>
    <w:rsid w:val="004B6951"/>
    <w:rsid w:val="004B71C6"/>
    <w:rsid w:val="004C0636"/>
    <w:rsid w:val="004C1460"/>
    <w:rsid w:val="004C252B"/>
    <w:rsid w:val="004C50CD"/>
    <w:rsid w:val="004C53C2"/>
    <w:rsid w:val="004C5C6B"/>
    <w:rsid w:val="004C63D6"/>
    <w:rsid w:val="004C74D1"/>
    <w:rsid w:val="004D0392"/>
    <w:rsid w:val="004D0A59"/>
    <w:rsid w:val="004D198A"/>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0766C"/>
    <w:rsid w:val="005121E9"/>
    <w:rsid w:val="005147FE"/>
    <w:rsid w:val="00515D51"/>
    <w:rsid w:val="00517904"/>
    <w:rsid w:val="00522AAC"/>
    <w:rsid w:val="00527040"/>
    <w:rsid w:val="00531360"/>
    <w:rsid w:val="0053220D"/>
    <w:rsid w:val="00533F76"/>
    <w:rsid w:val="005364E3"/>
    <w:rsid w:val="0054536C"/>
    <w:rsid w:val="00545E13"/>
    <w:rsid w:val="00551ADE"/>
    <w:rsid w:val="00561BB6"/>
    <w:rsid w:val="00564CCA"/>
    <w:rsid w:val="00566842"/>
    <w:rsid w:val="005713C4"/>
    <w:rsid w:val="00572952"/>
    <w:rsid w:val="005750D7"/>
    <w:rsid w:val="005750F5"/>
    <w:rsid w:val="005759DD"/>
    <w:rsid w:val="00576C34"/>
    <w:rsid w:val="005770EC"/>
    <w:rsid w:val="005821EF"/>
    <w:rsid w:val="0058297A"/>
    <w:rsid w:val="0058409F"/>
    <w:rsid w:val="00585D06"/>
    <w:rsid w:val="00586CC2"/>
    <w:rsid w:val="00586F37"/>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33A"/>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20A6"/>
    <w:rsid w:val="00613296"/>
    <w:rsid w:val="00613C61"/>
    <w:rsid w:val="00614F75"/>
    <w:rsid w:val="00617599"/>
    <w:rsid w:val="006278EE"/>
    <w:rsid w:val="00627B4B"/>
    <w:rsid w:val="0063134B"/>
    <w:rsid w:val="00632838"/>
    <w:rsid w:val="00635317"/>
    <w:rsid w:val="006373DB"/>
    <w:rsid w:val="00641ACD"/>
    <w:rsid w:val="0064354C"/>
    <w:rsid w:val="00643B59"/>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94F02"/>
    <w:rsid w:val="006A385C"/>
    <w:rsid w:val="006B1F15"/>
    <w:rsid w:val="006B32CD"/>
    <w:rsid w:val="006B3676"/>
    <w:rsid w:val="006B4F77"/>
    <w:rsid w:val="006C0828"/>
    <w:rsid w:val="006C1417"/>
    <w:rsid w:val="006C2069"/>
    <w:rsid w:val="006C3FE6"/>
    <w:rsid w:val="006C466F"/>
    <w:rsid w:val="006C7377"/>
    <w:rsid w:val="006D0B91"/>
    <w:rsid w:val="006D2324"/>
    <w:rsid w:val="006D3910"/>
    <w:rsid w:val="006D50D6"/>
    <w:rsid w:val="006D6196"/>
    <w:rsid w:val="006D64A7"/>
    <w:rsid w:val="006D7362"/>
    <w:rsid w:val="006E136D"/>
    <w:rsid w:val="006E1392"/>
    <w:rsid w:val="006E28A2"/>
    <w:rsid w:val="006E40D5"/>
    <w:rsid w:val="006E5B51"/>
    <w:rsid w:val="006E5FFB"/>
    <w:rsid w:val="006E66C0"/>
    <w:rsid w:val="006F098A"/>
    <w:rsid w:val="006F0C06"/>
    <w:rsid w:val="006F490F"/>
    <w:rsid w:val="006F6878"/>
    <w:rsid w:val="006F6F85"/>
    <w:rsid w:val="006F77A3"/>
    <w:rsid w:val="007003CC"/>
    <w:rsid w:val="00700877"/>
    <w:rsid w:val="00702C1F"/>
    <w:rsid w:val="00704A4D"/>
    <w:rsid w:val="00706C79"/>
    <w:rsid w:val="00706FCC"/>
    <w:rsid w:val="007110A9"/>
    <w:rsid w:val="007145F1"/>
    <w:rsid w:val="007160DB"/>
    <w:rsid w:val="00720042"/>
    <w:rsid w:val="0072081F"/>
    <w:rsid w:val="00724885"/>
    <w:rsid w:val="00724E3A"/>
    <w:rsid w:val="007321C1"/>
    <w:rsid w:val="00733ACF"/>
    <w:rsid w:val="0073540C"/>
    <w:rsid w:val="00735D7F"/>
    <w:rsid w:val="00736CB6"/>
    <w:rsid w:val="007378D3"/>
    <w:rsid w:val="00740B2E"/>
    <w:rsid w:val="00741BF1"/>
    <w:rsid w:val="007435B9"/>
    <w:rsid w:val="0075008F"/>
    <w:rsid w:val="0075444C"/>
    <w:rsid w:val="00755A73"/>
    <w:rsid w:val="00756064"/>
    <w:rsid w:val="00760E17"/>
    <w:rsid w:val="0076417D"/>
    <w:rsid w:val="007642C7"/>
    <w:rsid w:val="00764B11"/>
    <w:rsid w:val="0077082E"/>
    <w:rsid w:val="007714CA"/>
    <w:rsid w:val="00772062"/>
    <w:rsid w:val="007723BF"/>
    <w:rsid w:val="007734F9"/>
    <w:rsid w:val="00773DF3"/>
    <w:rsid w:val="007742BD"/>
    <w:rsid w:val="0077722D"/>
    <w:rsid w:val="0078132F"/>
    <w:rsid w:val="00781B53"/>
    <w:rsid w:val="00781F72"/>
    <w:rsid w:val="007838E0"/>
    <w:rsid w:val="00784548"/>
    <w:rsid w:val="007905EC"/>
    <w:rsid w:val="00791568"/>
    <w:rsid w:val="007915BD"/>
    <w:rsid w:val="00792A76"/>
    <w:rsid w:val="00792F41"/>
    <w:rsid w:val="00793CFE"/>
    <w:rsid w:val="007947BA"/>
    <w:rsid w:val="007948B4"/>
    <w:rsid w:val="007957E7"/>
    <w:rsid w:val="007A1810"/>
    <w:rsid w:val="007A1EDB"/>
    <w:rsid w:val="007A4212"/>
    <w:rsid w:val="007A43E3"/>
    <w:rsid w:val="007B22E8"/>
    <w:rsid w:val="007B2B7A"/>
    <w:rsid w:val="007B3FCD"/>
    <w:rsid w:val="007B5019"/>
    <w:rsid w:val="007B52CD"/>
    <w:rsid w:val="007B7B17"/>
    <w:rsid w:val="007C33F9"/>
    <w:rsid w:val="007C389F"/>
    <w:rsid w:val="007C4572"/>
    <w:rsid w:val="007C79FC"/>
    <w:rsid w:val="007D04CE"/>
    <w:rsid w:val="007D1C75"/>
    <w:rsid w:val="007D5356"/>
    <w:rsid w:val="007D5709"/>
    <w:rsid w:val="007D5C41"/>
    <w:rsid w:val="007D758C"/>
    <w:rsid w:val="007D7AF4"/>
    <w:rsid w:val="007D7EEC"/>
    <w:rsid w:val="007E3BEA"/>
    <w:rsid w:val="007E4B21"/>
    <w:rsid w:val="007E4D19"/>
    <w:rsid w:val="007E581E"/>
    <w:rsid w:val="007E5ED3"/>
    <w:rsid w:val="007E69D2"/>
    <w:rsid w:val="007E6E3C"/>
    <w:rsid w:val="007F03C3"/>
    <w:rsid w:val="007F062B"/>
    <w:rsid w:val="007F521C"/>
    <w:rsid w:val="007F78F3"/>
    <w:rsid w:val="00800097"/>
    <w:rsid w:val="008001F7"/>
    <w:rsid w:val="0080204D"/>
    <w:rsid w:val="00802735"/>
    <w:rsid w:val="00804229"/>
    <w:rsid w:val="008042A5"/>
    <w:rsid w:val="0080626B"/>
    <w:rsid w:val="00806295"/>
    <w:rsid w:val="00806E49"/>
    <w:rsid w:val="00811C30"/>
    <w:rsid w:val="0081457C"/>
    <w:rsid w:val="00821734"/>
    <w:rsid w:val="0082215F"/>
    <w:rsid w:val="008227FE"/>
    <w:rsid w:val="00824D63"/>
    <w:rsid w:val="00825DD7"/>
    <w:rsid w:val="0082702F"/>
    <w:rsid w:val="00827E8F"/>
    <w:rsid w:val="00830EA9"/>
    <w:rsid w:val="0083566B"/>
    <w:rsid w:val="00836581"/>
    <w:rsid w:val="00836748"/>
    <w:rsid w:val="00837A47"/>
    <w:rsid w:val="00842735"/>
    <w:rsid w:val="00843256"/>
    <w:rsid w:val="008433A5"/>
    <w:rsid w:val="00843CA8"/>
    <w:rsid w:val="00843FCC"/>
    <w:rsid w:val="00845DE9"/>
    <w:rsid w:val="00846256"/>
    <w:rsid w:val="00846B23"/>
    <w:rsid w:val="00847C33"/>
    <w:rsid w:val="008519A1"/>
    <w:rsid w:val="0085331D"/>
    <w:rsid w:val="00854513"/>
    <w:rsid w:val="00854DF5"/>
    <w:rsid w:val="008556F2"/>
    <w:rsid w:val="00855EA4"/>
    <w:rsid w:val="00856E6C"/>
    <w:rsid w:val="00857B0B"/>
    <w:rsid w:val="00861D08"/>
    <w:rsid w:val="00862C72"/>
    <w:rsid w:val="00862E1D"/>
    <w:rsid w:val="008633FF"/>
    <w:rsid w:val="008659C2"/>
    <w:rsid w:val="00873E83"/>
    <w:rsid w:val="008756EE"/>
    <w:rsid w:val="0087642E"/>
    <w:rsid w:val="00877AA1"/>
    <w:rsid w:val="0088161D"/>
    <w:rsid w:val="00882465"/>
    <w:rsid w:val="00890886"/>
    <w:rsid w:val="008916A4"/>
    <w:rsid w:val="00894837"/>
    <w:rsid w:val="00896FCC"/>
    <w:rsid w:val="008A17B5"/>
    <w:rsid w:val="008A20B1"/>
    <w:rsid w:val="008A3F1A"/>
    <w:rsid w:val="008A464C"/>
    <w:rsid w:val="008A5EAC"/>
    <w:rsid w:val="008A74AE"/>
    <w:rsid w:val="008A7C5C"/>
    <w:rsid w:val="008B0E6C"/>
    <w:rsid w:val="008B2760"/>
    <w:rsid w:val="008B3DC8"/>
    <w:rsid w:val="008B4D6C"/>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5D88"/>
    <w:rsid w:val="008D66D4"/>
    <w:rsid w:val="008D7794"/>
    <w:rsid w:val="008E0B8A"/>
    <w:rsid w:val="008E4F1F"/>
    <w:rsid w:val="008E6D8C"/>
    <w:rsid w:val="008E7D6B"/>
    <w:rsid w:val="008F0B3A"/>
    <w:rsid w:val="008F0B5B"/>
    <w:rsid w:val="008F0F5B"/>
    <w:rsid w:val="008F48B8"/>
    <w:rsid w:val="008F7730"/>
    <w:rsid w:val="00900BFA"/>
    <w:rsid w:val="00900E71"/>
    <w:rsid w:val="00900FAF"/>
    <w:rsid w:val="009021F5"/>
    <w:rsid w:val="009024C9"/>
    <w:rsid w:val="00903DD9"/>
    <w:rsid w:val="0090447A"/>
    <w:rsid w:val="00905BFB"/>
    <w:rsid w:val="009064EA"/>
    <w:rsid w:val="009066E0"/>
    <w:rsid w:val="00910C56"/>
    <w:rsid w:val="00911C93"/>
    <w:rsid w:val="00912B1E"/>
    <w:rsid w:val="0091531E"/>
    <w:rsid w:val="00915583"/>
    <w:rsid w:val="00923A8C"/>
    <w:rsid w:val="00923ACC"/>
    <w:rsid w:val="00926AFD"/>
    <w:rsid w:val="00932346"/>
    <w:rsid w:val="00932D6C"/>
    <w:rsid w:val="00934359"/>
    <w:rsid w:val="00937E14"/>
    <w:rsid w:val="00941019"/>
    <w:rsid w:val="009448C5"/>
    <w:rsid w:val="0094512F"/>
    <w:rsid w:val="00951437"/>
    <w:rsid w:val="00951FEC"/>
    <w:rsid w:val="00952576"/>
    <w:rsid w:val="009572E2"/>
    <w:rsid w:val="00964906"/>
    <w:rsid w:val="0096553E"/>
    <w:rsid w:val="00965F55"/>
    <w:rsid w:val="00966B3C"/>
    <w:rsid w:val="009701FE"/>
    <w:rsid w:val="00970943"/>
    <w:rsid w:val="00970C86"/>
    <w:rsid w:val="00971A11"/>
    <w:rsid w:val="009738CD"/>
    <w:rsid w:val="0097525F"/>
    <w:rsid w:val="009758F3"/>
    <w:rsid w:val="0097705B"/>
    <w:rsid w:val="0098237E"/>
    <w:rsid w:val="00983AEF"/>
    <w:rsid w:val="00985750"/>
    <w:rsid w:val="00986DDB"/>
    <w:rsid w:val="009870B6"/>
    <w:rsid w:val="00993750"/>
    <w:rsid w:val="00995864"/>
    <w:rsid w:val="00996944"/>
    <w:rsid w:val="00997A9A"/>
    <w:rsid w:val="009A041A"/>
    <w:rsid w:val="009A0DA6"/>
    <w:rsid w:val="009A28B5"/>
    <w:rsid w:val="009A3653"/>
    <w:rsid w:val="009A37CD"/>
    <w:rsid w:val="009A5CFA"/>
    <w:rsid w:val="009B0A14"/>
    <w:rsid w:val="009B0E63"/>
    <w:rsid w:val="009B10AB"/>
    <w:rsid w:val="009B19C6"/>
    <w:rsid w:val="009B2117"/>
    <w:rsid w:val="009C28CB"/>
    <w:rsid w:val="009C2B62"/>
    <w:rsid w:val="009C3578"/>
    <w:rsid w:val="009C3DAF"/>
    <w:rsid w:val="009D08E6"/>
    <w:rsid w:val="009D12CD"/>
    <w:rsid w:val="009D29AF"/>
    <w:rsid w:val="009D3B45"/>
    <w:rsid w:val="009D7801"/>
    <w:rsid w:val="009E2289"/>
    <w:rsid w:val="009E22EF"/>
    <w:rsid w:val="009E38B3"/>
    <w:rsid w:val="009E4369"/>
    <w:rsid w:val="009E46E8"/>
    <w:rsid w:val="009E7CA6"/>
    <w:rsid w:val="009F0DAB"/>
    <w:rsid w:val="009F2942"/>
    <w:rsid w:val="009F37FD"/>
    <w:rsid w:val="009F6433"/>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46DE0"/>
    <w:rsid w:val="00A50DAC"/>
    <w:rsid w:val="00A520BB"/>
    <w:rsid w:val="00A5224C"/>
    <w:rsid w:val="00A53C90"/>
    <w:rsid w:val="00A544DF"/>
    <w:rsid w:val="00A54C8F"/>
    <w:rsid w:val="00A54CD2"/>
    <w:rsid w:val="00A5594A"/>
    <w:rsid w:val="00A57890"/>
    <w:rsid w:val="00A6238E"/>
    <w:rsid w:val="00A63F3F"/>
    <w:rsid w:val="00A646DE"/>
    <w:rsid w:val="00A72352"/>
    <w:rsid w:val="00A73E58"/>
    <w:rsid w:val="00A74A55"/>
    <w:rsid w:val="00A76FD9"/>
    <w:rsid w:val="00A81243"/>
    <w:rsid w:val="00A845EC"/>
    <w:rsid w:val="00A852B4"/>
    <w:rsid w:val="00A90772"/>
    <w:rsid w:val="00A9295D"/>
    <w:rsid w:val="00A949A8"/>
    <w:rsid w:val="00A959B8"/>
    <w:rsid w:val="00A9628B"/>
    <w:rsid w:val="00A96390"/>
    <w:rsid w:val="00AA1513"/>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049E"/>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15305"/>
    <w:rsid w:val="00B21EB6"/>
    <w:rsid w:val="00B238B0"/>
    <w:rsid w:val="00B240CE"/>
    <w:rsid w:val="00B316A1"/>
    <w:rsid w:val="00B3589F"/>
    <w:rsid w:val="00B362C3"/>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31D0"/>
    <w:rsid w:val="00B86225"/>
    <w:rsid w:val="00B8687D"/>
    <w:rsid w:val="00B92A35"/>
    <w:rsid w:val="00B9425F"/>
    <w:rsid w:val="00B9498B"/>
    <w:rsid w:val="00B951B1"/>
    <w:rsid w:val="00B952D4"/>
    <w:rsid w:val="00B979BD"/>
    <w:rsid w:val="00B97A23"/>
    <w:rsid w:val="00B97B67"/>
    <w:rsid w:val="00BA3036"/>
    <w:rsid w:val="00BA3226"/>
    <w:rsid w:val="00BA4A84"/>
    <w:rsid w:val="00BA53B5"/>
    <w:rsid w:val="00BA6D3D"/>
    <w:rsid w:val="00BB0A71"/>
    <w:rsid w:val="00BB5C1E"/>
    <w:rsid w:val="00BB6DF6"/>
    <w:rsid w:val="00BB7AA8"/>
    <w:rsid w:val="00BC0359"/>
    <w:rsid w:val="00BC0592"/>
    <w:rsid w:val="00BC1EBF"/>
    <w:rsid w:val="00BC2E68"/>
    <w:rsid w:val="00BC44B6"/>
    <w:rsid w:val="00BC4E67"/>
    <w:rsid w:val="00BC79C0"/>
    <w:rsid w:val="00BD1D37"/>
    <w:rsid w:val="00BD21D6"/>
    <w:rsid w:val="00BD42DB"/>
    <w:rsid w:val="00BD6245"/>
    <w:rsid w:val="00BE1049"/>
    <w:rsid w:val="00BE17A9"/>
    <w:rsid w:val="00BE7C8B"/>
    <w:rsid w:val="00BF0A15"/>
    <w:rsid w:val="00BF19C4"/>
    <w:rsid w:val="00BF3544"/>
    <w:rsid w:val="00BF3BAD"/>
    <w:rsid w:val="00BF3CBD"/>
    <w:rsid w:val="00BF423A"/>
    <w:rsid w:val="00BF6AA0"/>
    <w:rsid w:val="00C02A15"/>
    <w:rsid w:val="00C02C4F"/>
    <w:rsid w:val="00C12346"/>
    <w:rsid w:val="00C16820"/>
    <w:rsid w:val="00C1747F"/>
    <w:rsid w:val="00C25BEE"/>
    <w:rsid w:val="00C26816"/>
    <w:rsid w:val="00C26F1C"/>
    <w:rsid w:val="00C35E26"/>
    <w:rsid w:val="00C361E8"/>
    <w:rsid w:val="00C36C28"/>
    <w:rsid w:val="00C3701E"/>
    <w:rsid w:val="00C44DC2"/>
    <w:rsid w:val="00C5443A"/>
    <w:rsid w:val="00C613B7"/>
    <w:rsid w:val="00C61512"/>
    <w:rsid w:val="00C61ED0"/>
    <w:rsid w:val="00C63BFD"/>
    <w:rsid w:val="00C644A6"/>
    <w:rsid w:val="00C64CE8"/>
    <w:rsid w:val="00C65520"/>
    <w:rsid w:val="00C67D1A"/>
    <w:rsid w:val="00C704B7"/>
    <w:rsid w:val="00C70CA3"/>
    <w:rsid w:val="00C71D94"/>
    <w:rsid w:val="00C73155"/>
    <w:rsid w:val="00C7447E"/>
    <w:rsid w:val="00C76852"/>
    <w:rsid w:val="00C7767B"/>
    <w:rsid w:val="00C77D9C"/>
    <w:rsid w:val="00C81D6D"/>
    <w:rsid w:val="00C81EC7"/>
    <w:rsid w:val="00C847AF"/>
    <w:rsid w:val="00C8752E"/>
    <w:rsid w:val="00C901B4"/>
    <w:rsid w:val="00C944BE"/>
    <w:rsid w:val="00C959C7"/>
    <w:rsid w:val="00CA1D40"/>
    <w:rsid w:val="00CA2595"/>
    <w:rsid w:val="00CA3052"/>
    <w:rsid w:val="00CA3130"/>
    <w:rsid w:val="00CA5649"/>
    <w:rsid w:val="00CA69F1"/>
    <w:rsid w:val="00CA6C10"/>
    <w:rsid w:val="00CB14F9"/>
    <w:rsid w:val="00CB1680"/>
    <w:rsid w:val="00CB3318"/>
    <w:rsid w:val="00CC2078"/>
    <w:rsid w:val="00CC21A7"/>
    <w:rsid w:val="00CC2812"/>
    <w:rsid w:val="00CC4C33"/>
    <w:rsid w:val="00CC5CB2"/>
    <w:rsid w:val="00CD10B1"/>
    <w:rsid w:val="00CD299A"/>
    <w:rsid w:val="00CD3EE5"/>
    <w:rsid w:val="00CD4D5D"/>
    <w:rsid w:val="00CD505B"/>
    <w:rsid w:val="00CE2942"/>
    <w:rsid w:val="00CE43E0"/>
    <w:rsid w:val="00CE650D"/>
    <w:rsid w:val="00CE7849"/>
    <w:rsid w:val="00CF09E4"/>
    <w:rsid w:val="00CF199D"/>
    <w:rsid w:val="00CF7B6A"/>
    <w:rsid w:val="00CF7DAD"/>
    <w:rsid w:val="00D01126"/>
    <w:rsid w:val="00D02587"/>
    <w:rsid w:val="00D03382"/>
    <w:rsid w:val="00D038AC"/>
    <w:rsid w:val="00D056A2"/>
    <w:rsid w:val="00D05A7D"/>
    <w:rsid w:val="00D10BD3"/>
    <w:rsid w:val="00D12A9F"/>
    <w:rsid w:val="00D178E0"/>
    <w:rsid w:val="00D20EF7"/>
    <w:rsid w:val="00D21E06"/>
    <w:rsid w:val="00D23214"/>
    <w:rsid w:val="00D243EB"/>
    <w:rsid w:val="00D32B32"/>
    <w:rsid w:val="00D336B8"/>
    <w:rsid w:val="00D353B7"/>
    <w:rsid w:val="00D37BAC"/>
    <w:rsid w:val="00D42A06"/>
    <w:rsid w:val="00D42D25"/>
    <w:rsid w:val="00D4371F"/>
    <w:rsid w:val="00D440C9"/>
    <w:rsid w:val="00D44A45"/>
    <w:rsid w:val="00D463B4"/>
    <w:rsid w:val="00D47B67"/>
    <w:rsid w:val="00D5114F"/>
    <w:rsid w:val="00D53F84"/>
    <w:rsid w:val="00D57358"/>
    <w:rsid w:val="00D62E47"/>
    <w:rsid w:val="00D70A58"/>
    <w:rsid w:val="00D71B5F"/>
    <w:rsid w:val="00D7211C"/>
    <w:rsid w:val="00D74C4C"/>
    <w:rsid w:val="00D74D97"/>
    <w:rsid w:val="00D77F6A"/>
    <w:rsid w:val="00D80252"/>
    <w:rsid w:val="00D8251C"/>
    <w:rsid w:val="00D82A24"/>
    <w:rsid w:val="00D82DB4"/>
    <w:rsid w:val="00D83B95"/>
    <w:rsid w:val="00D846CA"/>
    <w:rsid w:val="00D846F5"/>
    <w:rsid w:val="00D84A3C"/>
    <w:rsid w:val="00D92179"/>
    <w:rsid w:val="00D94567"/>
    <w:rsid w:val="00D95773"/>
    <w:rsid w:val="00D9647E"/>
    <w:rsid w:val="00DA54AA"/>
    <w:rsid w:val="00DA54F8"/>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2B5B"/>
    <w:rsid w:val="00DE3681"/>
    <w:rsid w:val="00DF1A11"/>
    <w:rsid w:val="00DF4C9B"/>
    <w:rsid w:val="00DF5C2C"/>
    <w:rsid w:val="00E00BE6"/>
    <w:rsid w:val="00E024D2"/>
    <w:rsid w:val="00E030C9"/>
    <w:rsid w:val="00E05439"/>
    <w:rsid w:val="00E05F1D"/>
    <w:rsid w:val="00E074E6"/>
    <w:rsid w:val="00E10534"/>
    <w:rsid w:val="00E13CFC"/>
    <w:rsid w:val="00E14310"/>
    <w:rsid w:val="00E14E59"/>
    <w:rsid w:val="00E16310"/>
    <w:rsid w:val="00E20D35"/>
    <w:rsid w:val="00E22084"/>
    <w:rsid w:val="00E22767"/>
    <w:rsid w:val="00E240D9"/>
    <w:rsid w:val="00E255D9"/>
    <w:rsid w:val="00E25C2D"/>
    <w:rsid w:val="00E2791D"/>
    <w:rsid w:val="00E3410E"/>
    <w:rsid w:val="00E35542"/>
    <w:rsid w:val="00E41D60"/>
    <w:rsid w:val="00E420B0"/>
    <w:rsid w:val="00E42476"/>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37AB"/>
    <w:rsid w:val="00E84FBC"/>
    <w:rsid w:val="00E8578F"/>
    <w:rsid w:val="00E876BF"/>
    <w:rsid w:val="00E90397"/>
    <w:rsid w:val="00E90BDB"/>
    <w:rsid w:val="00E90EE3"/>
    <w:rsid w:val="00E9160D"/>
    <w:rsid w:val="00E92407"/>
    <w:rsid w:val="00E927E9"/>
    <w:rsid w:val="00E9602C"/>
    <w:rsid w:val="00EA3ACD"/>
    <w:rsid w:val="00EA3CBF"/>
    <w:rsid w:val="00EA6A93"/>
    <w:rsid w:val="00EA7B8F"/>
    <w:rsid w:val="00EB1275"/>
    <w:rsid w:val="00EB26E6"/>
    <w:rsid w:val="00EB512C"/>
    <w:rsid w:val="00EB78D8"/>
    <w:rsid w:val="00EC00BC"/>
    <w:rsid w:val="00EC1B98"/>
    <w:rsid w:val="00EC212C"/>
    <w:rsid w:val="00EC3A14"/>
    <w:rsid w:val="00EC57AA"/>
    <w:rsid w:val="00EC6DAB"/>
    <w:rsid w:val="00ED08E0"/>
    <w:rsid w:val="00ED0E52"/>
    <w:rsid w:val="00ED208B"/>
    <w:rsid w:val="00ED3242"/>
    <w:rsid w:val="00ED3ECF"/>
    <w:rsid w:val="00ED6B85"/>
    <w:rsid w:val="00ED6D4F"/>
    <w:rsid w:val="00EE2602"/>
    <w:rsid w:val="00EE3490"/>
    <w:rsid w:val="00EE3CAE"/>
    <w:rsid w:val="00EE5312"/>
    <w:rsid w:val="00EE6DC8"/>
    <w:rsid w:val="00EF0368"/>
    <w:rsid w:val="00EF14C7"/>
    <w:rsid w:val="00EF5B11"/>
    <w:rsid w:val="00F000D3"/>
    <w:rsid w:val="00F015C6"/>
    <w:rsid w:val="00F072DE"/>
    <w:rsid w:val="00F07323"/>
    <w:rsid w:val="00F1005A"/>
    <w:rsid w:val="00F10E1E"/>
    <w:rsid w:val="00F1110B"/>
    <w:rsid w:val="00F16205"/>
    <w:rsid w:val="00F172D8"/>
    <w:rsid w:val="00F2043B"/>
    <w:rsid w:val="00F26236"/>
    <w:rsid w:val="00F26367"/>
    <w:rsid w:val="00F267CA"/>
    <w:rsid w:val="00F2778E"/>
    <w:rsid w:val="00F30696"/>
    <w:rsid w:val="00F31FFD"/>
    <w:rsid w:val="00F3498C"/>
    <w:rsid w:val="00F34D03"/>
    <w:rsid w:val="00F3576A"/>
    <w:rsid w:val="00F35B2B"/>
    <w:rsid w:val="00F36F55"/>
    <w:rsid w:val="00F37B26"/>
    <w:rsid w:val="00F407B7"/>
    <w:rsid w:val="00F40B47"/>
    <w:rsid w:val="00F40C92"/>
    <w:rsid w:val="00F439AD"/>
    <w:rsid w:val="00F46204"/>
    <w:rsid w:val="00F4664B"/>
    <w:rsid w:val="00F468FE"/>
    <w:rsid w:val="00F476A1"/>
    <w:rsid w:val="00F5291E"/>
    <w:rsid w:val="00F533A3"/>
    <w:rsid w:val="00F6463B"/>
    <w:rsid w:val="00F70732"/>
    <w:rsid w:val="00F718BA"/>
    <w:rsid w:val="00F722CD"/>
    <w:rsid w:val="00F7526B"/>
    <w:rsid w:val="00F75F09"/>
    <w:rsid w:val="00F80355"/>
    <w:rsid w:val="00F8366A"/>
    <w:rsid w:val="00F8387B"/>
    <w:rsid w:val="00F83B65"/>
    <w:rsid w:val="00F87597"/>
    <w:rsid w:val="00F87C51"/>
    <w:rsid w:val="00F9070D"/>
    <w:rsid w:val="00F950A3"/>
    <w:rsid w:val="00F95CB9"/>
    <w:rsid w:val="00FA0C0A"/>
    <w:rsid w:val="00FA11A4"/>
    <w:rsid w:val="00FA27DB"/>
    <w:rsid w:val="00FA361A"/>
    <w:rsid w:val="00FA5229"/>
    <w:rsid w:val="00FA5C55"/>
    <w:rsid w:val="00FA79DC"/>
    <w:rsid w:val="00FB1A3D"/>
    <w:rsid w:val="00FB2431"/>
    <w:rsid w:val="00FC0100"/>
    <w:rsid w:val="00FC0D7C"/>
    <w:rsid w:val="00FC38BB"/>
    <w:rsid w:val="00FC5D03"/>
    <w:rsid w:val="00FC7CF2"/>
    <w:rsid w:val="00FD080D"/>
    <w:rsid w:val="00FD0FBD"/>
    <w:rsid w:val="00FD330F"/>
    <w:rsid w:val="00FD4289"/>
    <w:rsid w:val="00FD6F08"/>
    <w:rsid w:val="00FE008E"/>
    <w:rsid w:val="00FE0D7E"/>
    <w:rsid w:val="00FE2F95"/>
    <w:rsid w:val="00FE4717"/>
    <w:rsid w:val="00FE7ABE"/>
    <w:rsid w:val="00FE7D76"/>
    <w:rsid w:val="00FF0818"/>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E9CE4"/>
  <w15:docId w15:val="{9459C65A-319C-4227-A772-F1ECD880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tabs>
        <w:tab w:val="clear" w:pos="1428"/>
        <w:tab w:val="num" w:pos="720"/>
      </w:tabs>
      <w:ind w:left="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94453195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uro.who.int/en/health-topics/environment-and-health/Transport-and-health/activities/guidance-and-tools/health-economic-assessment-tool-heat-for-cycling-and-walking" TargetMode="External"/><Relationship Id="rId2" Type="http://schemas.openxmlformats.org/officeDocument/2006/relationships/hyperlink" Target="https://www.gov.uk/government/publications/cycling-and-walking-the-economic-case-for-action" TargetMode="External"/><Relationship Id="rId1" Type="http://schemas.openxmlformats.org/officeDocument/2006/relationships/hyperlink" Target="https://www.gov.uk/government/uploads/system/uploads/attachment_data/file/427098/webtag-tag-unit-a5-1-active-mode-appraisal.pdf" TargetMode="External"/><Relationship Id="rId4" Type="http://schemas.openxmlformats.org/officeDocument/2006/relationships/hyperlink" Target="https://www.gov.uk/government/uploads/system/uploads/attachment_data/file/191503/policy_appraisal_and_healt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FDA7-9D40-4B0A-BDE2-A2B4F7B0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8</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18505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Jasmine Bland</cp:lastModifiedBy>
  <cp:revision>2</cp:revision>
  <cp:lastPrinted>2016-03-01T15:49:00Z</cp:lastPrinted>
  <dcterms:created xsi:type="dcterms:W3CDTF">2016-03-30T13:17:00Z</dcterms:created>
  <dcterms:modified xsi:type="dcterms:W3CDTF">2016-03-30T13:17:00Z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