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C3DD1" w14:textId="5AD33848" w:rsidR="00DC2897" w:rsidRPr="009C53CE" w:rsidRDefault="00DC2897" w:rsidP="00DC2897">
      <w:pPr>
        <w:pStyle w:val="GPSTITLES"/>
        <w:jc w:val="left"/>
        <w:rPr>
          <w:rFonts w:ascii="Arial" w:hAnsi="Arial"/>
          <w:caps w:val="0"/>
        </w:rPr>
      </w:pPr>
      <w:r w:rsidRPr="009C53CE">
        <w:rPr>
          <w:noProof/>
          <w:lang w:eastAsia="en-GB"/>
        </w:rPr>
        <w:drawing>
          <wp:inline distT="0" distB="0" distL="0" distR="0" wp14:anchorId="1FB16051" wp14:editId="40C18334">
            <wp:extent cx="1647825" cy="1371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7825" cy="1371600"/>
                    </a:xfrm>
                    <a:prstGeom prst="rect">
                      <a:avLst/>
                    </a:prstGeom>
                    <a:noFill/>
                    <a:ln>
                      <a:noFill/>
                    </a:ln>
                  </pic:spPr>
                </pic:pic>
              </a:graphicData>
            </a:graphic>
          </wp:inline>
        </w:drawing>
      </w:r>
    </w:p>
    <w:p w14:paraId="2B5C29E8" w14:textId="77777777" w:rsidR="00DC2897" w:rsidRPr="009C53CE" w:rsidRDefault="00DC2897" w:rsidP="00DC2897">
      <w:pPr>
        <w:pStyle w:val="GPSTITLES"/>
        <w:jc w:val="left"/>
        <w:rPr>
          <w:rFonts w:ascii="Arial" w:hAnsi="Arial"/>
          <w:caps w:val="0"/>
        </w:rPr>
      </w:pPr>
    </w:p>
    <w:p w14:paraId="46ACD9EB" w14:textId="77777777" w:rsidR="00A55A36" w:rsidRPr="00A55A36" w:rsidRDefault="00A55A36" w:rsidP="00AF1535">
      <w:pPr>
        <w:ind w:left="142"/>
        <w:jc w:val="center"/>
        <w:rPr>
          <w:b/>
          <w:sz w:val="32"/>
          <w:szCs w:val="32"/>
        </w:rPr>
      </w:pPr>
    </w:p>
    <w:p w14:paraId="407558AF" w14:textId="77777777" w:rsidR="00A55A36" w:rsidRDefault="00A55A36" w:rsidP="00AF1535">
      <w:pPr>
        <w:ind w:left="142"/>
        <w:jc w:val="center"/>
        <w:rPr>
          <w:b/>
          <w:sz w:val="32"/>
          <w:szCs w:val="32"/>
        </w:rPr>
      </w:pPr>
      <w:r w:rsidRPr="00A55A36">
        <w:rPr>
          <w:b/>
          <w:sz w:val="32"/>
          <w:szCs w:val="32"/>
        </w:rPr>
        <w:t>PROVISION OF END-TO-END SUPPLY CHAIN AND PUBLIC HEALTH AND CLINICAL OVERSIGHT TEAMS WITHIN TESTING OPERATIONS</w:t>
      </w:r>
    </w:p>
    <w:p w14:paraId="003CCF73" w14:textId="211BBED9" w:rsidR="00DC2897" w:rsidRPr="009C53CE" w:rsidRDefault="00DC2897" w:rsidP="00AF1535">
      <w:pPr>
        <w:ind w:left="142"/>
        <w:jc w:val="center"/>
        <w:rPr>
          <w:b/>
          <w:sz w:val="32"/>
          <w:szCs w:val="32"/>
        </w:rPr>
      </w:pPr>
      <w:r w:rsidRPr="009C53CE">
        <w:rPr>
          <w:b/>
          <w:sz w:val="32"/>
          <w:szCs w:val="32"/>
        </w:rPr>
        <w:t>T</w:t>
      </w:r>
      <w:r w:rsidR="009C53CE" w:rsidRPr="009C53CE">
        <w:rPr>
          <w:b/>
          <w:sz w:val="32"/>
          <w:szCs w:val="32"/>
        </w:rPr>
        <w:t>O</w:t>
      </w:r>
    </w:p>
    <w:p w14:paraId="37EF27A6" w14:textId="052F08FC" w:rsidR="00DC2897" w:rsidRPr="009C53CE" w:rsidRDefault="009C53CE" w:rsidP="00AF1535">
      <w:pPr>
        <w:ind w:left="142"/>
        <w:jc w:val="center"/>
        <w:rPr>
          <w:b/>
          <w:sz w:val="32"/>
          <w:szCs w:val="32"/>
        </w:rPr>
      </w:pPr>
      <w:r w:rsidRPr="009C53CE">
        <w:rPr>
          <w:b/>
          <w:sz w:val="32"/>
          <w:szCs w:val="32"/>
        </w:rPr>
        <w:t>DEPARTMENT OF HEALTH AND SOCIAL CARE</w:t>
      </w:r>
    </w:p>
    <w:p w14:paraId="6CD0DFF9" w14:textId="77777777" w:rsidR="00DC2897" w:rsidRPr="009C53CE" w:rsidRDefault="00DC2897" w:rsidP="00AF1535">
      <w:pPr>
        <w:ind w:left="142"/>
        <w:jc w:val="center"/>
        <w:rPr>
          <w:b/>
          <w:sz w:val="32"/>
          <w:szCs w:val="32"/>
        </w:rPr>
      </w:pPr>
    </w:p>
    <w:p w14:paraId="242D456D" w14:textId="5031D497" w:rsidR="00DC2897" w:rsidRPr="009C53CE" w:rsidRDefault="009C53CE" w:rsidP="00AF1535">
      <w:pPr>
        <w:ind w:left="142"/>
        <w:jc w:val="center"/>
        <w:rPr>
          <w:b/>
          <w:sz w:val="32"/>
          <w:szCs w:val="32"/>
        </w:rPr>
      </w:pPr>
      <w:r w:rsidRPr="009C53CE">
        <w:rPr>
          <w:b/>
          <w:sz w:val="32"/>
          <w:szCs w:val="32"/>
        </w:rPr>
        <w:t>FROM</w:t>
      </w:r>
    </w:p>
    <w:p w14:paraId="77CD24B6" w14:textId="77777777" w:rsidR="00DC2897" w:rsidRPr="009C53CE" w:rsidRDefault="00DC2897" w:rsidP="00AF1535">
      <w:pPr>
        <w:ind w:left="142"/>
        <w:rPr>
          <w:b/>
          <w:sz w:val="32"/>
          <w:szCs w:val="32"/>
        </w:rPr>
      </w:pPr>
      <w:r w:rsidRPr="009C53CE">
        <w:rPr>
          <w:b/>
          <w:sz w:val="32"/>
          <w:szCs w:val="32"/>
        </w:rPr>
        <w:t xml:space="preserve">           </w:t>
      </w:r>
    </w:p>
    <w:p w14:paraId="14064A37" w14:textId="0D55ED9D" w:rsidR="00DC2897" w:rsidRPr="009C53CE" w:rsidRDefault="00A55A36" w:rsidP="00AF1535">
      <w:pPr>
        <w:ind w:left="142"/>
        <w:jc w:val="center"/>
        <w:rPr>
          <w:b/>
          <w:sz w:val="32"/>
          <w:szCs w:val="32"/>
        </w:rPr>
      </w:pPr>
      <w:r>
        <w:rPr>
          <w:b/>
          <w:sz w:val="32"/>
          <w:szCs w:val="32"/>
        </w:rPr>
        <w:t>OILIVER WYMAN</w:t>
      </w:r>
      <w:r w:rsidR="009C53CE" w:rsidRPr="009C53CE">
        <w:rPr>
          <w:b/>
          <w:sz w:val="32"/>
          <w:szCs w:val="32"/>
        </w:rPr>
        <w:t xml:space="preserve"> </w:t>
      </w:r>
      <w:r w:rsidR="009E4EED">
        <w:rPr>
          <w:b/>
          <w:sz w:val="32"/>
          <w:szCs w:val="32"/>
        </w:rPr>
        <w:t>LIMITED</w:t>
      </w:r>
    </w:p>
    <w:p w14:paraId="5059C944" w14:textId="77777777" w:rsidR="00DC2897" w:rsidRPr="009C53CE" w:rsidRDefault="00DC2897" w:rsidP="00AF1535">
      <w:pPr>
        <w:ind w:left="142"/>
        <w:jc w:val="center"/>
        <w:rPr>
          <w:b/>
          <w:sz w:val="32"/>
          <w:szCs w:val="32"/>
        </w:rPr>
      </w:pPr>
    </w:p>
    <w:p w14:paraId="1F8B12C4" w14:textId="60ECCD09" w:rsidR="00DC2897" w:rsidRPr="00AF1535" w:rsidRDefault="00DC2897" w:rsidP="00AF1535">
      <w:pPr>
        <w:ind w:left="142"/>
        <w:jc w:val="center"/>
        <w:rPr>
          <w:rFonts w:ascii="Arial Bold" w:hAnsi="Arial Bold"/>
          <w:b/>
          <w:caps/>
          <w:sz w:val="32"/>
          <w:szCs w:val="32"/>
          <w:highlight w:val="white"/>
        </w:rPr>
      </w:pPr>
      <w:r w:rsidRPr="00AF1535">
        <w:rPr>
          <w:rFonts w:ascii="Arial Bold" w:hAnsi="Arial Bold"/>
          <w:b/>
          <w:caps/>
          <w:sz w:val="32"/>
          <w:szCs w:val="32"/>
        </w:rPr>
        <w:t>Contract Reference:</w:t>
      </w:r>
      <w:r w:rsidR="009C53CE" w:rsidRPr="00AF1535">
        <w:rPr>
          <w:rFonts w:ascii="Arial Bold" w:hAnsi="Arial Bold"/>
          <w:caps/>
        </w:rPr>
        <w:t xml:space="preserve"> </w:t>
      </w:r>
      <w:r w:rsidR="009C53CE" w:rsidRPr="00AF1535">
        <w:rPr>
          <w:rFonts w:ascii="Arial Bold" w:hAnsi="Arial Bold"/>
          <w:b/>
          <w:caps/>
          <w:sz w:val="32"/>
          <w:szCs w:val="32"/>
        </w:rPr>
        <w:t>CCCC21A4</w:t>
      </w:r>
      <w:r w:rsidR="00A55A36" w:rsidRPr="00AF1535">
        <w:rPr>
          <w:rFonts w:ascii="Arial Bold" w:hAnsi="Arial Bold"/>
          <w:b/>
          <w:caps/>
          <w:sz w:val="32"/>
          <w:szCs w:val="32"/>
        </w:rPr>
        <w:t>7</w:t>
      </w:r>
    </w:p>
    <w:p w14:paraId="6DD6B529" w14:textId="073509C6" w:rsidR="001A5332" w:rsidRPr="009C53CE" w:rsidRDefault="00DC2897" w:rsidP="009C53CE">
      <w:pPr>
        <w:ind w:left="0"/>
        <w:jc w:val="center"/>
        <w:rPr>
          <w:rFonts w:ascii="Segoe UI" w:hAnsi="Segoe UI" w:cs="Segoe UI"/>
          <w:sz w:val="18"/>
          <w:szCs w:val="18"/>
          <w:lang w:eastAsia="en-GB"/>
        </w:rPr>
      </w:pPr>
      <w:bookmarkStart w:id="0" w:name="_GoBack"/>
      <w:bookmarkEnd w:id="0"/>
      <w:r w:rsidRPr="009C53CE">
        <w:rPr>
          <w:caps/>
        </w:rPr>
        <w:br w:type="page"/>
      </w:r>
    </w:p>
    <w:p w14:paraId="029AB8F6" w14:textId="77777777" w:rsidR="00DC2897" w:rsidRPr="009C53CE" w:rsidRDefault="00DC2897">
      <w:pPr>
        <w:overflowPunct/>
        <w:autoSpaceDE/>
        <w:autoSpaceDN/>
        <w:adjustRightInd/>
        <w:spacing w:after="0"/>
        <w:ind w:left="0"/>
        <w:jc w:val="left"/>
        <w:textAlignment w:val="auto"/>
        <w:rPr>
          <w:b/>
        </w:rPr>
      </w:pPr>
    </w:p>
    <w:p w14:paraId="15AC43A5" w14:textId="7FA57AB9" w:rsidR="004E05DC" w:rsidRPr="009C53CE" w:rsidRDefault="00F770DB">
      <w:pPr>
        <w:pStyle w:val="GPSTITLES"/>
        <w:rPr>
          <w:rFonts w:ascii="Arial" w:hAnsi="Arial"/>
        </w:rPr>
      </w:pPr>
      <w:r w:rsidRPr="009C53CE">
        <w:rPr>
          <w:rFonts w:ascii="Arial" w:hAnsi="Arial"/>
          <w:caps w:val="0"/>
        </w:rPr>
        <w:t>Crown Commercial Service</w:t>
      </w:r>
    </w:p>
    <w:p w14:paraId="0CABD6EE" w14:textId="77777777" w:rsidR="004E05DC" w:rsidRPr="009C53CE" w:rsidRDefault="00F770DB">
      <w:pPr>
        <w:pStyle w:val="MarginText"/>
        <w:ind w:left="0"/>
        <w:jc w:val="center"/>
        <w:rPr>
          <w:rFonts w:cs="Arial"/>
          <w:b/>
          <w:sz w:val="22"/>
          <w:szCs w:val="22"/>
        </w:rPr>
      </w:pPr>
      <w:r w:rsidRPr="009C53CE">
        <w:rPr>
          <w:rFonts w:cs="Arial"/>
          <w:b/>
          <w:sz w:val="22"/>
          <w:szCs w:val="22"/>
        </w:rPr>
        <w:t>_________________________________________________________________________</w:t>
      </w:r>
    </w:p>
    <w:p w14:paraId="37610E9A" w14:textId="519FB1D7" w:rsidR="004E05DC" w:rsidRPr="009C53CE" w:rsidRDefault="00F770DB">
      <w:pPr>
        <w:pStyle w:val="GPSTITLES"/>
        <w:spacing w:before="240" w:after="120"/>
        <w:rPr>
          <w:rFonts w:ascii="Arial" w:hAnsi="Arial"/>
        </w:rPr>
      </w:pPr>
      <w:r w:rsidRPr="009C53CE">
        <w:rPr>
          <w:rFonts w:ascii="Arial" w:hAnsi="Arial"/>
          <w:caps w:val="0"/>
        </w:rPr>
        <w:t>Call Off Order Form for Management Consultancy Services</w:t>
      </w:r>
    </w:p>
    <w:p w14:paraId="2179EEE2" w14:textId="77777777" w:rsidR="004E05DC" w:rsidRPr="009C53CE" w:rsidRDefault="00F770DB">
      <w:pPr>
        <w:pStyle w:val="MarginText"/>
        <w:ind w:left="0"/>
        <w:jc w:val="center"/>
        <w:rPr>
          <w:rFonts w:cs="Arial"/>
          <w:b/>
          <w:sz w:val="22"/>
          <w:szCs w:val="22"/>
        </w:rPr>
      </w:pPr>
      <w:r w:rsidRPr="009C53CE">
        <w:rPr>
          <w:rFonts w:cs="Arial"/>
          <w:b/>
          <w:sz w:val="22"/>
          <w:szCs w:val="22"/>
        </w:rPr>
        <w:t>_________________________________________________________________________</w:t>
      </w:r>
    </w:p>
    <w:p w14:paraId="44A68332" w14:textId="5910D7EB" w:rsidR="004E05DC" w:rsidRPr="009C53CE" w:rsidRDefault="004E05DC">
      <w:pPr>
        <w:pStyle w:val="GPSmacrorestart"/>
        <w:rPr>
          <w:b/>
          <w:color w:val="auto"/>
          <w:sz w:val="22"/>
          <w:szCs w:val="22"/>
          <w:highlight w:val="cyan"/>
        </w:rPr>
      </w:pPr>
    </w:p>
    <w:p w14:paraId="4303EDF4" w14:textId="77777777" w:rsidR="004E05DC" w:rsidRPr="009C53CE" w:rsidRDefault="00F770DB">
      <w:pPr>
        <w:pStyle w:val="GPSmacrorestart"/>
        <w:rPr>
          <w:color w:val="auto"/>
          <w:sz w:val="22"/>
          <w:szCs w:val="22"/>
          <w:lang w:eastAsia="en-GB"/>
        </w:rPr>
      </w:pPr>
      <w:r w:rsidRPr="009C53CE">
        <w:rPr>
          <w:b/>
          <w:color w:val="auto"/>
          <w:sz w:val="22"/>
          <w:szCs w:val="22"/>
          <w:highlight w:val="cyan"/>
        </w:rPr>
        <w:br w:type="page"/>
      </w:r>
    </w:p>
    <w:p w14:paraId="08CC8CD9" w14:textId="77777777" w:rsidR="004E05DC" w:rsidRPr="009C53CE" w:rsidRDefault="00F770DB">
      <w:pPr>
        <w:pStyle w:val="MarginText"/>
        <w:ind w:left="0"/>
        <w:jc w:val="center"/>
        <w:rPr>
          <w:rFonts w:cs="Arial"/>
          <w:b/>
          <w:sz w:val="22"/>
          <w:szCs w:val="22"/>
          <w:u w:val="single"/>
        </w:rPr>
      </w:pPr>
      <w:r w:rsidRPr="009C53CE">
        <w:rPr>
          <w:rFonts w:cs="Arial"/>
          <w:b/>
          <w:sz w:val="22"/>
          <w:szCs w:val="22"/>
          <w:u w:val="single"/>
        </w:rPr>
        <w:lastRenderedPageBreak/>
        <w:t>FRAMEWORK SCHEDULE 4</w:t>
      </w:r>
    </w:p>
    <w:p w14:paraId="4F5C4B3A" w14:textId="36A49494" w:rsidR="004E05DC" w:rsidRPr="009C53CE" w:rsidRDefault="00F770DB">
      <w:pPr>
        <w:pStyle w:val="GPSTITLES"/>
        <w:rPr>
          <w:rFonts w:ascii="Arial" w:hAnsi="Arial"/>
        </w:rPr>
      </w:pPr>
      <w:r w:rsidRPr="009C53CE">
        <w:rPr>
          <w:rFonts w:ascii="Arial" w:hAnsi="Arial"/>
        </w:rPr>
        <w:t>PART 1 – CALL OFF ORDER FORM</w:t>
      </w:r>
    </w:p>
    <w:p w14:paraId="25AFA819" w14:textId="77777777" w:rsidR="004E05DC" w:rsidRPr="009C53CE" w:rsidRDefault="00F770DB">
      <w:pPr>
        <w:pStyle w:val="ORDERFORML1SECTIONTITLE"/>
        <w:spacing w:before="0" w:after="0"/>
        <w:rPr>
          <w:rFonts w:cs="Arial"/>
          <w:color w:val="auto"/>
        </w:rPr>
      </w:pPr>
      <w:r w:rsidRPr="009C53CE">
        <w:rPr>
          <w:rFonts w:cs="Arial"/>
          <w:color w:val="auto"/>
        </w:rPr>
        <w:t>SECTION A</w:t>
      </w:r>
    </w:p>
    <w:p w14:paraId="5ED09D9F" w14:textId="77777777" w:rsidR="004E05DC" w:rsidRPr="009C53CE" w:rsidRDefault="004E05DC">
      <w:pPr>
        <w:pStyle w:val="ORDERFORML1SECTIONTITLE"/>
        <w:spacing w:before="0" w:after="0"/>
        <w:rPr>
          <w:rFonts w:cs="Arial"/>
          <w:color w:val="auto"/>
        </w:rPr>
      </w:pPr>
    </w:p>
    <w:p w14:paraId="043BD51A" w14:textId="7865D695" w:rsidR="004E05DC" w:rsidRPr="009C53CE" w:rsidRDefault="00F770DB">
      <w:pPr>
        <w:spacing w:after="0"/>
        <w:ind w:left="0"/>
      </w:pPr>
      <w:r w:rsidRPr="009C53CE">
        <w:t>This Call Off Order Form is issued in accordance with the provisions of the Framework Agreement</w:t>
      </w:r>
      <w:r w:rsidRPr="009C53CE">
        <w:rPr>
          <w:rStyle w:val="FootnoteReference"/>
          <w:b/>
        </w:rPr>
        <w:t xml:space="preserve"> </w:t>
      </w:r>
      <w:r w:rsidRPr="009C53CE">
        <w:t xml:space="preserve">for the provision of </w:t>
      </w:r>
      <w:r w:rsidR="00F02150" w:rsidRPr="009C53CE">
        <w:t>Complex &amp; Transformation Consultancy Services</w:t>
      </w:r>
      <w:r w:rsidR="00B02A10" w:rsidRPr="009C53CE">
        <w:t xml:space="preserve"> dated </w:t>
      </w:r>
      <w:r w:rsidR="00B02A10" w:rsidRPr="009C53CE">
        <w:rPr>
          <w:b/>
        </w:rPr>
        <w:t>04 September 2018</w:t>
      </w:r>
      <w:r w:rsidRPr="009C53CE">
        <w:t xml:space="preserve">. </w:t>
      </w:r>
    </w:p>
    <w:p w14:paraId="066AEEFC" w14:textId="77777777" w:rsidR="004E05DC" w:rsidRPr="009C53CE" w:rsidRDefault="004E05DC">
      <w:pPr>
        <w:spacing w:after="0"/>
        <w:ind w:left="0"/>
      </w:pPr>
    </w:p>
    <w:p w14:paraId="6D1B99BD" w14:textId="3F30A31C" w:rsidR="004E05DC" w:rsidRPr="009C53CE" w:rsidRDefault="00F770DB">
      <w:pPr>
        <w:spacing w:after="0"/>
        <w:ind w:left="0"/>
      </w:pPr>
      <w:r w:rsidRPr="009C53CE">
        <w:t>The Supplier agrees to supply the</w:t>
      </w:r>
      <w:r w:rsidR="00D66440" w:rsidRPr="009C53CE">
        <w:t xml:space="preserve"> </w:t>
      </w:r>
      <w:r w:rsidRPr="009C53CE">
        <w:t xml:space="preserve">Services specified below on and subject to the terms of this Call Off Contract. </w:t>
      </w:r>
    </w:p>
    <w:p w14:paraId="56E5E2FE" w14:textId="77777777" w:rsidR="004E05DC" w:rsidRPr="009C53CE" w:rsidRDefault="004E05DC">
      <w:pPr>
        <w:spacing w:after="0"/>
        <w:ind w:left="0"/>
      </w:pPr>
    </w:p>
    <w:p w14:paraId="4C420383" w14:textId="04E8296A" w:rsidR="004E05DC" w:rsidRPr="009C53CE" w:rsidRDefault="00F770DB">
      <w:pPr>
        <w:spacing w:after="0"/>
        <w:ind w:left="0"/>
      </w:pPr>
      <w:r w:rsidRPr="009C53CE">
        <w:t xml:space="preserve">For the avoidance of doubt this Call Off Contract consists of the terms set out in this </w:t>
      </w:r>
      <w:r w:rsidR="00D66440" w:rsidRPr="009C53CE">
        <w:t xml:space="preserve">Template </w:t>
      </w:r>
      <w:r w:rsidRPr="009C53CE">
        <w:t>Call Off Order Form and the Call Off Terms.</w:t>
      </w:r>
    </w:p>
    <w:p w14:paraId="1B8D9F3F" w14:textId="77777777" w:rsidR="004E05DC" w:rsidRPr="009C53CE" w:rsidRDefault="004E05DC">
      <w:pPr>
        <w:spacing w:after="0"/>
        <w:ind w:left="0"/>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088"/>
      </w:tblGrid>
      <w:tr w:rsidR="009C53CE" w:rsidRPr="009C53CE" w14:paraId="5702F89A" w14:textId="77777777" w:rsidTr="00662BAE">
        <w:tc>
          <w:tcPr>
            <w:tcW w:w="1730" w:type="dxa"/>
            <w:shd w:val="clear" w:color="auto" w:fill="auto"/>
          </w:tcPr>
          <w:p w14:paraId="2322E185" w14:textId="77777777" w:rsidR="00C24592" w:rsidRPr="009C53CE" w:rsidRDefault="00C24592">
            <w:pPr>
              <w:spacing w:after="0"/>
              <w:ind w:left="0"/>
              <w:jc w:val="left"/>
            </w:pPr>
            <w:r w:rsidRPr="009C53CE">
              <w:t>Order Number</w:t>
            </w:r>
          </w:p>
        </w:tc>
        <w:tc>
          <w:tcPr>
            <w:tcW w:w="7088" w:type="dxa"/>
            <w:shd w:val="clear" w:color="auto" w:fill="auto"/>
          </w:tcPr>
          <w:p w14:paraId="3509BE8B" w14:textId="77777777" w:rsidR="00C24592" w:rsidRPr="009C53CE" w:rsidRDefault="00C24592">
            <w:pPr>
              <w:spacing w:after="0"/>
              <w:ind w:left="0"/>
              <w:jc w:val="left"/>
              <w:rPr>
                <w:bCs/>
              </w:rPr>
            </w:pPr>
            <w:r w:rsidRPr="009C53CE">
              <w:rPr>
                <w:bCs/>
              </w:rPr>
              <w:t>To be confirmed, following Contract Award</w:t>
            </w:r>
          </w:p>
          <w:p w14:paraId="0C32768C" w14:textId="5515812F" w:rsidR="00B86992" w:rsidRPr="009C53CE" w:rsidRDefault="00B86992">
            <w:pPr>
              <w:spacing w:after="0"/>
              <w:ind w:left="0"/>
              <w:jc w:val="left"/>
              <w:rPr>
                <w:bCs/>
              </w:rPr>
            </w:pPr>
          </w:p>
        </w:tc>
      </w:tr>
      <w:tr w:rsidR="009C53CE" w:rsidRPr="009C53CE" w14:paraId="403BB9AF" w14:textId="77777777" w:rsidTr="00662BAE">
        <w:trPr>
          <w:trHeight w:val="1675"/>
        </w:trPr>
        <w:tc>
          <w:tcPr>
            <w:tcW w:w="1730" w:type="dxa"/>
            <w:shd w:val="clear" w:color="auto" w:fill="auto"/>
          </w:tcPr>
          <w:p w14:paraId="2807FDD8" w14:textId="77777777" w:rsidR="00C24592" w:rsidRPr="009C53CE" w:rsidRDefault="00C24592">
            <w:pPr>
              <w:spacing w:after="0"/>
              <w:ind w:left="0"/>
              <w:jc w:val="left"/>
            </w:pPr>
            <w:r w:rsidRPr="009C53CE">
              <w:t>From</w:t>
            </w:r>
          </w:p>
        </w:tc>
        <w:tc>
          <w:tcPr>
            <w:tcW w:w="7088" w:type="dxa"/>
            <w:shd w:val="clear" w:color="auto" w:fill="auto"/>
          </w:tcPr>
          <w:p w14:paraId="044A0F1A" w14:textId="33D68C18" w:rsidR="00C24592" w:rsidRDefault="00C24592">
            <w:pPr>
              <w:spacing w:after="0"/>
              <w:ind w:left="0"/>
              <w:jc w:val="left"/>
              <w:rPr>
                <w:bCs/>
              </w:rPr>
            </w:pPr>
            <w:r w:rsidRPr="009C53CE">
              <w:rPr>
                <w:bCs/>
              </w:rPr>
              <w:t xml:space="preserve">Secretary of State for Health and Social Care acting as part of the Crown through the Department of Health &amp; Social Care of 39 Victoria </w:t>
            </w:r>
            <w:r w:rsidR="009F480B" w:rsidRPr="009C53CE">
              <w:rPr>
                <w:bCs/>
              </w:rPr>
              <w:t>Street</w:t>
            </w:r>
            <w:r w:rsidRPr="009C53CE">
              <w:rPr>
                <w:bCs/>
              </w:rPr>
              <w:t>, London, SW1H 0EU</w:t>
            </w:r>
          </w:p>
          <w:p w14:paraId="48C939CE" w14:textId="77777777" w:rsidR="00770284" w:rsidRPr="00BD5256" w:rsidRDefault="00770284">
            <w:pPr>
              <w:spacing w:after="0"/>
              <w:ind w:left="0"/>
              <w:jc w:val="left"/>
              <w:rPr>
                <w:bCs/>
              </w:rPr>
            </w:pPr>
          </w:p>
          <w:p w14:paraId="4535A448" w14:textId="3553B3A4" w:rsidR="000731CD" w:rsidRPr="009C53CE" w:rsidRDefault="00C24592">
            <w:pPr>
              <w:spacing w:after="0"/>
              <w:ind w:left="0"/>
              <w:jc w:val="left"/>
              <w:rPr>
                <w:b/>
              </w:rPr>
            </w:pPr>
            <w:r w:rsidRPr="009C53CE">
              <w:rPr>
                <w:b/>
              </w:rPr>
              <w:t>("CUSTOMER")</w:t>
            </w:r>
          </w:p>
        </w:tc>
      </w:tr>
      <w:tr w:rsidR="009C53CE" w:rsidRPr="009C53CE" w14:paraId="7BD8D56C" w14:textId="77777777" w:rsidTr="00662BAE">
        <w:tc>
          <w:tcPr>
            <w:tcW w:w="1730" w:type="dxa"/>
            <w:shd w:val="clear" w:color="auto" w:fill="auto"/>
          </w:tcPr>
          <w:p w14:paraId="4E4F3801" w14:textId="77777777" w:rsidR="00C24592" w:rsidRPr="009C53CE" w:rsidRDefault="00C24592">
            <w:pPr>
              <w:spacing w:after="0"/>
              <w:ind w:left="0"/>
              <w:jc w:val="left"/>
            </w:pPr>
            <w:r w:rsidRPr="009C53CE">
              <w:t>To</w:t>
            </w:r>
          </w:p>
        </w:tc>
        <w:tc>
          <w:tcPr>
            <w:tcW w:w="7088" w:type="dxa"/>
            <w:shd w:val="clear" w:color="auto" w:fill="auto"/>
          </w:tcPr>
          <w:p w14:paraId="50245880" w14:textId="3C7BB496" w:rsidR="00C24592" w:rsidRDefault="00A55A36">
            <w:pPr>
              <w:spacing w:after="0"/>
              <w:ind w:left="0"/>
              <w:jc w:val="left"/>
            </w:pPr>
            <w:bookmarkStart w:id="1" w:name="_Hlk66785333"/>
            <w:r>
              <w:t>Oliver Wyman Limited</w:t>
            </w:r>
          </w:p>
          <w:p w14:paraId="55CADCBA" w14:textId="77777777" w:rsidR="00A55A36" w:rsidRDefault="00A55A36">
            <w:pPr>
              <w:spacing w:after="0"/>
              <w:ind w:left="0"/>
              <w:jc w:val="left"/>
            </w:pPr>
            <w:r w:rsidRPr="00A55A36">
              <w:t xml:space="preserve">1 Tower Place West, </w:t>
            </w:r>
          </w:p>
          <w:p w14:paraId="4C9CD5F3" w14:textId="77777777" w:rsidR="00A55A36" w:rsidRDefault="00A55A36">
            <w:pPr>
              <w:spacing w:after="0"/>
              <w:ind w:left="0"/>
              <w:jc w:val="left"/>
            </w:pPr>
            <w:r w:rsidRPr="00A55A36">
              <w:t xml:space="preserve">Tower Place, </w:t>
            </w:r>
          </w:p>
          <w:p w14:paraId="27B27EBA" w14:textId="77777777" w:rsidR="00A55A36" w:rsidRDefault="00A55A36">
            <w:pPr>
              <w:spacing w:after="0"/>
              <w:ind w:left="0"/>
              <w:jc w:val="left"/>
            </w:pPr>
            <w:r w:rsidRPr="00A55A36">
              <w:t xml:space="preserve">London, </w:t>
            </w:r>
          </w:p>
          <w:p w14:paraId="70CBA2E6" w14:textId="37C8A6C4" w:rsidR="00A55A36" w:rsidRPr="00BD5256" w:rsidRDefault="00A55A36">
            <w:pPr>
              <w:spacing w:after="0"/>
              <w:ind w:left="0"/>
              <w:jc w:val="left"/>
              <w:rPr>
                <w:highlight w:val="green"/>
              </w:rPr>
            </w:pPr>
            <w:r w:rsidRPr="00A55A36">
              <w:t>EC3R 5BU</w:t>
            </w:r>
          </w:p>
          <w:bookmarkEnd w:id="1"/>
          <w:p w14:paraId="2B92E546" w14:textId="77777777" w:rsidR="009C53CE" w:rsidRPr="009C53CE" w:rsidRDefault="009C53CE">
            <w:pPr>
              <w:spacing w:after="0"/>
              <w:ind w:left="0"/>
              <w:jc w:val="left"/>
              <w:rPr>
                <w:b/>
              </w:rPr>
            </w:pPr>
          </w:p>
          <w:p w14:paraId="0458B010" w14:textId="77777777" w:rsidR="00C24592" w:rsidRPr="009C53CE" w:rsidRDefault="00C24592">
            <w:pPr>
              <w:spacing w:after="0"/>
              <w:ind w:left="0"/>
              <w:jc w:val="left"/>
              <w:rPr>
                <w:b/>
              </w:rPr>
            </w:pPr>
            <w:r w:rsidRPr="009C53CE">
              <w:rPr>
                <w:b/>
              </w:rPr>
              <w:t>("SUPPLIER")</w:t>
            </w:r>
          </w:p>
          <w:p w14:paraId="1D64140C" w14:textId="308673A5" w:rsidR="000731CD" w:rsidRPr="009C53CE" w:rsidRDefault="000731CD">
            <w:pPr>
              <w:spacing w:after="0"/>
              <w:ind w:left="0"/>
              <w:jc w:val="left"/>
              <w:rPr>
                <w:b/>
              </w:rPr>
            </w:pPr>
          </w:p>
        </w:tc>
      </w:tr>
      <w:tr w:rsidR="00C24592" w:rsidRPr="009C53CE" w14:paraId="4CE953D5" w14:textId="77777777" w:rsidTr="00662BAE">
        <w:tc>
          <w:tcPr>
            <w:tcW w:w="1730" w:type="dxa"/>
            <w:shd w:val="clear" w:color="auto" w:fill="auto"/>
          </w:tcPr>
          <w:p w14:paraId="6BDC539F" w14:textId="13BD171B" w:rsidR="00C24592" w:rsidRPr="009C53CE" w:rsidRDefault="00C24592">
            <w:pPr>
              <w:spacing w:after="0"/>
              <w:ind w:left="0"/>
              <w:jc w:val="left"/>
            </w:pPr>
            <w:r w:rsidRPr="009C53CE">
              <w:t xml:space="preserve">Date </w:t>
            </w:r>
          </w:p>
        </w:tc>
        <w:tc>
          <w:tcPr>
            <w:tcW w:w="7088" w:type="dxa"/>
            <w:shd w:val="clear" w:color="auto" w:fill="auto"/>
          </w:tcPr>
          <w:p w14:paraId="39830888" w14:textId="7660C9A5" w:rsidR="00C24592" w:rsidRPr="00BD5256" w:rsidRDefault="009C53CE" w:rsidP="00B02A10">
            <w:pPr>
              <w:spacing w:after="0"/>
              <w:ind w:left="0"/>
              <w:jc w:val="left"/>
            </w:pPr>
            <w:r w:rsidRPr="00BD5256">
              <w:t>1</w:t>
            </w:r>
            <w:r w:rsidR="00A55A36">
              <w:t>7</w:t>
            </w:r>
            <w:r w:rsidRPr="00BD5256">
              <w:rPr>
                <w:vertAlign w:val="superscript"/>
              </w:rPr>
              <w:t>th</w:t>
            </w:r>
            <w:r w:rsidRPr="00BD5256">
              <w:t xml:space="preserve"> March 2021</w:t>
            </w:r>
          </w:p>
          <w:p w14:paraId="1B3066A4" w14:textId="77777777" w:rsidR="00C24592" w:rsidRPr="009C53CE" w:rsidRDefault="00C24592" w:rsidP="00B02A10">
            <w:pPr>
              <w:spacing w:after="0"/>
              <w:ind w:left="0"/>
              <w:jc w:val="left"/>
              <w:rPr>
                <w:b/>
              </w:rPr>
            </w:pPr>
          </w:p>
          <w:p w14:paraId="7E80E23C" w14:textId="366CA2BF" w:rsidR="00C24592" w:rsidRPr="009C53CE" w:rsidRDefault="00C24592" w:rsidP="00B02A10">
            <w:pPr>
              <w:spacing w:after="0"/>
              <w:ind w:left="0"/>
              <w:jc w:val="left"/>
              <w:rPr>
                <w:b/>
                <w:highlight w:val="yellow"/>
              </w:rPr>
            </w:pPr>
            <w:r w:rsidRPr="009C53CE">
              <w:rPr>
                <w:b/>
              </w:rPr>
              <w:t>("DATE")</w:t>
            </w:r>
          </w:p>
        </w:tc>
      </w:tr>
    </w:tbl>
    <w:p w14:paraId="48809AA0" w14:textId="77777777" w:rsidR="004E05DC" w:rsidRPr="009C53CE" w:rsidRDefault="004E05DC">
      <w:pPr>
        <w:spacing w:after="0"/>
        <w:ind w:left="0"/>
      </w:pPr>
    </w:p>
    <w:p w14:paraId="08B8D8DA" w14:textId="77777777" w:rsidR="004E05DC" w:rsidRPr="009C53CE" w:rsidRDefault="00F770DB">
      <w:pPr>
        <w:pStyle w:val="ORDERFORML1SECTIONTITLE"/>
        <w:spacing w:before="0" w:after="0"/>
        <w:rPr>
          <w:rFonts w:cs="Arial"/>
          <w:color w:val="auto"/>
        </w:rPr>
      </w:pPr>
      <w:r w:rsidRPr="009C53CE">
        <w:rPr>
          <w:rFonts w:cs="Arial"/>
          <w:color w:val="auto"/>
        </w:rPr>
        <w:t xml:space="preserve">SECTION B </w:t>
      </w:r>
    </w:p>
    <w:p w14:paraId="3663C5D0" w14:textId="77777777" w:rsidR="004E05DC" w:rsidRPr="009C53CE" w:rsidRDefault="004E05DC">
      <w:pPr>
        <w:pStyle w:val="ORDERFORML1SECTIONTITLE"/>
        <w:spacing w:before="0" w:after="0"/>
        <w:rPr>
          <w:rFonts w:cs="Arial"/>
          <w:color w:val="auto"/>
        </w:rPr>
      </w:pPr>
    </w:p>
    <w:p w14:paraId="2CA89342" w14:textId="77777777" w:rsidR="004E05DC" w:rsidRPr="009C53CE" w:rsidRDefault="00F770DB">
      <w:pPr>
        <w:pStyle w:val="ORDERFORML1PraraNo"/>
        <w:rPr>
          <w:rFonts w:ascii="Arial" w:hAnsi="Arial" w:cs="Arial"/>
        </w:rPr>
      </w:pPr>
      <w:r w:rsidRPr="009C53CE">
        <w:rPr>
          <w:rFonts w:ascii="Arial" w:hAnsi="Arial" w:cs="Arial"/>
        </w:rPr>
        <w:t>call off contract period</w:t>
      </w:r>
    </w:p>
    <w:p w14:paraId="5A260485" w14:textId="77777777" w:rsidR="004E05DC" w:rsidRPr="009C53CE"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9C53CE" w:rsidRPr="009C53CE" w14:paraId="6525B5BF" w14:textId="77777777" w:rsidTr="00F02150">
        <w:tc>
          <w:tcPr>
            <w:tcW w:w="567" w:type="dxa"/>
          </w:tcPr>
          <w:p w14:paraId="7F884F55" w14:textId="77777777" w:rsidR="00F02150" w:rsidRPr="009C53CE" w:rsidRDefault="00F02150">
            <w:pPr>
              <w:pStyle w:val="ORDERFORML1NONBOLDNONNUMBERTEXT"/>
              <w:numPr>
                <w:ilvl w:val="1"/>
                <w:numId w:val="64"/>
              </w:numPr>
              <w:spacing w:before="0" w:after="0"/>
              <w:rPr>
                <w:rFonts w:cs="Arial"/>
                <w:b/>
              </w:rPr>
            </w:pPr>
          </w:p>
        </w:tc>
        <w:tc>
          <w:tcPr>
            <w:tcW w:w="8392" w:type="dxa"/>
            <w:shd w:val="clear" w:color="auto" w:fill="auto"/>
          </w:tcPr>
          <w:p w14:paraId="2B587B19" w14:textId="7DAF57FD" w:rsidR="00F02150" w:rsidRPr="009C53CE" w:rsidRDefault="009C2129">
            <w:pPr>
              <w:overflowPunct/>
              <w:autoSpaceDE/>
              <w:autoSpaceDN/>
              <w:adjustRightInd/>
              <w:spacing w:after="0"/>
              <w:ind w:left="0" w:right="936"/>
              <w:jc w:val="left"/>
              <w:textAlignment w:val="auto"/>
              <w:rPr>
                <w:rFonts w:eastAsia="STZhongsong"/>
                <w:b/>
                <w:lang w:eastAsia="zh-CN"/>
              </w:rPr>
            </w:pPr>
            <w:r w:rsidRPr="009C53CE">
              <w:rPr>
                <w:rFonts w:eastAsia="STZhongsong"/>
                <w:b/>
                <w:lang w:eastAsia="zh-CN"/>
              </w:rPr>
              <w:t xml:space="preserve">Call Off </w:t>
            </w:r>
            <w:r w:rsidR="00F02150" w:rsidRPr="009C53CE">
              <w:rPr>
                <w:rFonts w:eastAsia="STZhongsong"/>
                <w:b/>
                <w:lang w:eastAsia="zh-CN"/>
              </w:rPr>
              <w:t>Commencement Date</w:t>
            </w:r>
            <w:r w:rsidR="00F02150" w:rsidRPr="009C53CE">
              <w:rPr>
                <w:rFonts w:eastAsia="STZhongsong"/>
                <w:lang w:eastAsia="zh-CN"/>
              </w:rPr>
              <w:t xml:space="preserve">: </w:t>
            </w:r>
            <w:r w:rsidR="009C53CE" w:rsidRPr="006A4C50">
              <w:rPr>
                <w:sz w:val="24"/>
                <w:szCs w:val="24"/>
              </w:rPr>
              <w:t xml:space="preserve">This contract is deemed to have commenced from the </w:t>
            </w:r>
            <w:r w:rsidR="00A55A36">
              <w:rPr>
                <w:sz w:val="24"/>
                <w:szCs w:val="24"/>
              </w:rPr>
              <w:t>23/10/2020</w:t>
            </w:r>
          </w:p>
          <w:p w14:paraId="7C773470" w14:textId="77777777" w:rsidR="00F02150" w:rsidRPr="009C53CE" w:rsidRDefault="00F02150">
            <w:pPr>
              <w:overflowPunct/>
              <w:autoSpaceDE/>
              <w:autoSpaceDN/>
              <w:adjustRightInd/>
              <w:spacing w:after="0"/>
              <w:ind w:left="0" w:right="936"/>
              <w:jc w:val="left"/>
              <w:textAlignment w:val="auto"/>
              <w:rPr>
                <w:rFonts w:eastAsia="Calibri"/>
              </w:rPr>
            </w:pPr>
          </w:p>
        </w:tc>
      </w:tr>
      <w:tr w:rsidR="00F02150" w:rsidRPr="009C53CE" w14:paraId="445F7B0C" w14:textId="77777777" w:rsidTr="00F02150">
        <w:tc>
          <w:tcPr>
            <w:tcW w:w="567" w:type="dxa"/>
          </w:tcPr>
          <w:p w14:paraId="72BA4E3B" w14:textId="77777777" w:rsidR="00F02150" w:rsidRPr="009C53CE" w:rsidRDefault="00F02150">
            <w:pPr>
              <w:pStyle w:val="11table"/>
              <w:rPr>
                <w:rFonts w:ascii="Arial" w:hAnsi="Arial" w:cs="Arial"/>
              </w:rPr>
            </w:pPr>
            <w:r w:rsidRPr="009C53CE">
              <w:rPr>
                <w:rFonts w:ascii="Arial" w:hAnsi="Arial" w:cs="Arial"/>
              </w:rPr>
              <w:t xml:space="preserve"> </w:t>
            </w:r>
          </w:p>
          <w:p w14:paraId="70581236" w14:textId="77777777" w:rsidR="00F02150" w:rsidRPr="009C53CE" w:rsidRDefault="00F02150">
            <w:pPr>
              <w:overflowPunct/>
              <w:autoSpaceDE/>
              <w:autoSpaceDN/>
              <w:spacing w:after="0"/>
              <w:ind w:left="360"/>
              <w:jc w:val="left"/>
              <w:textAlignment w:val="auto"/>
              <w:rPr>
                <w:rFonts w:eastAsia="STZhongsong"/>
                <w:b/>
                <w:lang w:eastAsia="zh-CN"/>
              </w:rPr>
            </w:pPr>
          </w:p>
        </w:tc>
        <w:tc>
          <w:tcPr>
            <w:tcW w:w="8392" w:type="dxa"/>
            <w:shd w:val="clear" w:color="auto" w:fill="auto"/>
          </w:tcPr>
          <w:p w14:paraId="7DBF874B" w14:textId="572406CE" w:rsidR="00F02150" w:rsidRPr="009C53CE" w:rsidRDefault="006A6022">
            <w:pPr>
              <w:numPr>
                <w:ilvl w:val="1"/>
                <w:numId w:val="0"/>
              </w:numPr>
              <w:overflowPunct/>
              <w:autoSpaceDE/>
              <w:autoSpaceDN/>
              <w:spacing w:after="0"/>
              <w:jc w:val="left"/>
              <w:textAlignment w:val="auto"/>
              <w:rPr>
                <w:rFonts w:eastAsia="STZhongsong"/>
                <w:lang w:eastAsia="zh-CN"/>
              </w:rPr>
            </w:pPr>
            <w:r w:rsidRPr="009C53CE">
              <w:rPr>
                <w:rFonts w:eastAsia="STZhongsong"/>
                <w:b/>
                <w:lang w:eastAsia="zh-CN"/>
              </w:rPr>
              <w:t xml:space="preserve">Call Off </w:t>
            </w:r>
            <w:r w:rsidR="00F02150" w:rsidRPr="009C53CE">
              <w:rPr>
                <w:rFonts w:eastAsia="STZhongsong"/>
                <w:b/>
                <w:lang w:eastAsia="zh-CN"/>
              </w:rPr>
              <w:t>Expiry Date</w:t>
            </w:r>
            <w:r w:rsidR="00F02150" w:rsidRPr="009C53CE">
              <w:rPr>
                <w:rFonts w:eastAsia="STZhongsong"/>
                <w:lang w:eastAsia="zh-CN"/>
              </w:rPr>
              <w:t>:</w:t>
            </w:r>
          </w:p>
          <w:p w14:paraId="37B634D1" w14:textId="77777777" w:rsidR="00F02150" w:rsidRPr="009C53CE" w:rsidRDefault="00F02150">
            <w:pPr>
              <w:numPr>
                <w:ilvl w:val="1"/>
                <w:numId w:val="0"/>
              </w:numPr>
              <w:overflowPunct/>
              <w:autoSpaceDE/>
              <w:autoSpaceDN/>
              <w:spacing w:after="0"/>
              <w:jc w:val="left"/>
              <w:textAlignment w:val="auto"/>
              <w:rPr>
                <w:rFonts w:eastAsia="STZhongsong"/>
                <w:lang w:eastAsia="zh-CN"/>
              </w:rPr>
            </w:pPr>
          </w:p>
          <w:p w14:paraId="5466D6C3" w14:textId="6C8AAF9C" w:rsidR="003F56CA" w:rsidRDefault="00F02150">
            <w:pPr>
              <w:overflowPunct/>
              <w:autoSpaceDE/>
              <w:autoSpaceDN/>
              <w:spacing w:after="0"/>
              <w:ind w:left="0"/>
              <w:jc w:val="left"/>
              <w:textAlignment w:val="auto"/>
              <w:rPr>
                <w:rFonts w:eastAsia="STZhongsong"/>
                <w:lang w:eastAsia="zh-CN"/>
              </w:rPr>
            </w:pPr>
            <w:r w:rsidRPr="009C53CE">
              <w:rPr>
                <w:rFonts w:eastAsia="STZhongsong"/>
                <w:lang w:eastAsia="zh-CN"/>
              </w:rPr>
              <w:t xml:space="preserve">End date of </w:t>
            </w:r>
            <w:r w:rsidR="009C2129" w:rsidRPr="009C53CE">
              <w:rPr>
                <w:rFonts w:eastAsia="STZhongsong"/>
                <w:lang w:eastAsia="zh-CN"/>
              </w:rPr>
              <w:t xml:space="preserve">Call </w:t>
            </w:r>
            <w:r w:rsidR="00BD5256" w:rsidRPr="009C53CE">
              <w:rPr>
                <w:rFonts w:eastAsia="STZhongsong"/>
                <w:lang w:eastAsia="zh-CN"/>
              </w:rPr>
              <w:t>Off Period</w:t>
            </w:r>
            <w:r w:rsidR="003F56CA">
              <w:rPr>
                <w:rFonts w:eastAsia="STZhongsong"/>
                <w:lang w:eastAsia="zh-CN"/>
              </w:rPr>
              <w:t xml:space="preserve"> shall be: </w:t>
            </w:r>
            <w:r w:rsidRPr="009C53CE">
              <w:rPr>
                <w:rFonts w:eastAsia="STZhongsong"/>
                <w:lang w:eastAsia="zh-CN"/>
              </w:rPr>
              <w:t xml:space="preserve"> </w:t>
            </w:r>
            <w:r w:rsidR="009C53CE" w:rsidRPr="003F56CA">
              <w:rPr>
                <w:rFonts w:eastAsia="STZhongsong"/>
                <w:lang w:eastAsia="zh-CN"/>
              </w:rPr>
              <w:t>31/03/2021</w:t>
            </w:r>
          </w:p>
          <w:p w14:paraId="162A659C" w14:textId="77777777" w:rsidR="003F56CA" w:rsidRDefault="003F56CA">
            <w:pPr>
              <w:overflowPunct/>
              <w:autoSpaceDE/>
              <w:autoSpaceDN/>
              <w:spacing w:after="0"/>
              <w:ind w:left="0"/>
              <w:jc w:val="left"/>
              <w:textAlignment w:val="auto"/>
              <w:rPr>
                <w:rFonts w:eastAsia="STZhongsong"/>
                <w:lang w:eastAsia="zh-CN"/>
              </w:rPr>
            </w:pPr>
          </w:p>
          <w:p w14:paraId="64151768" w14:textId="0849E6DD" w:rsidR="00F02150" w:rsidRPr="003F56CA" w:rsidRDefault="009C53CE">
            <w:pPr>
              <w:overflowPunct/>
              <w:autoSpaceDE/>
              <w:autoSpaceDN/>
              <w:spacing w:after="0"/>
              <w:ind w:left="0"/>
              <w:jc w:val="left"/>
              <w:textAlignment w:val="auto"/>
              <w:rPr>
                <w:rFonts w:eastAsia="STZhongsong"/>
                <w:lang w:eastAsia="zh-CN"/>
              </w:rPr>
            </w:pPr>
            <w:r w:rsidRPr="003F56CA">
              <w:rPr>
                <w:rFonts w:eastAsia="STZhongsong"/>
                <w:lang w:eastAsia="zh-CN"/>
              </w:rPr>
              <w:t xml:space="preserve">There shall be no further expressed </w:t>
            </w:r>
            <w:r w:rsidR="003F56CA" w:rsidRPr="003F56CA">
              <w:rPr>
                <w:rFonts w:eastAsia="STZhongsong"/>
                <w:lang w:eastAsia="zh-CN"/>
              </w:rPr>
              <w:t xml:space="preserve">extension provisions for </w:t>
            </w:r>
            <w:proofErr w:type="spellStart"/>
            <w:r w:rsidR="003F56CA" w:rsidRPr="003F56CA">
              <w:rPr>
                <w:rFonts w:eastAsia="STZhongsong"/>
                <w:lang w:eastAsia="zh-CN"/>
              </w:rPr>
              <w:t>thepurposes</w:t>
            </w:r>
            <w:proofErr w:type="spellEnd"/>
            <w:r w:rsidR="003F56CA" w:rsidRPr="003F56CA">
              <w:rPr>
                <w:rFonts w:eastAsia="STZhongsong"/>
                <w:lang w:eastAsia="zh-CN"/>
              </w:rPr>
              <w:t xml:space="preserve"> of this contract.</w:t>
            </w:r>
          </w:p>
          <w:p w14:paraId="182FD6B0" w14:textId="77777777" w:rsidR="00F02150" w:rsidRPr="009C53CE" w:rsidRDefault="00F02150">
            <w:pPr>
              <w:overflowPunct/>
              <w:autoSpaceDE/>
              <w:autoSpaceDN/>
              <w:spacing w:after="0"/>
              <w:ind w:left="0"/>
              <w:jc w:val="left"/>
              <w:textAlignment w:val="auto"/>
              <w:rPr>
                <w:rFonts w:eastAsia="STZhongsong"/>
                <w:lang w:eastAsia="zh-CN"/>
              </w:rPr>
            </w:pPr>
          </w:p>
          <w:p w14:paraId="506BE5A8" w14:textId="7388C36C" w:rsidR="00F02150" w:rsidRPr="009C53CE" w:rsidRDefault="00F02150" w:rsidP="00F02150">
            <w:pPr>
              <w:overflowPunct/>
              <w:autoSpaceDE/>
              <w:autoSpaceDN/>
              <w:spacing w:after="0"/>
              <w:ind w:left="0"/>
              <w:textAlignment w:val="auto"/>
              <w:rPr>
                <w:rFonts w:eastAsia="STZhongsong"/>
                <w:lang w:eastAsia="zh-CN"/>
              </w:rPr>
            </w:pPr>
          </w:p>
        </w:tc>
      </w:tr>
    </w:tbl>
    <w:p w14:paraId="1E004CCF" w14:textId="77777777" w:rsidR="004E05DC" w:rsidRPr="009C53CE" w:rsidRDefault="004E05DC">
      <w:pPr>
        <w:pStyle w:val="ORDERFORML1PraraNo"/>
        <w:numPr>
          <w:ilvl w:val="0"/>
          <w:numId w:val="0"/>
        </w:numPr>
        <w:ind w:left="426" w:hanging="426"/>
        <w:rPr>
          <w:rFonts w:ascii="Arial" w:hAnsi="Arial" w:cs="Arial"/>
        </w:rPr>
      </w:pPr>
    </w:p>
    <w:p w14:paraId="0C8F65B0" w14:textId="77777777" w:rsidR="004E05DC" w:rsidRPr="009C53CE" w:rsidRDefault="00F770DB">
      <w:pPr>
        <w:pStyle w:val="ORDERFORML1PraraNo"/>
        <w:rPr>
          <w:rFonts w:ascii="Arial" w:hAnsi="Arial" w:cs="Arial"/>
        </w:rPr>
      </w:pPr>
      <w:r w:rsidRPr="009C53CE">
        <w:rPr>
          <w:rFonts w:ascii="Arial" w:hAnsi="Arial" w:cs="Arial"/>
        </w:rPr>
        <w:t>Services</w:t>
      </w:r>
    </w:p>
    <w:p w14:paraId="743CC529" w14:textId="77777777" w:rsidR="004E05DC" w:rsidRPr="009C53CE"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214"/>
      </w:tblGrid>
      <w:tr w:rsidR="009C53CE" w:rsidRPr="009C53CE" w14:paraId="557BDC08" w14:textId="77777777" w:rsidTr="00F03357">
        <w:trPr>
          <w:trHeight w:val="5519"/>
        </w:trPr>
        <w:tc>
          <w:tcPr>
            <w:tcW w:w="704" w:type="dxa"/>
          </w:tcPr>
          <w:p w14:paraId="5A64A6E3" w14:textId="77777777" w:rsidR="00172A22" w:rsidRPr="009C53CE" w:rsidRDefault="00172A22">
            <w:pPr>
              <w:pStyle w:val="11table"/>
              <w:numPr>
                <w:ilvl w:val="0"/>
                <w:numId w:val="0"/>
              </w:numPr>
              <w:ind w:left="360" w:hanging="360"/>
              <w:rPr>
                <w:rFonts w:ascii="Arial" w:hAnsi="Arial" w:cs="Arial"/>
              </w:rPr>
            </w:pPr>
            <w:r w:rsidRPr="009C53CE">
              <w:rPr>
                <w:rFonts w:ascii="Arial" w:hAnsi="Arial" w:cs="Arial"/>
              </w:rPr>
              <w:t xml:space="preserve">2.1.  </w:t>
            </w:r>
          </w:p>
        </w:tc>
        <w:tc>
          <w:tcPr>
            <w:tcW w:w="9214" w:type="dxa"/>
            <w:shd w:val="clear" w:color="auto" w:fill="auto"/>
          </w:tcPr>
          <w:p w14:paraId="62632901" w14:textId="77777777" w:rsidR="00172A22" w:rsidRPr="009C53CE" w:rsidRDefault="00172A22">
            <w:pPr>
              <w:numPr>
                <w:ilvl w:val="1"/>
                <w:numId w:val="0"/>
              </w:numPr>
              <w:overflowPunct/>
              <w:autoSpaceDE/>
              <w:autoSpaceDN/>
              <w:spacing w:after="0"/>
              <w:jc w:val="left"/>
              <w:textAlignment w:val="auto"/>
              <w:rPr>
                <w:rFonts w:eastAsia="STZhongsong"/>
                <w:lang w:eastAsia="zh-CN"/>
              </w:rPr>
            </w:pPr>
            <w:r w:rsidRPr="009C53CE">
              <w:rPr>
                <w:rFonts w:eastAsia="STZhongsong"/>
                <w:b/>
                <w:lang w:eastAsia="zh-CN"/>
              </w:rPr>
              <w:t>Services required</w:t>
            </w:r>
            <w:r w:rsidRPr="009C53CE">
              <w:rPr>
                <w:rFonts w:eastAsia="STZhongsong"/>
                <w:lang w:eastAsia="zh-CN"/>
              </w:rPr>
              <w:t xml:space="preserve">: </w:t>
            </w:r>
          </w:p>
          <w:p w14:paraId="609AD636" w14:textId="77777777" w:rsidR="002740F1" w:rsidRDefault="002740F1" w:rsidP="00A55A36">
            <w:pPr>
              <w:overflowPunct/>
              <w:autoSpaceDE/>
              <w:autoSpaceDN/>
              <w:adjustRightInd/>
              <w:spacing w:after="160"/>
              <w:ind w:left="0"/>
              <w:jc w:val="left"/>
              <w:textAlignment w:val="auto"/>
              <w:rPr>
                <w:rFonts w:eastAsia="STZhongsong"/>
                <w:lang w:eastAsia="zh-CN"/>
              </w:rPr>
            </w:pPr>
          </w:p>
          <w:p w14:paraId="1BD9AAB2" w14:textId="77777777" w:rsidR="00A55A36" w:rsidRPr="00447839" w:rsidRDefault="00A55A36" w:rsidP="00A55A36">
            <w:pPr>
              <w:pStyle w:val="Heading2"/>
              <w:numPr>
                <w:ilvl w:val="0"/>
                <w:numId w:val="0"/>
              </w:numPr>
              <w:tabs>
                <w:tab w:val="clear" w:pos="0"/>
              </w:tabs>
              <w:adjustRightInd w:val="0"/>
              <w:ind w:left="37"/>
              <w:jc w:val="both"/>
              <w:rPr>
                <w:rFonts w:eastAsia="Calibri" w:cs="Arial"/>
                <w:b w:val="0"/>
                <w:iCs/>
                <w:caps w:val="0"/>
                <w:color w:val="000000"/>
                <w:lang w:eastAsia="en-GB"/>
              </w:rPr>
            </w:pPr>
            <w:r w:rsidRPr="00447839">
              <w:rPr>
                <w:rFonts w:eastAsia="Calibri" w:cs="Arial"/>
                <w:b w:val="0"/>
                <w:iCs/>
                <w:caps w:val="0"/>
                <w:color w:val="000000"/>
                <w:lang w:eastAsia="en-GB"/>
              </w:rPr>
              <w:t xml:space="preserve">The Services will be limited to Supplier providing Supplier Personnel to </w:t>
            </w:r>
            <w:r w:rsidRPr="00447839">
              <w:rPr>
                <w:rFonts w:eastAsia="Calibri" w:cs="Arial"/>
                <w:b w:val="0"/>
                <w:iCs/>
                <w:caps w:val="0"/>
                <w:lang w:eastAsia="en-GB"/>
              </w:rPr>
              <w:t>Customer</w:t>
            </w:r>
            <w:r w:rsidRPr="00447839">
              <w:rPr>
                <w:rFonts w:eastAsia="Calibri" w:cs="Arial"/>
                <w:b w:val="0"/>
                <w:iCs/>
                <w:caps w:val="0"/>
                <w:color w:val="000000"/>
                <w:lang w:eastAsia="en-GB"/>
              </w:rPr>
              <w:t xml:space="preserve"> in connection with the End-to-End Supply Chain and Public Health and Clinical Oversight teams within Testing Operations, and in particular the individual will work directly with the Service Evaluation Team.   </w:t>
            </w:r>
          </w:p>
          <w:p w14:paraId="08762B5C" w14:textId="77777777" w:rsidR="00A55A36" w:rsidRPr="00447839" w:rsidRDefault="00A55A36" w:rsidP="00A55A36">
            <w:pPr>
              <w:pStyle w:val="Heading2"/>
              <w:numPr>
                <w:ilvl w:val="0"/>
                <w:numId w:val="0"/>
              </w:numPr>
              <w:tabs>
                <w:tab w:val="clear" w:pos="0"/>
              </w:tabs>
              <w:adjustRightInd w:val="0"/>
              <w:ind w:left="37"/>
              <w:jc w:val="both"/>
              <w:rPr>
                <w:rFonts w:eastAsia="Calibri" w:cs="Arial"/>
                <w:b w:val="0"/>
                <w:iCs/>
                <w:caps w:val="0"/>
                <w:color w:val="000000"/>
                <w:lang w:eastAsia="en-GB"/>
              </w:rPr>
            </w:pPr>
            <w:r w:rsidRPr="00447839">
              <w:rPr>
                <w:rFonts w:eastAsia="Calibri" w:cs="Arial"/>
                <w:b w:val="0"/>
                <w:iCs/>
                <w:caps w:val="0"/>
                <w:color w:val="000000"/>
                <w:lang w:eastAsia="en-GB"/>
              </w:rPr>
              <w:t>Supplier Personnel will report to, and take instruction from, their assigned Customer line manager, via a day-to-day Deloitte manager.  Customer line managers will be responsible for reviewing and assuring any Deliverables.</w:t>
            </w:r>
          </w:p>
          <w:p w14:paraId="5A7ACFB1" w14:textId="1EEDAFD4" w:rsidR="00A55A36" w:rsidRPr="00A9438E" w:rsidRDefault="00A55A36" w:rsidP="00A9438E">
            <w:pPr>
              <w:widowControl w:val="0"/>
              <w:spacing w:after="200" w:line="240" w:lineRule="atLeast"/>
              <w:ind w:left="0" w:right="40"/>
              <w:rPr>
                <w:rFonts w:eastAsia="Calibri"/>
                <w:lang w:eastAsia="en-GB"/>
              </w:rPr>
            </w:pPr>
            <w:r w:rsidRPr="00447839">
              <w:rPr>
                <w:rFonts w:eastAsia="Calibri"/>
                <w:lang w:eastAsia="en-GB"/>
              </w:rPr>
              <w:t>The specific scope of activities for the role is</w:t>
            </w:r>
            <w:r w:rsidR="00A9438E">
              <w:rPr>
                <w:rFonts w:eastAsia="Calibri"/>
                <w:lang w:eastAsia="en-GB"/>
              </w:rPr>
              <w:t xml:space="preserve"> for the </w:t>
            </w:r>
            <w:r w:rsidR="00A9438E">
              <w:rPr>
                <w:rFonts w:eastAsia="Calibri"/>
                <w:color w:val="000000"/>
                <w:lang w:eastAsia="en-GB"/>
              </w:rPr>
              <w:t>m</w:t>
            </w:r>
            <w:r w:rsidRPr="00447839">
              <w:rPr>
                <w:rFonts w:eastAsia="Calibri"/>
                <w:color w:val="000000"/>
                <w:lang w:eastAsia="en-GB"/>
              </w:rPr>
              <w:t>anaging and delivering the day-to-day data management activities required to deliver service evaluation data sets for analysis and subsequent MHRA submission and/or publication:</w:t>
            </w:r>
          </w:p>
          <w:p w14:paraId="347E8F3F" w14:textId="77777777" w:rsidR="00A55A36" w:rsidRPr="00447839" w:rsidRDefault="00A55A36" w:rsidP="00A55A36">
            <w:pPr>
              <w:pStyle w:val="ListParagraph"/>
              <w:widowControl w:val="0"/>
              <w:numPr>
                <w:ilvl w:val="0"/>
                <w:numId w:val="105"/>
              </w:numPr>
              <w:overflowPunct/>
              <w:autoSpaceDE/>
              <w:autoSpaceDN/>
              <w:adjustRightInd/>
              <w:spacing w:after="200" w:line="240" w:lineRule="atLeast"/>
              <w:ind w:right="40"/>
              <w:jc w:val="left"/>
              <w:textAlignment w:val="auto"/>
              <w:rPr>
                <w:rFonts w:eastAsia="Calibri"/>
                <w:color w:val="000000"/>
                <w:lang w:eastAsia="en-GB"/>
              </w:rPr>
            </w:pPr>
            <w:r w:rsidRPr="00447839">
              <w:rPr>
                <w:rFonts w:eastAsia="Calibri"/>
                <w:color w:val="000000"/>
                <w:lang w:eastAsia="en-GB"/>
              </w:rPr>
              <w:t xml:space="preserve">Using data analytics software to query data systems and maintain accurate records; </w:t>
            </w:r>
          </w:p>
          <w:p w14:paraId="764A2479" w14:textId="77777777" w:rsidR="00A55A36" w:rsidRPr="00447839" w:rsidRDefault="00A55A36" w:rsidP="00A55A36">
            <w:pPr>
              <w:pStyle w:val="ListParagraph"/>
              <w:widowControl w:val="0"/>
              <w:numPr>
                <w:ilvl w:val="0"/>
                <w:numId w:val="105"/>
              </w:numPr>
              <w:overflowPunct/>
              <w:autoSpaceDE/>
              <w:autoSpaceDN/>
              <w:adjustRightInd/>
              <w:spacing w:after="200" w:line="240" w:lineRule="atLeast"/>
              <w:ind w:right="40"/>
              <w:jc w:val="left"/>
              <w:textAlignment w:val="auto"/>
              <w:rPr>
                <w:rFonts w:eastAsia="Calibri"/>
                <w:color w:val="000000"/>
                <w:lang w:eastAsia="en-GB"/>
              </w:rPr>
            </w:pPr>
            <w:r w:rsidRPr="00447839">
              <w:rPr>
                <w:rFonts w:eastAsia="Calibri"/>
                <w:color w:val="000000"/>
                <w:lang w:eastAsia="en-GB"/>
              </w:rPr>
              <w:t xml:space="preserve">Organising, storing and analysing sensitive service evaluation data; </w:t>
            </w:r>
          </w:p>
          <w:p w14:paraId="156625D4" w14:textId="77777777" w:rsidR="00A55A36" w:rsidRPr="00447839" w:rsidRDefault="00A55A36" w:rsidP="00A55A36">
            <w:pPr>
              <w:pStyle w:val="ListParagraph"/>
              <w:widowControl w:val="0"/>
              <w:numPr>
                <w:ilvl w:val="0"/>
                <w:numId w:val="105"/>
              </w:numPr>
              <w:overflowPunct/>
              <w:autoSpaceDE/>
              <w:autoSpaceDN/>
              <w:adjustRightInd/>
              <w:spacing w:after="200" w:line="240" w:lineRule="atLeast"/>
              <w:ind w:right="40"/>
              <w:jc w:val="left"/>
              <w:textAlignment w:val="auto"/>
              <w:rPr>
                <w:rFonts w:eastAsia="Calibri"/>
                <w:color w:val="000000"/>
                <w:lang w:eastAsia="en-GB"/>
              </w:rPr>
            </w:pPr>
            <w:r w:rsidRPr="00447839">
              <w:rPr>
                <w:rFonts w:eastAsia="Calibri"/>
                <w:color w:val="000000"/>
                <w:lang w:eastAsia="en-GB"/>
              </w:rPr>
              <w:t>Regular reporting of site level performance and service evaluation progress with internal management, senior leadership, clients, partners or other key stakeholders;</w:t>
            </w:r>
          </w:p>
          <w:p w14:paraId="0AC5F0D7" w14:textId="77777777" w:rsidR="00A55A36" w:rsidRPr="00447839" w:rsidRDefault="00A55A36" w:rsidP="00A55A36">
            <w:pPr>
              <w:pStyle w:val="ListParagraph"/>
              <w:widowControl w:val="0"/>
              <w:numPr>
                <w:ilvl w:val="0"/>
                <w:numId w:val="106"/>
              </w:numPr>
              <w:overflowPunct/>
              <w:autoSpaceDE/>
              <w:autoSpaceDN/>
              <w:adjustRightInd/>
              <w:spacing w:after="200" w:line="240" w:lineRule="atLeast"/>
              <w:ind w:right="40"/>
              <w:jc w:val="left"/>
              <w:textAlignment w:val="auto"/>
              <w:rPr>
                <w:rFonts w:eastAsia="Calibri"/>
                <w:color w:val="000000"/>
                <w:lang w:eastAsia="en-GB"/>
              </w:rPr>
            </w:pPr>
            <w:r w:rsidRPr="00447839">
              <w:rPr>
                <w:rFonts w:eastAsia="Calibri"/>
                <w:color w:val="000000"/>
                <w:lang w:eastAsia="en-GB"/>
              </w:rPr>
              <w:t>Writing data management plans for new service evaluations</w:t>
            </w:r>
          </w:p>
          <w:p w14:paraId="66B50BC5" w14:textId="77777777" w:rsidR="00A55A36" w:rsidRPr="00447839" w:rsidRDefault="00A55A36" w:rsidP="00A55A36">
            <w:pPr>
              <w:pStyle w:val="ListParagraph"/>
              <w:widowControl w:val="0"/>
              <w:numPr>
                <w:ilvl w:val="0"/>
                <w:numId w:val="106"/>
              </w:numPr>
              <w:overflowPunct/>
              <w:autoSpaceDE/>
              <w:autoSpaceDN/>
              <w:adjustRightInd/>
              <w:spacing w:after="200" w:line="240" w:lineRule="atLeast"/>
              <w:ind w:right="40"/>
              <w:jc w:val="left"/>
              <w:textAlignment w:val="auto"/>
              <w:rPr>
                <w:rFonts w:eastAsia="Calibri"/>
                <w:color w:val="000000"/>
                <w:lang w:eastAsia="en-GB"/>
              </w:rPr>
            </w:pPr>
            <w:r w:rsidRPr="00447839">
              <w:rPr>
                <w:rFonts w:eastAsia="Calibri"/>
                <w:color w:val="000000"/>
                <w:lang w:eastAsia="en-GB"/>
              </w:rPr>
              <w:t>Conducting data management of service evaluation data (under external expert supervision)</w:t>
            </w:r>
          </w:p>
          <w:p w14:paraId="4A917017" w14:textId="77777777" w:rsidR="00A55A36" w:rsidRPr="00447839" w:rsidRDefault="00A55A36" w:rsidP="00A55A36">
            <w:pPr>
              <w:pStyle w:val="ListParagraph"/>
              <w:widowControl w:val="0"/>
              <w:numPr>
                <w:ilvl w:val="0"/>
                <w:numId w:val="106"/>
              </w:numPr>
              <w:overflowPunct/>
              <w:autoSpaceDE/>
              <w:autoSpaceDN/>
              <w:adjustRightInd/>
              <w:spacing w:after="200" w:line="240" w:lineRule="atLeast"/>
              <w:ind w:right="40"/>
              <w:jc w:val="left"/>
              <w:textAlignment w:val="auto"/>
              <w:rPr>
                <w:rFonts w:eastAsia="Calibri"/>
                <w:lang w:eastAsia="en-GB"/>
              </w:rPr>
            </w:pPr>
            <w:r w:rsidRPr="00447839">
              <w:rPr>
                <w:rFonts w:eastAsia="Calibri"/>
                <w:color w:val="000000"/>
                <w:lang w:eastAsia="en-GB"/>
              </w:rPr>
              <w:t>Supporting writing of service evaluation analysis reports (for external review and sign off</w:t>
            </w:r>
            <w:r w:rsidRPr="00447839">
              <w:t>)</w:t>
            </w:r>
          </w:p>
          <w:p w14:paraId="4885EEEF" w14:textId="77777777" w:rsidR="00A55A36" w:rsidRPr="00447839" w:rsidRDefault="00A55A36" w:rsidP="00447839">
            <w:pPr>
              <w:widowControl w:val="0"/>
              <w:spacing w:after="200" w:line="240" w:lineRule="atLeast"/>
              <w:ind w:left="0" w:right="40"/>
              <w:rPr>
                <w:rFonts w:eastAsia="Calibri"/>
                <w:color w:val="000000"/>
                <w:lang w:eastAsia="en-GB"/>
              </w:rPr>
            </w:pPr>
            <w:r w:rsidRPr="00447839">
              <w:rPr>
                <w:rFonts w:eastAsia="Calibri"/>
                <w:color w:val="000000"/>
                <w:lang w:eastAsia="en-GB"/>
              </w:rPr>
              <w:t>Candidate is required to be available for shift work between 6am-10pm</w:t>
            </w:r>
          </w:p>
          <w:p w14:paraId="6D7FB8ED" w14:textId="523BF109" w:rsidR="00A55A36" w:rsidRPr="00A55A36" w:rsidRDefault="00A55A36" w:rsidP="00A55A36">
            <w:pPr>
              <w:overflowPunct/>
              <w:autoSpaceDE/>
              <w:autoSpaceDN/>
              <w:adjustRightInd/>
              <w:spacing w:after="160"/>
              <w:ind w:left="0"/>
              <w:jc w:val="left"/>
              <w:textAlignment w:val="auto"/>
              <w:rPr>
                <w:rFonts w:eastAsia="STZhongsong"/>
                <w:b/>
                <w:i/>
                <w:iCs/>
                <w:lang w:eastAsia="zh-CN"/>
              </w:rPr>
            </w:pPr>
          </w:p>
        </w:tc>
      </w:tr>
    </w:tbl>
    <w:p w14:paraId="0BB4FD78" w14:textId="77777777" w:rsidR="004E05DC" w:rsidRPr="009C53CE" w:rsidRDefault="004E05DC">
      <w:pPr>
        <w:spacing w:after="0"/>
        <w:ind w:left="0"/>
      </w:pPr>
    </w:p>
    <w:p w14:paraId="396CA0E9" w14:textId="7392E589" w:rsidR="004E05DC" w:rsidRPr="009C53CE" w:rsidRDefault="00F770DB">
      <w:pPr>
        <w:pStyle w:val="ORDERFORML1PraraNo"/>
        <w:rPr>
          <w:rFonts w:ascii="Arial" w:hAnsi="Arial" w:cs="Arial"/>
        </w:rPr>
      </w:pPr>
      <w:r w:rsidRPr="009C53CE">
        <w:rPr>
          <w:rFonts w:ascii="Arial" w:hAnsi="Arial" w:cs="Arial"/>
        </w:rPr>
        <w:t>PROJECT Plan</w:t>
      </w:r>
    </w:p>
    <w:p w14:paraId="1765ECF4" w14:textId="77777777" w:rsidR="004E05DC" w:rsidRPr="009C53CE" w:rsidRDefault="004E05DC">
      <w:pPr>
        <w:pStyle w:val="ORDERFORML1PraraNo"/>
        <w:numPr>
          <w:ilvl w:val="0"/>
          <w:numId w:val="0"/>
        </w:numPr>
        <w:ind w:left="720"/>
        <w:rPr>
          <w:rFonts w:ascii="Arial" w:hAnsi="Arial" w:cs="Arial"/>
        </w:rPr>
      </w:pPr>
    </w:p>
    <w:tbl>
      <w:tblPr>
        <w:tblW w:w="9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172"/>
      </w:tblGrid>
      <w:tr w:rsidR="009C53CE" w:rsidRPr="009C53CE" w14:paraId="7BEDE618" w14:textId="77777777" w:rsidTr="000731CD">
        <w:trPr>
          <w:trHeight w:val="70"/>
        </w:trPr>
        <w:tc>
          <w:tcPr>
            <w:tcW w:w="738" w:type="dxa"/>
          </w:tcPr>
          <w:p w14:paraId="3C400C1B" w14:textId="77777777" w:rsidR="00172A22" w:rsidRPr="009C53CE" w:rsidRDefault="00172A22">
            <w:pPr>
              <w:ind w:left="0"/>
              <w:rPr>
                <w:b/>
              </w:rPr>
            </w:pPr>
            <w:r w:rsidRPr="009C53CE">
              <w:rPr>
                <w:b/>
              </w:rPr>
              <w:t xml:space="preserve">3.1. </w:t>
            </w:r>
          </w:p>
        </w:tc>
        <w:tc>
          <w:tcPr>
            <w:tcW w:w="9172" w:type="dxa"/>
            <w:shd w:val="clear" w:color="auto" w:fill="auto"/>
          </w:tcPr>
          <w:p w14:paraId="001D3BE2" w14:textId="180A3391" w:rsidR="00172A22" w:rsidRPr="009C53CE" w:rsidRDefault="00172A22">
            <w:pPr>
              <w:ind w:left="0"/>
            </w:pPr>
            <w:r w:rsidRPr="009C53CE">
              <w:rPr>
                <w:b/>
              </w:rPr>
              <w:t>Project Plan</w:t>
            </w:r>
            <w:r w:rsidRPr="009C53CE">
              <w:t xml:space="preserve">:  </w:t>
            </w:r>
          </w:p>
          <w:p w14:paraId="13F0CCA2" w14:textId="27B2BE0E" w:rsidR="00D410A1" w:rsidRPr="00AF1535" w:rsidRDefault="003F56CA" w:rsidP="00D410A1">
            <w:pPr>
              <w:ind w:left="0"/>
              <w:rPr>
                <w:highlight w:val="green"/>
              </w:rPr>
            </w:pPr>
            <w:r>
              <w:t>As no pre-agreed project plan has been set out fort this contract. The Supplier will use their best ende</w:t>
            </w:r>
            <w:r w:rsidR="00AF1535">
              <w:t>a</w:t>
            </w:r>
            <w:r>
              <w:t>vours to ensure that this contract is delivered to the best of their ability with the contract duration.</w:t>
            </w:r>
          </w:p>
        </w:tc>
      </w:tr>
    </w:tbl>
    <w:p w14:paraId="529869C7" w14:textId="77777777" w:rsidR="004E05DC" w:rsidRPr="009C53CE" w:rsidRDefault="004E05DC">
      <w:pPr>
        <w:pStyle w:val="ORDERFORML1PraraNo"/>
        <w:numPr>
          <w:ilvl w:val="0"/>
          <w:numId w:val="0"/>
        </w:numPr>
        <w:ind w:left="426"/>
        <w:rPr>
          <w:rFonts w:ascii="Arial" w:hAnsi="Arial" w:cs="Arial"/>
        </w:rPr>
      </w:pPr>
    </w:p>
    <w:p w14:paraId="3C1ED76D" w14:textId="77777777" w:rsidR="00B91478" w:rsidRPr="009C53CE" w:rsidRDefault="00B91478">
      <w:pPr>
        <w:pStyle w:val="ORDERFORML1PraraNo"/>
        <w:numPr>
          <w:ilvl w:val="0"/>
          <w:numId w:val="0"/>
        </w:numPr>
        <w:ind w:left="426"/>
        <w:rPr>
          <w:rFonts w:ascii="Arial" w:hAnsi="Arial" w:cs="Arial"/>
        </w:rPr>
      </w:pPr>
    </w:p>
    <w:p w14:paraId="223A324C" w14:textId="77777777" w:rsidR="004E05DC" w:rsidRPr="009C53CE" w:rsidRDefault="00F770DB">
      <w:pPr>
        <w:pStyle w:val="ORDERFORML1PraraNo"/>
        <w:rPr>
          <w:rFonts w:ascii="Arial" w:hAnsi="Arial" w:cs="Arial"/>
        </w:rPr>
      </w:pPr>
      <w:r w:rsidRPr="009C53CE">
        <w:rPr>
          <w:rFonts w:ascii="Arial" w:hAnsi="Arial" w:cs="Arial"/>
        </w:rPr>
        <w:t>contract performance</w:t>
      </w:r>
    </w:p>
    <w:p w14:paraId="2DA86474" w14:textId="77777777" w:rsidR="004E05DC" w:rsidRPr="009C53CE" w:rsidRDefault="004E05DC">
      <w:pPr>
        <w:pStyle w:val="ORDERFORML1PraraNo"/>
        <w:numPr>
          <w:ilvl w:val="0"/>
          <w:numId w:val="0"/>
        </w:numPr>
        <w:ind w:left="426" w:hanging="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214"/>
      </w:tblGrid>
      <w:tr w:rsidR="009C53CE" w:rsidRPr="009C53CE" w14:paraId="016BBA4A" w14:textId="77777777" w:rsidTr="00172A22">
        <w:tc>
          <w:tcPr>
            <w:tcW w:w="596" w:type="dxa"/>
          </w:tcPr>
          <w:p w14:paraId="30227DA0" w14:textId="77777777" w:rsidR="00B5520B" w:rsidRPr="009C53CE" w:rsidRDefault="00B552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 xml:space="preserve">4.1. </w:t>
            </w:r>
          </w:p>
        </w:tc>
        <w:tc>
          <w:tcPr>
            <w:tcW w:w="9214" w:type="dxa"/>
            <w:shd w:val="clear" w:color="auto" w:fill="auto"/>
          </w:tcPr>
          <w:p w14:paraId="6F2590BC" w14:textId="36DC03CB" w:rsidR="00B5520B" w:rsidRPr="009C53CE" w:rsidRDefault="00B5520B">
            <w:pPr>
              <w:numPr>
                <w:ilvl w:val="1"/>
                <w:numId w:val="0"/>
              </w:numPr>
              <w:overflowPunct/>
              <w:autoSpaceDE/>
              <w:autoSpaceDN/>
              <w:spacing w:after="120"/>
              <w:jc w:val="left"/>
              <w:textAlignment w:val="auto"/>
              <w:rPr>
                <w:rFonts w:eastAsia="STZhongsong"/>
                <w:lang w:eastAsia="zh-CN"/>
              </w:rPr>
            </w:pPr>
            <w:r w:rsidRPr="009C53CE">
              <w:rPr>
                <w:rFonts w:eastAsia="STZhongsong"/>
                <w:b/>
                <w:lang w:eastAsia="zh-CN"/>
              </w:rPr>
              <w:t>Standards</w:t>
            </w:r>
            <w:r w:rsidRPr="009C53CE">
              <w:rPr>
                <w:rFonts w:eastAsia="STZhongsong"/>
                <w:lang w:eastAsia="zh-CN"/>
              </w:rPr>
              <w:t>:</w:t>
            </w:r>
            <w:r w:rsidRPr="009C53CE">
              <w:rPr>
                <w:rFonts w:eastAsia="STZhongsong"/>
                <w:b/>
                <w:lang w:eastAsia="zh-CN"/>
              </w:rPr>
              <w:t xml:space="preserve"> </w:t>
            </w:r>
            <w:r w:rsidR="002F0DD4" w:rsidRPr="009C53CE">
              <w:rPr>
                <w:rFonts w:eastAsia="STZhongsong"/>
                <w:lang w:eastAsia="zh-CN"/>
              </w:rPr>
              <w:t xml:space="preserve">As defined in the Call Off Terms </w:t>
            </w:r>
          </w:p>
        </w:tc>
      </w:tr>
      <w:tr w:rsidR="009C53CE" w:rsidRPr="009C53CE" w14:paraId="59C74AF2" w14:textId="77777777" w:rsidTr="00172A22">
        <w:tc>
          <w:tcPr>
            <w:tcW w:w="596" w:type="dxa"/>
          </w:tcPr>
          <w:p w14:paraId="1CD66C2C" w14:textId="77777777" w:rsidR="00B5520B" w:rsidRPr="009C53CE" w:rsidRDefault="00B5520B" w:rsidP="00BB4A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4.2</w:t>
            </w:r>
          </w:p>
        </w:tc>
        <w:tc>
          <w:tcPr>
            <w:tcW w:w="9214" w:type="dxa"/>
            <w:shd w:val="clear" w:color="auto" w:fill="auto"/>
          </w:tcPr>
          <w:p w14:paraId="69008BCE" w14:textId="77777777" w:rsidR="00B5520B" w:rsidRPr="009C53CE" w:rsidRDefault="00B5520B" w:rsidP="00BB4A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Service Levels/Service Credits</w:t>
            </w:r>
            <w:r w:rsidRPr="009C53CE">
              <w:rPr>
                <w:rFonts w:eastAsia="STZhongsong"/>
                <w:lang w:eastAsia="zh-CN"/>
              </w:rPr>
              <w:t>:</w:t>
            </w:r>
            <w:r w:rsidRPr="009C53CE">
              <w:rPr>
                <w:rFonts w:eastAsia="STZhongsong"/>
                <w:b/>
                <w:lang w:eastAsia="zh-CN"/>
              </w:rPr>
              <w:t xml:space="preserve"> </w:t>
            </w:r>
          </w:p>
          <w:p w14:paraId="55004F8A" w14:textId="77777777" w:rsidR="00B5520B" w:rsidRPr="009C53CE" w:rsidRDefault="00B5520B" w:rsidP="00BB4A0B">
            <w:pPr>
              <w:numPr>
                <w:ilvl w:val="1"/>
                <w:numId w:val="0"/>
              </w:numPr>
              <w:overflowPunct/>
              <w:autoSpaceDE/>
              <w:autoSpaceDN/>
              <w:spacing w:after="120"/>
              <w:jc w:val="left"/>
              <w:textAlignment w:val="auto"/>
            </w:pPr>
            <w:r w:rsidRPr="009C53CE">
              <w:t>Not applied</w:t>
            </w:r>
          </w:p>
        </w:tc>
      </w:tr>
      <w:tr w:rsidR="009C53CE" w:rsidRPr="009C53CE" w14:paraId="4A58D05F" w14:textId="77777777" w:rsidTr="00172A22">
        <w:tc>
          <w:tcPr>
            <w:tcW w:w="596" w:type="dxa"/>
          </w:tcPr>
          <w:p w14:paraId="4D930D9D" w14:textId="77777777" w:rsidR="00B5520B" w:rsidRPr="009C53CE" w:rsidRDefault="00B5520B" w:rsidP="00BB4A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4.3</w:t>
            </w:r>
          </w:p>
        </w:tc>
        <w:tc>
          <w:tcPr>
            <w:tcW w:w="9214" w:type="dxa"/>
            <w:shd w:val="clear" w:color="auto" w:fill="auto"/>
          </w:tcPr>
          <w:p w14:paraId="1D7E28DD" w14:textId="77777777" w:rsidR="00B5520B" w:rsidRPr="009C53CE" w:rsidRDefault="00B5520B" w:rsidP="00BB4A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Critical Service Level Failure</w:t>
            </w:r>
            <w:r w:rsidRPr="009C53CE">
              <w:rPr>
                <w:rFonts w:eastAsia="STZhongsong"/>
                <w:lang w:eastAsia="zh-CN"/>
              </w:rPr>
              <w:t>:</w:t>
            </w:r>
          </w:p>
          <w:p w14:paraId="6C13F7E1" w14:textId="547A194B" w:rsidR="00B5520B" w:rsidRPr="009C53CE" w:rsidRDefault="00B5520B" w:rsidP="00B02A10">
            <w:pPr>
              <w:ind w:left="0"/>
              <w:rPr>
                <w:rFonts w:eastAsia="STZhongsong"/>
                <w:lang w:eastAsia="zh-CN"/>
              </w:rPr>
            </w:pPr>
            <w:r w:rsidRPr="009C53CE">
              <w:t>Not applied</w:t>
            </w:r>
          </w:p>
        </w:tc>
      </w:tr>
      <w:tr w:rsidR="009C53CE" w:rsidRPr="009C53CE" w14:paraId="5C65B622" w14:textId="77777777" w:rsidTr="00172A22">
        <w:tc>
          <w:tcPr>
            <w:tcW w:w="596" w:type="dxa"/>
          </w:tcPr>
          <w:p w14:paraId="4C3EAEAB" w14:textId="77777777" w:rsidR="00B5520B" w:rsidRPr="009C53CE" w:rsidRDefault="00B552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4.4</w:t>
            </w:r>
          </w:p>
        </w:tc>
        <w:tc>
          <w:tcPr>
            <w:tcW w:w="9214" w:type="dxa"/>
            <w:shd w:val="clear" w:color="auto" w:fill="auto"/>
          </w:tcPr>
          <w:p w14:paraId="1BBFAE04" w14:textId="77777777" w:rsidR="00B5520B" w:rsidRPr="009C53CE" w:rsidRDefault="00B552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 xml:space="preserve">Performance Monitoring: </w:t>
            </w:r>
          </w:p>
          <w:p w14:paraId="23838567" w14:textId="0967D24E" w:rsidR="00B5520B" w:rsidRPr="009C53CE" w:rsidRDefault="0091668D">
            <w:pPr>
              <w:numPr>
                <w:ilvl w:val="1"/>
                <w:numId w:val="0"/>
              </w:numPr>
              <w:overflowPunct/>
              <w:autoSpaceDE/>
              <w:autoSpaceDN/>
              <w:spacing w:after="120"/>
              <w:jc w:val="left"/>
              <w:textAlignment w:val="auto"/>
              <w:rPr>
                <w:rFonts w:eastAsia="STZhongsong"/>
                <w:bCs/>
                <w:lang w:eastAsia="zh-CN"/>
              </w:rPr>
            </w:pPr>
            <w:r w:rsidRPr="009C53CE">
              <w:rPr>
                <w:rFonts w:eastAsia="STZhongsong"/>
                <w:lang w:eastAsia="zh-CN"/>
              </w:rPr>
              <w:lastRenderedPageBreak/>
              <w:t>The Supplier shall provide w</w:t>
            </w:r>
            <w:r w:rsidR="001572E1" w:rsidRPr="009C53CE">
              <w:rPr>
                <w:rFonts w:eastAsia="STZhongsong"/>
                <w:lang w:eastAsia="zh-CN"/>
              </w:rPr>
              <w:t xml:space="preserve">eekly timesheet reports </w:t>
            </w:r>
            <w:r w:rsidR="0011796B" w:rsidRPr="009C53CE">
              <w:rPr>
                <w:rFonts w:eastAsia="STZhongsong"/>
                <w:lang w:eastAsia="zh-CN"/>
              </w:rPr>
              <w:t xml:space="preserve">in a format to be determined by the Customer </w:t>
            </w:r>
            <w:r w:rsidR="001572E1" w:rsidRPr="009C53CE">
              <w:rPr>
                <w:rFonts w:eastAsia="STZhongsong"/>
                <w:lang w:eastAsia="zh-CN"/>
              </w:rPr>
              <w:t xml:space="preserve">showing time spent </w:t>
            </w:r>
            <w:r w:rsidRPr="009C53CE">
              <w:rPr>
                <w:rFonts w:eastAsia="STZhongsong"/>
                <w:lang w:eastAsia="zh-CN"/>
              </w:rPr>
              <w:t xml:space="preserve">by </w:t>
            </w:r>
            <w:r w:rsidR="0011796B" w:rsidRPr="009C53CE">
              <w:rPr>
                <w:rFonts w:eastAsia="STZhongsong"/>
                <w:lang w:eastAsia="zh-CN"/>
              </w:rPr>
              <w:t xml:space="preserve">each member of </w:t>
            </w:r>
            <w:r w:rsidRPr="009C53CE">
              <w:rPr>
                <w:rFonts w:eastAsia="STZhongsong"/>
                <w:lang w:eastAsia="zh-CN"/>
              </w:rPr>
              <w:t>Supplier Personnel</w:t>
            </w:r>
            <w:r w:rsidR="0011796B" w:rsidRPr="009C53CE">
              <w:rPr>
                <w:rFonts w:eastAsia="STZhongsong"/>
                <w:lang w:eastAsia="zh-CN"/>
              </w:rPr>
              <w:t xml:space="preserve"> against agreed budgets </w:t>
            </w:r>
          </w:p>
        </w:tc>
      </w:tr>
      <w:tr w:rsidR="00B5520B" w:rsidRPr="009C53CE" w14:paraId="0B21EE94" w14:textId="77777777" w:rsidTr="00172A22">
        <w:tc>
          <w:tcPr>
            <w:tcW w:w="596" w:type="dxa"/>
          </w:tcPr>
          <w:p w14:paraId="450910F1" w14:textId="77777777" w:rsidR="00B5520B" w:rsidRPr="009C53CE" w:rsidRDefault="00B552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lastRenderedPageBreak/>
              <w:t>4.5</w:t>
            </w:r>
          </w:p>
        </w:tc>
        <w:tc>
          <w:tcPr>
            <w:tcW w:w="9214" w:type="dxa"/>
            <w:shd w:val="clear" w:color="auto" w:fill="auto"/>
          </w:tcPr>
          <w:p w14:paraId="07DBB82F" w14:textId="77777777" w:rsidR="00B5520B" w:rsidRPr="009C53CE" w:rsidRDefault="00B5520B" w:rsidP="00BB4A0B">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 xml:space="preserve">Period for providing Rectification Plan: </w:t>
            </w:r>
          </w:p>
          <w:p w14:paraId="1B26A765" w14:textId="25FAE9DB" w:rsidR="00B5520B" w:rsidRPr="009C53CE" w:rsidRDefault="00B5520B" w:rsidP="002047E1">
            <w:pPr>
              <w:numPr>
                <w:ilvl w:val="1"/>
                <w:numId w:val="0"/>
              </w:numPr>
              <w:overflowPunct/>
              <w:autoSpaceDE/>
              <w:autoSpaceDN/>
              <w:spacing w:after="120"/>
              <w:textAlignment w:val="auto"/>
              <w:rPr>
                <w:rFonts w:eastAsia="STZhongsong"/>
                <w:b/>
                <w:lang w:eastAsia="zh-CN"/>
              </w:rPr>
            </w:pPr>
            <w:r w:rsidRPr="009C53CE">
              <w:t>The period of ten (10) Working Days in Clause 39.2.1(a) shall be amended to five (5) Working Days</w:t>
            </w:r>
          </w:p>
        </w:tc>
      </w:tr>
    </w:tbl>
    <w:p w14:paraId="2FCA61A8" w14:textId="77777777" w:rsidR="004E05DC" w:rsidRPr="009C53CE" w:rsidRDefault="004E05DC">
      <w:pPr>
        <w:spacing w:after="0"/>
        <w:ind w:left="0"/>
      </w:pPr>
    </w:p>
    <w:p w14:paraId="02114539" w14:textId="77777777" w:rsidR="004E05DC" w:rsidRPr="009C53CE" w:rsidRDefault="00F770DB">
      <w:pPr>
        <w:pStyle w:val="ORDERFORML1PraraNo"/>
        <w:rPr>
          <w:rFonts w:ascii="Arial" w:hAnsi="Arial" w:cs="Arial"/>
        </w:rPr>
      </w:pPr>
      <w:r w:rsidRPr="009C53CE">
        <w:rPr>
          <w:rFonts w:ascii="Arial" w:hAnsi="Arial" w:cs="Arial"/>
        </w:rPr>
        <w:t>personnel</w:t>
      </w:r>
    </w:p>
    <w:p w14:paraId="6B99515A" w14:textId="77777777" w:rsidR="004E05DC" w:rsidRPr="009C53CE" w:rsidRDefault="004E05DC">
      <w:pPr>
        <w:pStyle w:val="ORDERFORML1PraraNo"/>
        <w:numPr>
          <w:ilvl w:val="0"/>
          <w:numId w:val="0"/>
        </w:numPr>
        <w:ind w:left="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214"/>
      </w:tblGrid>
      <w:tr w:rsidR="009C53CE" w:rsidRPr="009C53CE" w14:paraId="67C5D3D0" w14:textId="77777777" w:rsidTr="00172A22">
        <w:trPr>
          <w:trHeight w:val="1229"/>
        </w:trPr>
        <w:tc>
          <w:tcPr>
            <w:tcW w:w="596" w:type="dxa"/>
          </w:tcPr>
          <w:p w14:paraId="73D2EBFF" w14:textId="77777777" w:rsidR="0005252A" w:rsidRPr="009C53CE" w:rsidRDefault="0005252A">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5.1</w:t>
            </w:r>
          </w:p>
        </w:tc>
        <w:tc>
          <w:tcPr>
            <w:tcW w:w="9214" w:type="dxa"/>
            <w:shd w:val="clear" w:color="auto" w:fill="auto"/>
          </w:tcPr>
          <w:p w14:paraId="7DB4819B" w14:textId="108D427F" w:rsidR="0005252A" w:rsidRPr="009C53CE" w:rsidRDefault="0005252A">
            <w:pPr>
              <w:numPr>
                <w:ilvl w:val="1"/>
                <w:numId w:val="0"/>
              </w:numPr>
              <w:overflowPunct/>
              <w:autoSpaceDE/>
              <w:autoSpaceDN/>
              <w:spacing w:after="120"/>
              <w:jc w:val="left"/>
              <w:textAlignment w:val="auto"/>
              <w:rPr>
                <w:rFonts w:eastAsia="STZhongsong"/>
                <w:lang w:eastAsia="zh-CN"/>
              </w:rPr>
            </w:pPr>
            <w:r w:rsidRPr="009C53CE">
              <w:rPr>
                <w:rFonts w:eastAsia="STZhongsong"/>
                <w:b/>
                <w:lang w:eastAsia="zh-CN"/>
              </w:rPr>
              <w:t>Key Personnel</w:t>
            </w:r>
            <w:r w:rsidRPr="009C53CE">
              <w:rPr>
                <w:rFonts w:eastAsia="STZhongsong"/>
                <w:lang w:eastAsia="zh-CN"/>
              </w:rPr>
              <w:t xml:space="preserve">: </w:t>
            </w:r>
          </w:p>
          <w:p w14:paraId="5023F274" w14:textId="4C6FC7E6" w:rsidR="00BD5256" w:rsidRPr="00916CF0" w:rsidRDefault="00664D82">
            <w:pPr>
              <w:numPr>
                <w:ilvl w:val="1"/>
                <w:numId w:val="0"/>
              </w:numPr>
              <w:overflowPunct/>
              <w:autoSpaceDE/>
              <w:autoSpaceDN/>
              <w:spacing w:after="120"/>
              <w:jc w:val="left"/>
              <w:textAlignment w:val="auto"/>
              <w:rPr>
                <w:rFonts w:eastAsia="STZhongsong"/>
                <w:lang w:eastAsia="zh-CN"/>
              </w:rPr>
            </w:pPr>
            <w:r w:rsidRPr="00BD5256" w:rsidDel="00664D82">
              <w:rPr>
                <w:rFonts w:eastAsia="STZhongsong"/>
                <w:u w:val="single"/>
                <w:lang w:eastAsia="zh-CN"/>
              </w:rPr>
              <w:t xml:space="preserve"> </w:t>
            </w:r>
            <w:r w:rsidR="00BD5256" w:rsidRPr="00BD5256">
              <w:rPr>
                <w:rFonts w:eastAsia="STZhongsong"/>
                <w:u w:val="single"/>
                <w:lang w:eastAsia="zh-CN"/>
              </w:rPr>
              <w:t>Supplier</w:t>
            </w:r>
          </w:p>
          <w:p w14:paraId="22BF2FCB" w14:textId="77777777" w:rsidR="00B1604D" w:rsidRPr="00B1604D" w:rsidRDefault="00B1604D" w:rsidP="00B1604D">
            <w:pPr>
              <w:tabs>
                <w:tab w:val="center" w:pos="4153"/>
                <w:tab w:val="right" w:pos="8306"/>
              </w:tabs>
              <w:overflowPunct/>
              <w:autoSpaceDE/>
              <w:autoSpaceDN/>
              <w:adjustRightInd/>
              <w:spacing w:after="120" w:line="240" w:lineRule="atLeast"/>
              <w:ind w:left="0"/>
              <w:jc w:val="left"/>
              <w:textAlignment w:val="auto"/>
              <w:rPr>
                <w:rFonts w:eastAsiaTheme="minorHAnsi"/>
                <w:b/>
              </w:rPr>
            </w:pPr>
            <w:r w:rsidRPr="00B1604D">
              <w:rPr>
                <w:rFonts w:eastAsiaTheme="minorHAnsi"/>
                <w:b/>
              </w:rPr>
              <w:t>REDACTED</w:t>
            </w:r>
          </w:p>
          <w:p w14:paraId="10DD0DC6" w14:textId="7542E7B0" w:rsidR="00BD5256" w:rsidRPr="00BD5256" w:rsidRDefault="00BD5256">
            <w:pPr>
              <w:numPr>
                <w:ilvl w:val="1"/>
                <w:numId w:val="0"/>
              </w:numPr>
              <w:overflowPunct/>
              <w:autoSpaceDE/>
              <w:autoSpaceDN/>
              <w:spacing w:after="120"/>
              <w:jc w:val="left"/>
              <w:textAlignment w:val="auto"/>
              <w:rPr>
                <w:rFonts w:eastAsia="STZhongsong"/>
                <w:lang w:eastAsia="zh-CN"/>
              </w:rPr>
            </w:pPr>
          </w:p>
        </w:tc>
      </w:tr>
      <w:tr w:rsidR="0005252A" w:rsidRPr="009C53CE" w14:paraId="0FF6582D" w14:textId="77777777" w:rsidTr="00172A22">
        <w:trPr>
          <w:trHeight w:val="902"/>
        </w:trPr>
        <w:tc>
          <w:tcPr>
            <w:tcW w:w="596" w:type="dxa"/>
            <w:tcBorders>
              <w:top w:val="single" w:sz="4" w:space="0" w:color="auto"/>
              <w:left w:val="single" w:sz="4" w:space="0" w:color="auto"/>
              <w:bottom w:val="single" w:sz="4" w:space="0" w:color="auto"/>
              <w:right w:val="single" w:sz="4" w:space="0" w:color="auto"/>
            </w:tcBorders>
          </w:tcPr>
          <w:p w14:paraId="2B5BB8B1" w14:textId="77777777" w:rsidR="0005252A" w:rsidRPr="009C53CE" w:rsidRDefault="0005252A">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5.2</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05252A" w:rsidRPr="009C53CE" w:rsidRDefault="0005252A" w:rsidP="00BB4A0B">
            <w:pPr>
              <w:numPr>
                <w:ilvl w:val="1"/>
                <w:numId w:val="0"/>
              </w:numPr>
              <w:overflowPunct/>
              <w:autoSpaceDE/>
              <w:autoSpaceDN/>
              <w:spacing w:after="120"/>
              <w:textAlignment w:val="auto"/>
              <w:rPr>
                <w:rFonts w:eastAsia="STZhongsong"/>
                <w:lang w:eastAsia="zh-CN"/>
              </w:rPr>
            </w:pPr>
            <w:r w:rsidRPr="009C53CE">
              <w:rPr>
                <w:rFonts w:eastAsia="STZhongsong"/>
                <w:b/>
                <w:lang w:eastAsia="zh-CN"/>
              </w:rPr>
              <w:t>Relevant Convictions</w:t>
            </w:r>
            <w:r w:rsidRPr="009C53CE">
              <w:rPr>
                <w:rFonts w:eastAsia="STZhongsong"/>
                <w:lang w:eastAsia="zh-CN"/>
              </w:rPr>
              <w:t xml:space="preserve"> (Clause 28.2 of the Call Off Terms):</w:t>
            </w:r>
          </w:p>
          <w:p w14:paraId="4D54581C" w14:textId="77777777" w:rsidR="0005252A" w:rsidRPr="009C53CE" w:rsidRDefault="00CA1B3D">
            <w:pPr>
              <w:numPr>
                <w:ilvl w:val="1"/>
                <w:numId w:val="0"/>
              </w:numPr>
              <w:overflowPunct/>
              <w:autoSpaceDE/>
              <w:autoSpaceDN/>
              <w:spacing w:after="120"/>
              <w:jc w:val="left"/>
              <w:textAlignment w:val="auto"/>
              <w:rPr>
                <w:rFonts w:eastAsia="STZhongsong"/>
                <w:bCs/>
                <w:lang w:eastAsia="zh-CN"/>
              </w:rPr>
            </w:pPr>
            <w:r w:rsidRPr="009C53CE">
              <w:rPr>
                <w:rFonts w:eastAsia="STZhongsong"/>
                <w:bCs/>
                <w:lang w:eastAsia="zh-CN"/>
              </w:rPr>
              <w:t>Applied as per clause 28.2.</w:t>
            </w:r>
          </w:p>
          <w:p w14:paraId="31751354" w14:textId="70BC8443" w:rsidR="00CA1B3D" w:rsidRPr="009C53CE" w:rsidRDefault="00CA1B3D" w:rsidP="00CA1B3D">
            <w:pPr>
              <w:pStyle w:val="Heading3"/>
              <w:rPr>
                <w:rFonts w:eastAsia="Times New Roman"/>
              </w:rPr>
            </w:pPr>
            <w:bookmarkStart w:id="2" w:name="_Ref21460500"/>
            <w:r w:rsidRPr="009C53CE">
              <w:rPr>
                <w:rFonts w:eastAsia="Times New Roman"/>
              </w:rPr>
              <w:t xml:space="preserve">The Supplier shall ensure that the checks specified in HMG Baseline Personnel Security Standard have been carried out in respect of any of </w:t>
            </w:r>
            <w:r w:rsidR="00642F6F" w:rsidRPr="009C53CE">
              <w:rPr>
                <w:rFonts w:eastAsia="Times New Roman"/>
              </w:rPr>
              <w:t>Supplier Personnel</w:t>
            </w:r>
            <w:r w:rsidRPr="009C53CE">
              <w:rPr>
                <w:rFonts w:eastAsia="Times New Roman"/>
              </w:rPr>
              <w:t xml:space="preserve"> assigned to access </w:t>
            </w:r>
            <w:r w:rsidR="00642F6F" w:rsidRPr="009C53CE">
              <w:rPr>
                <w:rFonts w:eastAsia="Times New Roman"/>
              </w:rPr>
              <w:t xml:space="preserve">the Customer </w:t>
            </w:r>
            <w:r w:rsidRPr="009C53CE">
              <w:rPr>
                <w:rFonts w:eastAsia="Times New Roman"/>
              </w:rPr>
              <w:t xml:space="preserve">Premises, </w:t>
            </w:r>
            <w:r w:rsidR="00642F6F" w:rsidRPr="009C53CE">
              <w:rPr>
                <w:rFonts w:eastAsia="Times New Roman"/>
              </w:rPr>
              <w:t>Customer</w:t>
            </w:r>
            <w:r w:rsidRPr="009C53CE">
              <w:rPr>
                <w:rFonts w:eastAsia="Times New Roman"/>
              </w:rPr>
              <w:t xml:space="preserve"> Property, </w:t>
            </w:r>
            <w:r w:rsidR="00642F6F" w:rsidRPr="009C53CE">
              <w:rPr>
                <w:rFonts w:eastAsia="Times New Roman"/>
              </w:rPr>
              <w:t>Customer</w:t>
            </w:r>
            <w:r w:rsidRPr="009C53CE">
              <w:rPr>
                <w:rFonts w:eastAsia="Times New Roman"/>
              </w:rPr>
              <w:t xml:space="preserve"> Data or any other property or information belonging to the </w:t>
            </w:r>
            <w:r w:rsidR="00642F6F" w:rsidRPr="009C53CE">
              <w:rPr>
                <w:rFonts w:eastAsia="Times New Roman"/>
              </w:rPr>
              <w:t>Customer</w:t>
            </w:r>
            <w:r w:rsidRPr="009C53CE">
              <w:rPr>
                <w:rFonts w:eastAsia="Times New Roman"/>
              </w:rPr>
              <w:t xml:space="preserve">, and </w:t>
            </w:r>
            <w:r w:rsidR="00642F6F" w:rsidRPr="009C53CE">
              <w:rPr>
                <w:rFonts w:eastAsia="Times New Roman"/>
              </w:rPr>
              <w:t xml:space="preserve">that </w:t>
            </w:r>
            <w:r w:rsidRPr="009C53CE">
              <w:rPr>
                <w:rFonts w:eastAsia="Times New Roman"/>
              </w:rPr>
              <w:t>the results of those checks were satisfactory.</w:t>
            </w:r>
            <w:bookmarkEnd w:id="2"/>
            <w:r w:rsidR="00642F6F" w:rsidRPr="009C53CE">
              <w:rPr>
                <w:rFonts w:eastAsia="Times New Roman"/>
              </w:rPr>
              <w:t xml:space="preserve"> The Supplier shall document full and accurate records of HMG Baseline Personnel Security Standard checks.</w:t>
            </w:r>
          </w:p>
          <w:p w14:paraId="78F1A122" w14:textId="77777777" w:rsidR="004E0AA8" w:rsidRPr="009C53CE" w:rsidRDefault="004E0AA8" w:rsidP="004E0AA8">
            <w:pPr>
              <w:pStyle w:val="Default"/>
              <w:spacing w:after="134"/>
              <w:rPr>
                <w:color w:val="auto"/>
                <w:sz w:val="22"/>
                <w:szCs w:val="22"/>
              </w:rPr>
            </w:pPr>
            <w:r w:rsidRPr="009C53CE">
              <w:rPr>
                <w:color w:val="auto"/>
                <w:sz w:val="22"/>
                <w:szCs w:val="22"/>
              </w:rPr>
              <w:t xml:space="preserve">This sub-clause 28.2 shall apply if the Customer has specified Relevant Convictions in the Call Off Order Form. </w:t>
            </w:r>
          </w:p>
          <w:p w14:paraId="68BF99E6" w14:textId="77777777" w:rsidR="004E0AA8" w:rsidRPr="009C53CE" w:rsidRDefault="004E0AA8" w:rsidP="004E0AA8">
            <w:pPr>
              <w:pStyle w:val="Default"/>
              <w:spacing w:after="134"/>
              <w:rPr>
                <w:color w:val="auto"/>
                <w:sz w:val="22"/>
                <w:szCs w:val="22"/>
              </w:rPr>
            </w:pPr>
            <w:r w:rsidRPr="009C53CE">
              <w:rPr>
                <w:color w:val="auto"/>
                <w:sz w:val="22"/>
                <w:szCs w:val="22"/>
              </w:rPr>
              <w:t xml:space="preserve">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 </w:t>
            </w:r>
          </w:p>
          <w:p w14:paraId="197FF2D6" w14:textId="75315FEC" w:rsidR="004E0AA8" w:rsidRPr="009C53CE" w:rsidRDefault="004E0AA8" w:rsidP="004E0AA8">
            <w:pPr>
              <w:pStyle w:val="Default"/>
              <w:rPr>
                <w:color w:val="auto"/>
                <w:sz w:val="22"/>
                <w:szCs w:val="22"/>
              </w:rPr>
            </w:pPr>
            <w:r w:rsidRPr="009C53CE">
              <w:rPr>
                <w:color w:val="auto"/>
                <w:sz w:val="22"/>
                <w:szCs w:val="22"/>
              </w:rPr>
              <w:t xml:space="preserve">Notwithstanding Clause 28.2.2,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14:paraId="68676684" w14:textId="77777777" w:rsidR="004E0AA8" w:rsidRPr="009C53CE" w:rsidRDefault="004E0AA8" w:rsidP="004E0AA8">
            <w:pPr>
              <w:pStyle w:val="Default"/>
              <w:numPr>
                <w:ilvl w:val="0"/>
                <w:numId w:val="98"/>
              </w:numPr>
              <w:spacing w:after="134"/>
              <w:rPr>
                <w:color w:val="auto"/>
                <w:sz w:val="22"/>
                <w:szCs w:val="22"/>
              </w:rPr>
            </w:pPr>
            <w:r w:rsidRPr="009C53CE">
              <w:rPr>
                <w:color w:val="auto"/>
                <w:sz w:val="22"/>
                <w:szCs w:val="22"/>
              </w:rPr>
              <w:t>carry out a check with the records held by the Department for Education (DfE);</w:t>
            </w:r>
          </w:p>
          <w:p w14:paraId="5FB2A496" w14:textId="77777777" w:rsidR="004E0AA8" w:rsidRPr="009C53CE" w:rsidRDefault="004E0AA8" w:rsidP="00E96586">
            <w:pPr>
              <w:pStyle w:val="Default"/>
              <w:numPr>
                <w:ilvl w:val="0"/>
                <w:numId w:val="98"/>
              </w:numPr>
              <w:spacing w:after="134"/>
              <w:rPr>
                <w:color w:val="auto"/>
                <w:sz w:val="22"/>
                <w:szCs w:val="22"/>
              </w:rPr>
            </w:pPr>
            <w:r w:rsidRPr="009C53CE">
              <w:rPr>
                <w:color w:val="auto"/>
                <w:sz w:val="22"/>
                <w:szCs w:val="22"/>
              </w:rPr>
              <w:t xml:space="preserve">conduct thorough questioning regarding any Relevant Convictions; and </w:t>
            </w:r>
          </w:p>
          <w:p w14:paraId="580BCAD0" w14:textId="3CAA5784" w:rsidR="00CA1B3D" w:rsidRPr="009C53CE" w:rsidRDefault="004E0AA8" w:rsidP="004E0AA8">
            <w:pPr>
              <w:pStyle w:val="Default"/>
              <w:numPr>
                <w:ilvl w:val="0"/>
                <w:numId w:val="98"/>
              </w:numPr>
              <w:spacing w:after="134"/>
              <w:rPr>
                <w:rFonts w:eastAsia="STZhongsong"/>
                <w:bCs/>
                <w:color w:val="auto"/>
                <w:lang w:eastAsia="zh-CN"/>
              </w:rPr>
            </w:pPr>
            <w:r w:rsidRPr="009C53CE">
              <w:rPr>
                <w:color w:val="auto"/>
                <w:sz w:val="22"/>
                <w:szCs w:val="22"/>
              </w:rPr>
              <w:t>ensure a police check is completed and such other checks as may be carried out through the Disclosure and Barring Service (DBS), and the Supplier shall not (and shall ensure that any Sub-Contractor shall not) engage or continue to employ in the provision of the Services any person who has a Relevant Conviction or an inappropriate record.</w:t>
            </w:r>
          </w:p>
        </w:tc>
      </w:tr>
    </w:tbl>
    <w:p w14:paraId="78A17AE7" w14:textId="77777777" w:rsidR="004E05DC" w:rsidRPr="009C53CE" w:rsidRDefault="004E05DC">
      <w:pPr>
        <w:pStyle w:val="ORDERFORML1PraraNo"/>
        <w:numPr>
          <w:ilvl w:val="0"/>
          <w:numId w:val="0"/>
        </w:numPr>
        <w:rPr>
          <w:rFonts w:ascii="Arial" w:hAnsi="Arial" w:cs="Arial"/>
        </w:rPr>
      </w:pPr>
    </w:p>
    <w:p w14:paraId="65F4F7D6" w14:textId="77777777" w:rsidR="004E05DC" w:rsidRPr="009C53CE" w:rsidRDefault="00F770DB">
      <w:pPr>
        <w:pStyle w:val="ORDERFORML1PraraNo"/>
        <w:rPr>
          <w:rFonts w:ascii="Arial" w:hAnsi="Arial" w:cs="Arial"/>
        </w:rPr>
      </w:pPr>
      <w:r w:rsidRPr="009C53CE">
        <w:rPr>
          <w:rFonts w:ascii="Arial" w:hAnsi="Arial" w:cs="Arial"/>
        </w:rPr>
        <w:t>PAYMENT</w:t>
      </w:r>
    </w:p>
    <w:p w14:paraId="01D4B9C4" w14:textId="77777777" w:rsidR="004E05DC" w:rsidRPr="009C53CE"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9C53CE" w:rsidRPr="009C53CE" w14:paraId="25AA48BB" w14:textId="77777777" w:rsidTr="00B5520B">
        <w:tc>
          <w:tcPr>
            <w:tcW w:w="564" w:type="dxa"/>
          </w:tcPr>
          <w:p w14:paraId="58E752B1" w14:textId="77777777" w:rsidR="00B5520B" w:rsidRPr="009C53CE" w:rsidRDefault="00B552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6.1</w:t>
            </w:r>
          </w:p>
        </w:tc>
        <w:tc>
          <w:tcPr>
            <w:tcW w:w="9104" w:type="dxa"/>
            <w:shd w:val="clear" w:color="auto" w:fill="auto"/>
          </w:tcPr>
          <w:p w14:paraId="3D5C3CE0" w14:textId="77777777" w:rsidR="00B5520B" w:rsidRPr="009C53CE" w:rsidRDefault="00B5520B" w:rsidP="00BB4A0B">
            <w:pPr>
              <w:numPr>
                <w:ilvl w:val="1"/>
                <w:numId w:val="0"/>
              </w:numPr>
              <w:overflowPunct/>
              <w:autoSpaceDE/>
              <w:autoSpaceDN/>
              <w:spacing w:after="120"/>
              <w:textAlignment w:val="auto"/>
              <w:rPr>
                <w:rFonts w:eastAsia="STZhongsong"/>
                <w:lang w:eastAsia="zh-CN"/>
              </w:rPr>
            </w:pPr>
            <w:r w:rsidRPr="009C53CE">
              <w:rPr>
                <w:rFonts w:eastAsia="STZhongsong"/>
                <w:b/>
                <w:lang w:eastAsia="zh-CN"/>
              </w:rPr>
              <w:t>Call Off Contract Charges</w:t>
            </w:r>
            <w:r w:rsidRPr="009C53CE">
              <w:rPr>
                <w:rFonts w:eastAsia="STZhongsong"/>
                <w:lang w:eastAsia="zh-CN"/>
              </w:rPr>
              <w:t xml:space="preserve"> (including any applicable discount(s), but excluding VAT): </w:t>
            </w:r>
          </w:p>
          <w:p w14:paraId="3051B37F" w14:textId="11FCC91B" w:rsidR="00754676" w:rsidRDefault="003C71E6" w:rsidP="00BB4A0B">
            <w:pPr>
              <w:numPr>
                <w:ilvl w:val="1"/>
                <w:numId w:val="0"/>
              </w:numPr>
              <w:overflowPunct/>
              <w:autoSpaceDE/>
              <w:autoSpaceDN/>
              <w:spacing w:after="120"/>
              <w:textAlignment w:val="auto"/>
              <w:rPr>
                <w:rFonts w:eastAsia="STZhongsong"/>
                <w:lang w:eastAsia="zh-CN"/>
              </w:rPr>
            </w:pPr>
            <w:r>
              <w:rPr>
                <w:rFonts w:eastAsia="STZhongsong"/>
                <w:lang w:eastAsia="zh-CN"/>
              </w:rPr>
              <w:t xml:space="preserve">The total value of this contract shall be </w:t>
            </w:r>
            <w:bookmarkStart w:id="3" w:name="_Hlk66785591"/>
            <w:r w:rsidRPr="003C71E6">
              <w:rPr>
                <w:rFonts w:eastAsia="STZhongsong"/>
                <w:lang w:eastAsia="zh-CN"/>
              </w:rPr>
              <w:t>£</w:t>
            </w:r>
            <w:r w:rsidR="00447839" w:rsidRPr="00447839">
              <w:rPr>
                <w:rFonts w:eastAsia="STZhongsong"/>
                <w:lang w:eastAsia="zh-CN"/>
              </w:rPr>
              <w:t>95,760.00 (excluding VAT)</w:t>
            </w:r>
            <w:bookmarkEnd w:id="3"/>
            <w:r>
              <w:rPr>
                <w:rFonts w:eastAsia="STZhongsong"/>
                <w:lang w:eastAsia="zh-CN"/>
              </w:rPr>
              <w:t>.  A full break down of these costs is included below:</w:t>
            </w:r>
          </w:p>
          <w:p w14:paraId="3E084D13" w14:textId="77777777" w:rsidR="00B1604D" w:rsidRPr="00B1604D" w:rsidRDefault="00B1604D" w:rsidP="00B1604D">
            <w:pPr>
              <w:tabs>
                <w:tab w:val="center" w:pos="4153"/>
                <w:tab w:val="right" w:pos="8306"/>
              </w:tabs>
              <w:overflowPunct/>
              <w:autoSpaceDE/>
              <w:autoSpaceDN/>
              <w:adjustRightInd/>
              <w:spacing w:after="120" w:line="240" w:lineRule="atLeast"/>
              <w:ind w:left="0"/>
              <w:jc w:val="left"/>
              <w:textAlignment w:val="auto"/>
              <w:rPr>
                <w:rFonts w:eastAsiaTheme="minorHAnsi"/>
                <w:b/>
              </w:rPr>
            </w:pPr>
            <w:r w:rsidRPr="00B1604D">
              <w:rPr>
                <w:rFonts w:eastAsiaTheme="minorHAnsi"/>
                <w:b/>
              </w:rPr>
              <w:lastRenderedPageBreak/>
              <w:t>REDACTED</w:t>
            </w:r>
          </w:p>
          <w:p w14:paraId="6760181A" w14:textId="495FDBA3" w:rsidR="003C71E6" w:rsidRPr="009C53CE" w:rsidRDefault="003C71E6" w:rsidP="00BB4A0B">
            <w:pPr>
              <w:numPr>
                <w:ilvl w:val="1"/>
                <w:numId w:val="0"/>
              </w:numPr>
              <w:overflowPunct/>
              <w:autoSpaceDE/>
              <w:autoSpaceDN/>
              <w:spacing w:after="120"/>
              <w:textAlignment w:val="auto"/>
              <w:rPr>
                <w:rFonts w:eastAsia="STZhongsong"/>
                <w:lang w:eastAsia="zh-CN"/>
              </w:rPr>
            </w:pPr>
          </w:p>
        </w:tc>
      </w:tr>
      <w:tr w:rsidR="009C53CE" w:rsidRPr="009C53CE" w14:paraId="1B702A76" w14:textId="77777777" w:rsidTr="00B5520B">
        <w:tc>
          <w:tcPr>
            <w:tcW w:w="564" w:type="dxa"/>
          </w:tcPr>
          <w:p w14:paraId="10B4EC6D" w14:textId="77777777" w:rsidR="00B5520B" w:rsidRPr="009C53CE" w:rsidRDefault="00B552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lastRenderedPageBreak/>
              <w:t>6.2</w:t>
            </w:r>
          </w:p>
        </w:tc>
        <w:tc>
          <w:tcPr>
            <w:tcW w:w="9104" w:type="dxa"/>
            <w:shd w:val="clear" w:color="auto" w:fill="auto"/>
          </w:tcPr>
          <w:p w14:paraId="1A2DD206" w14:textId="7539188E" w:rsidR="00E96586" w:rsidRPr="009C53CE" w:rsidRDefault="00B5520B" w:rsidP="002F2BD9">
            <w:pPr>
              <w:numPr>
                <w:ilvl w:val="1"/>
                <w:numId w:val="0"/>
              </w:numPr>
              <w:overflowPunct/>
              <w:autoSpaceDE/>
              <w:autoSpaceDN/>
              <w:spacing w:after="120"/>
              <w:textAlignment w:val="auto"/>
              <w:rPr>
                <w:rFonts w:eastAsia="STZhongsong"/>
                <w:lang w:eastAsia="zh-CN"/>
              </w:rPr>
            </w:pPr>
            <w:r w:rsidRPr="009C53CE">
              <w:rPr>
                <w:rFonts w:eastAsia="STZhongsong"/>
                <w:b/>
                <w:lang w:eastAsia="zh-CN"/>
              </w:rPr>
              <w:t xml:space="preserve">Payment terms/profile </w:t>
            </w:r>
            <w:r w:rsidRPr="009C53CE">
              <w:rPr>
                <w:rFonts w:eastAsia="STZhongsong"/>
                <w:lang w:eastAsia="zh-CN"/>
              </w:rPr>
              <w:t>(including method of payment e.g. Government Procurement Card (GPC) or BACS):</w:t>
            </w:r>
          </w:p>
          <w:p w14:paraId="0814E9E6" w14:textId="77777777" w:rsidR="00E96586" w:rsidRPr="009C53CE" w:rsidRDefault="00E96586" w:rsidP="00E96586">
            <w:pPr>
              <w:numPr>
                <w:ilvl w:val="1"/>
                <w:numId w:val="0"/>
              </w:numPr>
              <w:overflowPunct/>
              <w:autoSpaceDE/>
              <w:autoSpaceDN/>
              <w:spacing w:after="120"/>
              <w:textAlignment w:val="auto"/>
              <w:rPr>
                <w:rFonts w:eastAsia="STZhongsong"/>
                <w:bCs/>
                <w:lang w:eastAsia="zh-CN"/>
              </w:rPr>
            </w:pPr>
            <w:r w:rsidRPr="009C53CE">
              <w:rPr>
                <w:rFonts w:eastAsia="STZhongsong"/>
                <w:bCs/>
                <w:lang w:eastAsia="zh-CN"/>
              </w:rPr>
              <w:t>Submitted invoices must be accompanied by supporting information including:</w:t>
            </w:r>
          </w:p>
          <w:p w14:paraId="255DD162" w14:textId="77777777" w:rsidR="00E96586" w:rsidRPr="009C53CE" w:rsidRDefault="00E96586" w:rsidP="00E96586">
            <w:pPr>
              <w:pStyle w:val="ListParagraph"/>
              <w:numPr>
                <w:ilvl w:val="0"/>
                <w:numId w:val="100"/>
              </w:numPr>
              <w:overflowPunct/>
              <w:autoSpaceDE/>
              <w:autoSpaceDN/>
              <w:spacing w:after="120"/>
              <w:textAlignment w:val="auto"/>
              <w:rPr>
                <w:rFonts w:eastAsia="STZhongsong"/>
                <w:bCs/>
                <w:lang w:eastAsia="zh-CN"/>
              </w:rPr>
            </w:pPr>
            <w:r w:rsidRPr="009C53CE">
              <w:rPr>
                <w:rFonts w:eastAsia="STZhongsong"/>
                <w:bCs/>
                <w:lang w:eastAsia="zh-CN"/>
              </w:rPr>
              <w:t xml:space="preserve">completed timesheets for amounts set out in the relevant invoice; and </w:t>
            </w:r>
          </w:p>
          <w:p w14:paraId="1B365241" w14:textId="77777777" w:rsidR="00E96586" w:rsidRPr="009C53CE" w:rsidRDefault="00E96586" w:rsidP="00E96586">
            <w:pPr>
              <w:pStyle w:val="ListParagraph"/>
              <w:numPr>
                <w:ilvl w:val="0"/>
                <w:numId w:val="100"/>
              </w:numPr>
              <w:overflowPunct/>
              <w:autoSpaceDE/>
              <w:autoSpaceDN/>
              <w:spacing w:after="120"/>
              <w:textAlignment w:val="auto"/>
              <w:rPr>
                <w:rFonts w:eastAsia="STZhongsong"/>
                <w:bCs/>
                <w:lang w:eastAsia="zh-CN"/>
              </w:rPr>
            </w:pPr>
            <w:r w:rsidRPr="009C53CE">
              <w:rPr>
                <w:rFonts w:eastAsia="STZhongsong"/>
                <w:bCs/>
                <w:lang w:eastAsia="zh-CN"/>
              </w:rPr>
              <w:t xml:space="preserve">such other information as the Customer (acting reasonably) may require in order to verify the invoiced amounts. </w:t>
            </w:r>
          </w:p>
          <w:p w14:paraId="0DFE3D31" w14:textId="77777777" w:rsidR="00E96586" w:rsidRPr="009C53CE" w:rsidRDefault="00E96586" w:rsidP="00E96586">
            <w:pPr>
              <w:numPr>
                <w:ilvl w:val="1"/>
                <w:numId w:val="0"/>
              </w:numPr>
              <w:overflowPunct/>
              <w:autoSpaceDE/>
              <w:autoSpaceDN/>
              <w:spacing w:after="120"/>
              <w:textAlignment w:val="auto"/>
              <w:rPr>
                <w:rFonts w:eastAsia="STZhongsong"/>
                <w:b/>
                <w:lang w:eastAsia="zh-CN"/>
              </w:rPr>
            </w:pPr>
            <w:r w:rsidRPr="009C53CE">
              <w:t>The Supplier shall have processes and systems in place to ensure costs and pricing are managed appropriately during the Call Off Contract. The Supplier shall ensure that an effective mix of grades of the project team are assigned and managed during the Call Off Contract to ensure best value for money for the Customer.   </w:t>
            </w:r>
          </w:p>
          <w:p w14:paraId="0B09DB3F" w14:textId="09DB6CD9" w:rsidR="00E96586" w:rsidRPr="009C53CE" w:rsidRDefault="00E96586" w:rsidP="00FE2334">
            <w:pPr>
              <w:spacing w:before="240"/>
              <w:ind w:left="0"/>
              <w:jc w:val="left"/>
              <w:rPr>
                <w:rFonts w:eastAsia="STZhongsong"/>
                <w:b/>
                <w:lang w:eastAsia="zh-CN"/>
              </w:rPr>
            </w:pPr>
            <w:r w:rsidRPr="009C53CE">
              <w:t>Invoice payment</w:t>
            </w:r>
            <w:r w:rsidR="00AE5D91" w:rsidRPr="009C53CE">
              <w:t>s</w:t>
            </w:r>
            <w:r w:rsidRPr="009C53CE">
              <w:t xml:space="preserve"> will be approved upon satisfactory delivery of the agreed Key Performance Indicator targets set out in Annex 1 to this Call Off Order Form </w:t>
            </w:r>
          </w:p>
        </w:tc>
      </w:tr>
      <w:tr w:rsidR="009C53CE" w:rsidRPr="009C53CE" w14:paraId="509E85CE" w14:textId="77777777" w:rsidTr="00B5520B">
        <w:tc>
          <w:tcPr>
            <w:tcW w:w="564" w:type="dxa"/>
          </w:tcPr>
          <w:p w14:paraId="3919B235" w14:textId="77777777" w:rsidR="00B5520B" w:rsidRPr="009C53CE" w:rsidRDefault="00B552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6.3</w:t>
            </w:r>
          </w:p>
        </w:tc>
        <w:tc>
          <w:tcPr>
            <w:tcW w:w="9104" w:type="dxa"/>
            <w:shd w:val="clear" w:color="auto" w:fill="auto"/>
          </w:tcPr>
          <w:p w14:paraId="29D65DB8" w14:textId="77777777" w:rsidR="00B5520B" w:rsidRPr="009C53CE" w:rsidRDefault="00B5520B">
            <w:pPr>
              <w:numPr>
                <w:ilvl w:val="1"/>
                <w:numId w:val="0"/>
              </w:numPr>
              <w:overflowPunct/>
              <w:autoSpaceDE/>
              <w:autoSpaceDN/>
              <w:spacing w:after="120"/>
              <w:jc w:val="left"/>
              <w:textAlignment w:val="auto"/>
              <w:rPr>
                <w:rFonts w:eastAsia="STZhongsong"/>
                <w:lang w:eastAsia="zh-CN"/>
              </w:rPr>
            </w:pPr>
            <w:r w:rsidRPr="009C53CE">
              <w:rPr>
                <w:rFonts w:eastAsia="STZhongsong"/>
                <w:b/>
                <w:lang w:eastAsia="zh-CN"/>
              </w:rPr>
              <w:t>Reimbursable Expenses</w:t>
            </w:r>
            <w:r w:rsidRPr="009C53CE">
              <w:rPr>
                <w:rFonts w:eastAsia="STZhongsong"/>
                <w:lang w:eastAsia="zh-CN"/>
              </w:rPr>
              <w:t xml:space="preserve">: </w:t>
            </w:r>
          </w:p>
          <w:p w14:paraId="1FD613BE" w14:textId="10F94D40" w:rsidR="00B5520B" w:rsidRPr="009C53CE" w:rsidRDefault="00B5520B">
            <w:pPr>
              <w:numPr>
                <w:ilvl w:val="1"/>
                <w:numId w:val="0"/>
              </w:numPr>
              <w:overflowPunct/>
              <w:autoSpaceDE/>
              <w:autoSpaceDN/>
              <w:spacing w:after="120"/>
              <w:jc w:val="left"/>
              <w:textAlignment w:val="auto"/>
              <w:rPr>
                <w:rFonts w:eastAsia="STZhongsong"/>
                <w:lang w:eastAsia="zh-CN"/>
              </w:rPr>
            </w:pPr>
            <w:r w:rsidRPr="009C53CE">
              <w:rPr>
                <w:rFonts w:eastAsia="STZhongsong"/>
                <w:lang w:eastAsia="zh-CN"/>
              </w:rPr>
              <w:t xml:space="preserve"> Not permitted</w:t>
            </w:r>
          </w:p>
        </w:tc>
      </w:tr>
      <w:tr w:rsidR="009C53CE" w:rsidRPr="009C53CE" w14:paraId="79636B86" w14:textId="77777777" w:rsidTr="00B5520B">
        <w:tc>
          <w:tcPr>
            <w:tcW w:w="564" w:type="dxa"/>
          </w:tcPr>
          <w:p w14:paraId="6C80142A" w14:textId="77777777" w:rsidR="00B5520B" w:rsidRPr="009C53CE" w:rsidRDefault="00B552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6.4</w:t>
            </w:r>
          </w:p>
        </w:tc>
        <w:tc>
          <w:tcPr>
            <w:tcW w:w="9104" w:type="dxa"/>
            <w:shd w:val="clear" w:color="auto" w:fill="auto"/>
          </w:tcPr>
          <w:p w14:paraId="0892716B" w14:textId="2A6FED35" w:rsidR="00B5520B" w:rsidRDefault="00B5520B" w:rsidP="00BB4A0B">
            <w:pPr>
              <w:numPr>
                <w:ilvl w:val="1"/>
                <w:numId w:val="0"/>
              </w:numPr>
              <w:overflowPunct/>
              <w:autoSpaceDE/>
              <w:autoSpaceDN/>
              <w:spacing w:after="120"/>
              <w:textAlignment w:val="auto"/>
              <w:rPr>
                <w:rFonts w:eastAsia="STZhongsong"/>
                <w:lang w:eastAsia="zh-CN"/>
              </w:rPr>
            </w:pPr>
            <w:r w:rsidRPr="009C53CE">
              <w:rPr>
                <w:rFonts w:eastAsia="STZhongsong"/>
                <w:b/>
                <w:lang w:eastAsia="zh-CN"/>
              </w:rPr>
              <w:t>Customer billing address</w:t>
            </w:r>
            <w:r w:rsidRPr="009C53CE">
              <w:rPr>
                <w:rFonts w:eastAsia="STZhongsong"/>
                <w:lang w:eastAsia="zh-CN"/>
              </w:rPr>
              <w:t xml:space="preserve"> (</w:t>
            </w:r>
            <w:r w:rsidRPr="009C53CE">
              <w:t>paragraph 7.6 of Call Off Schedule 3 (Call Off Contract Charges, Payment and Invoicing))</w:t>
            </w:r>
            <w:r w:rsidRPr="009C53CE">
              <w:rPr>
                <w:rFonts w:eastAsia="STZhongsong"/>
                <w:lang w:eastAsia="zh-CN"/>
              </w:rPr>
              <w:t>:</w:t>
            </w:r>
          </w:p>
          <w:p w14:paraId="22EBDA34" w14:textId="56369319" w:rsidR="002F2BD9" w:rsidRPr="009C53CE" w:rsidRDefault="002F2BD9" w:rsidP="00BB4A0B">
            <w:pPr>
              <w:numPr>
                <w:ilvl w:val="1"/>
                <w:numId w:val="0"/>
              </w:numPr>
              <w:overflowPunct/>
              <w:autoSpaceDE/>
              <w:autoSpaceDN/>
              <w:spacing w:after="120"/>
              <w:textAlignment w:val="auto"/>
              <w:rPr>
                <w:rFonts w:eastAsia="STZhongsong"/>
                <w:lang w:eastAsia="zh-CN"/>
              </w:rPr>
            </w:pPr>
            <w:r>
              <w:rPr>
                <w:rFonts w:eastAsia="STZhongsong"/>
                <w:lang w:eastAsia="zh-CN"/>
              </w:rPr>
              <w:t xml:space="preserve">All invoices and payments must be submitted to </w:t>
            </w:r>
            <w:proofErr w:type="spellStart"/>
            <w:r>
              <w:rPr>
                <w:rFonts w:eastAsia="STZhongsong"/>
                <w:lang w:eastAsia="zh-CN"/>
              </w:rPr>
              <w:t>to</w:t>
            </w:r>
            <w:proofErr w:type="spellEnd"/>
            <w:r>
              <w:rPr>
                <w:rFonts w:eastAsia="STZhongsong"/>
                <w:lang w:eastAsia="zh-CN"/>
              </w:rPr>
              <w:t xml:space="preserve"> the following address:</w:t>
            </w:r>
          </w:p>
          <w:p w14:paraId="7515C78C" w14:textId="04EF1BB5" w:rsidR="00B5520B" w:rsidRPr="00B1604D" w:rsidRDefault="00B1604D" w:rsidP="00B1604D">
            <w:pPr>
              <w:tabs>
                <w:tab w:val="center" w:pos="4153"/>
                <w:tab w:val="right" w:pos="8306"/>
              </w:tabs>
              <w:overflowPunct/>
              <w:autoSpaceDE/>
              <w:autoSpaceDN/>
              <w:adjustRightInd/>
              <w:spacing w:after="120" w:line="240" w:lineRule="atLeast"/>
              <w:ind w:left="0"/>
              <w:jc w:val="left"/>
              <w:textAlignment w:val="auto"/>
              <w:rPr>
                <w:rFonts w:eastAsiaTheme="minorHAnsi"/>
                <w:b/>
              </w:rPr>
            </w:pPr>
            <w:r w:rsidRPr="00B1604D">
              <w:rPr>
                <w:rFonts w:eastAsiaTheme="minorHAnsi"/>
                <w:b/>
              </w:rPr>
              <w:t>REDACTED</w:t>
            </w:r>
          </w:p>
        </w:tc>
      </w:tr>
      <w:tr w:rsidR="009C53CE" w:rsidRPr="009C53CE" w14:paraId="178F82D0" w14:textId="77777777" w:rsidTr="00B5520B">
        <w:tc>
          <w:tcPr>
            <w:tcW w:w="564" w:type="dxa"/>
          </w:tcPr>
          <w:p w14:paraId="7620ED36" w14:textId="77777777" w:rsidR="00B5520B" w:rsidRPr="009C53CE" w:rsidRDefault="00B552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6.5</w:t>
            </w:r>
          </w:p>
        </w:tc>
        <w:tc>
          <w:tcPr>
            <w:tcW w:w="9104" w:type="dxa"/>
            <w:shd w:val="clear" w:color="auto" w:fill="auto"/>
          </w:tcPr>
          <w:p w14:paraId="6839226E" w14:textId="517714F9" w:rsidR="00B5520B" w:rsidRPr="009C53CE" w:rsidRDefault="00B5520B" w:rsidP="00BB4A0B">
            <w:pPr>
              <w:numPr>
                <w:ilvl w:val="1"/>
                <w:numId w:val="0"/>
              </w:numPr>
              <w:overflowPunct/>
              <w:autoSpaceDE/>
              <w:autoSpaceDN/>
              <w:spacing w:after="120"/>
              <w:textAlignment w:val="auto"/>
              <w:rPr>
                <w:rFonts w:eastAsia="STZhongsong"/>
                <w:lang w:eastAsia="zh-CN"/>
              </w:rPr>
            </w:pPr>
            <w:r w:rsidRPr="009C53CE">
              <w:rPr>
                <w:rFonts w:eastAsia="STZhongsong"/>
                <w:b/>
                <w:lang w:eastAsia="zh-CN"/>
              </w:rPr>
              <w:t>Call Off Contract Charges fixed for</w:t>
            </w:r>
            <w:r w:rsidRPr="009C53CE">
              <w:rPr>
                <w:rFonts w:eastAsia="STZhongsong"/>
                <w:lang w:eastAsia="zh-CN"/>
              </w:rPr>
              <w:t xml:space="preserve"> (</w:t>
            </w:r>
            <w:r w:rsidRPr="009C53CE">
              <w:t>paragraph 8.2 of Schedule 3 (</w:t>
            </w:r>
            <w:r w:rsidRPr="009C53CE">
              <w:rPr>
                <w:rFonts w:eastAsia="STZhongsong"/>
                <w:lang w:eastAsia="zh-CN"/>
              </w:rPr>
              <w:t xml:space="preserve">Call Off </w:t>
            </w:r>
            <w:r w:rsidRPr="009C53CE">
              <w:t>Contract Charges, Payment and Invoicing))</w:t>
            </w:r>
            <w:r w:rsidRPr="009C53CE">
              <w:rPr>
                <w:rFonts w:eastAsia="STZhongsong"/>
                <w:lang w:eastAsia="zh-CN"/>
              </w:rPr>
              <w:t>:</w:t>
            </w:r>
          </w:p>
          <w:p w14:paraId="72EAD2DD" w14:textId="4712A6DE" w:rsidR="00B5520B" w:rsidRPr="009C53CE" w:rsidRDefault="00B5520B" w:rsidP="00BB4A0B">
            <w:pPr>
              <w:numPr>
                <w:ilvl w:val="1"/>
                <w:numId w:val="0"/>
              </w:numPr>
              <w:overflowPunct/>
              <w:autoSpaceDE/>
              <w:autoSpaceDN/>
              <w:spacing w:after="120"/>
              <w:textAlignment w:val="auto"/>
              <w:rPr>
                <w:rFonts w:eastAsia="STZhongsong"/>
                <w:bCs/>
                <w:lang w:eastAsia="zh-CN"/>
              </w:rPr>
            </w:pPr>
            <w:r w:rsidRPr="009C53CE">
              <w:rPr>
                <w:bCs/>
              </w:rPr>
              <w:t xml:space="preserve">The duration of the </w:t>
            </w:r>
            <w:r w:rsidR="001C4435" w:rsidRPr="009C53CE">
              <w:rPr>
                <w:bCs/>
              </w:rPr>
              <w:t>Call Off C</w:t>
            </w:r>
            <w:r w:rsidRPr="009C53CE">
              <w:rPr>
                <w:bCs/>
              </w:rPr>
              <w:t>ontract</w:t>
            </w:r>
          </w:p>
        </w:tc>
      </w:tr>
      <w:tr w:rsidR="009C53CE" w:rsidRPr="009C53CE" w14:paraId="26AECBD0" w14:textId="77777777" w:rsidTr="00B5520B">
        <w:tc>
          <w:tcPr>
            <w:tcW w:w="564" w:type="dxa"/>
          </w:tcPr>
          <w:p w14:paraId="779A313D" w14:textId="77777777" w:rsidR="00B5520B" w:rsidRPr="009C53CE" w:rsidRDefault="00B5520B">
            <w:pPr>
              <w:numPr>
                <w:ilvl w:val="1"/>
                <w:numId w:val="0"/>
              </w:numPr>
              <w:tabs>
                <w:tab w:val="left" w:pos="2783"/>
              </w:tabs>
              <w:overflowPunct/>
              <w:autoSpaceDE/>
              <w:autoSpaceDN/>
              <w:spacing w:after="120"/>
              <w:jc w:val="left"/>
              <w:textAlignment w:val="auto"/>
              <w:rPr>
                <w:rFonts w:eastAsia="STZhongsong"/>
                <w:b/>
                <w:lang w:eastAsia="zh-CN"/>
              </w:rPr>
            </w:pPr>
            <w:r w:rsidRPr="009C53CE">
              <w:rPr>
                <w:rFonts w:eastAsia="STZhongsong"/>
                <w:b/>
                <w:lang w:eastAsia="zh-CN"/>
              </w:rPr>
              <w:t>6.6</w:t>
            </w:r>
          </w:p>
        </w:tc>
        <w:tc>
          <w:tcPr>
            <w:tcW w:w="9104" w:type="dxa"/>
            <w:shd w:val="clear" w:color="auto" w:fill="auto"/>
          </w:tcPr>
          <w:p w14:paraId="715FDC88" w14:textId="634461FE" w:rsidR="00B5520B" w:rsidRPr="009C53CE" w:rsidRDefault="00B5520B" w:rsidP="00BB4A0B">
            <w:pPr>
              <w:numPr>
                <w:ilvl w:val="1"/>
                <w:numId w:val="0"/>
              </w:numPr>
              <w:tabs>
                <w:tab w:val="left" w:pos="2783"/>
              </w:tabs>
              <w:overflowPunct/>
              <w:autoSpaceDE/>
              <w:autoSpaceDN/>
              <w:spacing w:after="120"/>
              <w:textAlignment w:val="auto"/>
              <w:rPr>
                <w:rFonts w:eastAsia="STZhongsong"/>
                <w:lang w:eastAsia="zh-CN"/>
              </w:rPr>
            </w:pPr>
            <w:r w:rsidRPr="009C53CE">
              <w:rPr>
                <w:rFonts w:eastAsia="STZhongsong"/>
                <w:b/>
                <w:lang w:eastAsia="zh-CN"/>
              </w:rPr>
              <w:t>Supplier periodic assessment of Call Off Contract Charges</w:t>
            </w:r>
            <w:r w:rsidRPr="009C53CE">
              <w:rPr>
                <w:rFonts w:eastAsia="STZhongsong"/>
                <w:lang w:eastAsia="zh-CN"/>
              </w:rPr>
              <w:t xml:space="preserve"> (</w:t>
            </w:r>
            <w:r w:rsidRPr="009C53CE">
              <w:t>paragraph 9.2 of</w:t>
            </w:r>
            <w:r w:rsidRPr="009C53CE">
              <w:rPr>
                <w:rFonts w:eastAsia="STZhongsong"/>
                <w:i/>
                <w:lang w:eastAsia="zh-CN"/>
              </w:rPr>
              <w:t xml:space="preserve"> </w:t>
            </w:r>
            <w:r w:rsidRPr="009C53CE">
              <w:rPr>
                <w:rFonts w:eastAsia="STZhongsong"/>
                <w:lang w:eastAsia="zh-CN"/>
              </w:rPr>
              <w:t>Call Off</w:t>
            </w:r>
            <w:r w:rsidRPr="009C53CE">
              <w:t xml:space="preserve"> Schedule 3 (</w:t>
            </w:r>
            <w:r w:rsidRPr="009C53CE">
              <w:rPr>
                <w:rFonts w:eastAsia="STZhongsong"/>
                <w:lang w:eastAsia="zh-CN"/>
              </w:rPr>
              <w:t xml:space="preserve">Call Off </w:t>
            </w:r>
            <w:r w:rsidRPr="009C53CE">
              <w:t>Contract Charges, Payment and Invoicing))</w:t>
            </w:r>
            <w:r w:rsidRPr="009C53CE">
              <w:rPr>
                <w:i/>
              </w:rPr>
              <w:t xml:space="preserve"> </w:t>
            </w:r>
            <w:r w:rsidRPr="009C53CE">
              <w:rPr>
                <w:rFonts w:eastAsia="STZhongsong"/>
                <w:lang w:eastAsia="zh-CN"/>
              </w:rPr>
              <w:t>will be carried out on:</w:t>
            </w:r>
          </w:p>
          <w:p w14:paraId="059C327D" w14:textId="7449FF8F" w:rsidR="00B5520B" w:rsidRPr="009C53CE" w:rsidRDefault="002B2D19" w:rsidP="00BB4A0B">
            <w:pPr>
              <w:numPr>
                <w:ilvl w:val="1"/>
                <w:numId w:val="0"/>
              </w:numPr>
              <w:tabs>
                <w:tab w:val="left" w:pos="2783"/>
              </w:tabs>
              <w:overflowPunct/>
              <w:autoSpaceDE/>
              <w:autoSpaceDN/>
              <w:spacing w:after="120"/>
              <w:textAlignment w:val="auto"/>
              <w:rPr>
                <w:rFonts w:eastAsia="STZhongsong"/>
                <w:lang w:eastAsia="zh-CN"/>
              </w:rPr>
            </w:pPr>
            <w:r w:rsidRPr="009C53CE">
              <w:rPr>
                <w:bCs/>
              </w:rPr>
              <w:t>1 January and 1 July each year</w:t>
            </w:r>
            <w:r w:rsidR="00B5520B" w:rsidRPr="009C53CE">
              <w:rPr>
                <w:rFonts w:eastAsia="STZhongsong"/>
                <w:bCs/>
                <w:lang w:eastAsia="zh-CN"/>
              </w:rPr>
              <w:tab/>
            </w:r>
          </w:p>
        </w:tc>
      </w:tr>
      <w:tr w:rsidR="00B5520B" w:rsidRPr="009C53CE" w14:paraId="2C9FE932" w14:textId="77777777" w:rsidTr="00B5520B">
        <w:tc>
          <w:tcPr>
            <w:tcW w:w="564" w:type="dxa"/>
          </w:tcPr>
          <w:p w14:paraId="1ACDA024" w14:textId="77777777" w:rsidR="00B5520B" w:rsidRPr="009C53CE" w:rsidRDefault="00B5520B">
            <w:pPr>
              <w:numPr>
                <w:ilvl w:val="1"/>
                <w:numId w:val="0"/>
              </w:numPr>
              <w:tabs>
                <w:tab w:val="left" w:pos="2783"/>
              </w:tabs>
              <w:overflowPunct/>
              <w:autoSpaceDE/>
              <w:autoSpaceDN/>
              <w:spacing w:after="120"/>
              <w:jc w:val="left"/>
              <w:textAlignment w:val="auto"/>
              <w:rPr>
                <w:rFonts w:eastAsia="STZhongsong"/>
                <w:b/>
                <w:lang w:eastAsia="zh-CN"/>
              </w:rPr>
            </w:pPr>
            <w:r w:rsidRPr="009C53CE">
              <w:rPr>
                <w:rFonts w:eastAsia="STZhongsong"/>
                <w:b/>
                <w:lang w:eastAsia="zh-CN"/>
              </w:rPr>
              <w:t>6.7</w:t>
            </w:r>
          </w:p>
        </w:tc>
        <w:tc>
          <w:tcPr>
            <w:tcW w:w="9104" w:type="dxa"/>
            <w:shd w:val="clear" w:color="auto" w:fill="auto"/>
          </w:tcPr>
          <w:p w14:paraId="5D8533AF" w14:textId="206F6AE0" w:rsidR="00B5520B" w:rsidRPr="009C53CE" w:rsidRDefault="00B5520B" w:rsidP="00BB4A0B">
            <w:pPr>
              <w:numPr>
                <w:ilvl w:val="1"/>
                <w:numId w:val="0"/>
              </w:numPr>
              <w:tabs>
                <w:tab w:val="left" w:pos="2783"/>
              </w:tabs>
              <w:overflowPunct/>
              <w:autoSpaceDE/>
              <w:autoSpaceDN/>
              <w:spacing w:after="120"/>
              <w:textAlignment w:val="auto"/>
              <w:rPr>
                <w:rFonts w:eastAsia="STZhongsong"/>
                <w:lang w:eastAsia="zh-CN"/>
              </w:rPr>
            </w:pPr>
            <w:r w:rsidRPr="009C53CE">
              <w:rPr>
                <w:rFonts w:eastAsia="STZhongsong"/>
                <w:b/>
                <w:lang w:eastAsia="zh-CN"/>
              </w:rPr>
              <w:t>Supplier request for increase in the Call Off Contract Charges</w:t>
            </w:r>
            <w:r w:rsidRPr="009C53CE">
              <w:rPr>
                <w:rFonts w:eastAsia="STZhongsong"/>
                <w:lang w:eastAsia="zh-CN"/>
              </w:rPr>
              <w:t xml:space="preserve"> (</w:t>
            </w:r>
            <w:r w:rsidRPr="009C53CE">
              <w:t>paragraph 10 of Call Off Schedule 3 (Call Off Contract Charges, Payment and Invoicing))</w:t>
            </w:r>
            <w:r w:rsidRPr="009C53CE">
              <w:rPr>
                <w:rFonts w:eastAsia="STZhongsong"/>
                <w:lang w:eastAsia="zh-CN"/>
              </w:rPr>
              <w:t>:</w:t>
            </w:r>
          </w:p>
          <w:p w14:paraId="5A1C99AA" w14:textId="72A3211C" w:rsidR="00B5520B" w:rsidRPr="009C53CE" w:rsidRDefault="00B5520B" w:rsidP="00BB4A0B">
            <w:pPr>
              <w:numPr>
                <w:ilvl w:val="1"/>
                <w:numId w:val="0"/>
              </w:numPr>
              <w:tabs>
                <w:tab w:val="left" w:pos="2783"/>
              </w:tabs>
              <w:overflowPunct/>
              <w:autoSpaceDE/>
              <w:autoSpaceDN/>
              <w:spacing w:after="120"/>
              <w:textAlignment w:val="auto"/>
              <w:rPr>
                <w:rFonts w:eastAsia="STZhongsong"/>
                <w:lang w:eastAsia="zh-CN"/>
              </w:rPr>
            </w:pPr>
            <w:r w:rsidRPr="009C53CE">
              <w:rPr>
                <w:rFonts w:eastAsia="STZhongsong"/>
                <w:lang w:eastAsia="zh-CN"/>
              </w:rPr>
              <w:t xml:space="preserve"> Not Permitted</w:t>
            </w:r>
          </w:p>
        </w:tc>
      </w:tr>
    </w:tbl>
    <w:p w14:paraId="1DD5732F" w14:textId="77777777" w:rsidR="00E93D4C" w:rsidRPr="009C53CE" w:rsidRDefault="00E93D4C" w:rsidP="00387D44">
      <w:pPr>
        <w:pStyle w:val="ORDERFORML1PraraNo"/>
        <w:numPr>
          <w:ilvl w:val="0"/>
          <w:numId w:val="0"/>
        </w:numPr>
        <w:rPr>
          <w:rFonts w:ascii="Arial" w:hAnsi="Arial" w:cs="Arial"/>
        </w:rPr>
      </w:pPr>
    </w:p>
    <w:p w14:paraId="20B09EA7" w14:textId="77777777" w:rsidR="00E93D4C" w:rsidRPr="009C53CE" w:rsidRDefault="00E93D4C">
      <w:pPr>
        <w:pStyle w:val="ORDERFORML1PraraNo"/>
        <w:numPr>
          <w:ilvl w:val="0"/>
          <w:numId w:val="0"/>
        </w:numPr>
        <w:ind w:left="426"/>
        <w:rPr>
          <w:rFonts w:ascii="Arial" w:hAnsi="Arial" w:cs="Arial"/>
        </w:rPr>
      </w:pPr>
    </w:p>
    <w:p w14:paraId="63C69B8C" w14:textId="77777777" w:rsidR="004E05DC" w:rsidRPr="009C53CE" w:rsidRDefault="00F770DB">
      <w:pPr>
        <w:pStyle w:val="ORDERFORML1PraraNo"/>
        <w:rPr>
          <w:rFonts w:ascii="Arial" w:hAnsi="Arial" w:cs="Arial"/>
        </w:rPr>
      </w:pPr>
      <w:r w:rsidRPr="009C53CE">
        <w:rPr>
          <w:rFonts w:ascii="Arial" w:hAnsi="Arial" w:cs="Arial"/>
        </w:rPr>
        <w:t>LIABILITY and insurance</w:t>
      </w:r>
    </w:p>
    <w:p w14:paraId="554A2412" w14:textId="77777777" w:rsidR="004E05DC" w:rsidRPr="009C53CE" w:rsidRDefault="004E05DC">
      <w:pPr>
        <w:pStyle w:val="ORDERFORML1PraraNo"/>
        <w:numPr>
          <w:ilvl w:val="0"/>
          <w:numId w:val="0"/>
        </w:numPr>
        <w:ind w:left="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245"/>
      </w:tblGrid>
      <w:tr w:rsidR="009C53CE" w:rsidRPr="009C53CE" w14:paraId="5478B57F" w14:textId="77777777" w:rsidTr="00810FF4">
        <w:tc>
          <w:tcPr>
            <w:tcW w:w="565" w:type="dxa"/>
          </w:tcPr>
          <w:p w14:paraId="1856BB0E" w14:textId="77777777" w:rsidR="00810FF4" w:rsidRPr="009C53CE" w:rsidRDefault="00810FF4">
            <w:pPr>
              <w:numPr>
                <w:ilvl w:val="1"/>
                <w:numId w:val="0"/>
              </w:numPr>
              <w:overflowPunct/>
              <w:autoSpaceDE/>
              <w:autoSpaceDN/>
              <w:spacing w:after="120"/>
              <w:textAlignment w:val="auto"/>
              <w:rPr>
                <w:b/>
              </w:rPr>
            </w:pPr>
            <w:r w:rsidRPr="009C53CE">
              <w:rPr>
                <w:b/>
              </w:rPr>
              <w:t>7.1</w:t>
            </w:r>
          </w:p>
        </w:tc>
        <w:tc>
          <w:tcPr>
            <w:tcW w:w="9245" w:type="dxa"/>
            <w:shd w:val="clear" w:color="auto" w:fill="auto"/>
          </w:tcPr>
          <w:p w14:paraId="5252CCDF" w14:textId="77777777" w:rsidR="00810FF4" w:rsidRPr="009C53CE" w:rsidRDefault="00810FF4">
            <w:pPr>
              <w:numPr>
                <w:ilvl w:val="1"/>
                <w:numId w:val="0"/>
              </w:numPr>
              <w:overflowPunct/>
              <w:autoSpaceDE/>
              <w:autoSpaceDN/>
              <w:spacing w:after="120"/>
              <w:textAlignment w:val="auto"/>
            </w:pPr>
            <w:r w:rsidRPr="009C53CE">
              <w:rPr>
                <w:b/>
              </w:rPr>
              <w:t>Estimated Year 1 Call Off Contract Charges</w:t>
            </w:r>
            <w:r w:rsidRPr="009C53CE">
              <w:t>:</w:t>
            </w:r>
          </w:p>
          <w:p w14:paraId="4D8A571C" w14:textId="628E28DD" w:rsidR="00810FF4" w:rsidRPr="009C53CE" w:rsidRDefault="00810FF4">
            <w:pPr>
              <w:keepNext/>
              <w:keepLines/>
              <w:overflowPunct/>
              <w:autoSpaceDE/>
              <w:autoSpaceDN/>
              <w:spacing w:before="240"/>
              <w:ind w:left="0"/>
              <w:textAlignment w:val="auto"/>
              <w:rPr>
                <w:rFonts w:eastAsia="STZhongsong"/>
                <w:b/>
                <w:caps/>
                <w:lang w:eastAsia="zh-CN"/>
              </w:rPr>
            </w:pPr>
            <w:r w:rsidRPr="009C53CE">
              <w:t xml:space="preserve">The sum </w:t>
            </w:r>
            <w:r w:rsidRPr="002F2BD9">
              <w:t>of</w:t>
            </w:r>
            <w:r w:rsidR="00A17ECF">
              <w:t xml:space="preserve"> </w:t>
            </w:r>
            <w:r w:rsidR="00A17ECF" w:rsidRPr="00A17ECF">
              <w:t xml:space="preserve">£95,760.00 </w:t>
            </w:r>
            <w:r w:rsidR="002F2BD9" w:rsidRPr="002F2BD9">
              <w:t xml:space="preserve"> (ex VAT)</w:t>
            </w:r>
          </w:p>
        </w:tc>
      </w:tr>
      <w:tr w:rsidR="009C53CE" w:rsidRPr="009C53CE" w14:paraId="55713951" w14:textId="77777777" w:rsidTr="00810FF4">
        <w:tc>
          <w:tcPr>
            <w:tcW w:w="565" w:type="dxa"/>
          </w:tcPr>
          <w:p w14:paraId="35D7B8B5" w14:textId="77777777" w:rsidR="00810FF4" w:rsidRPr="009C53CE" w:rsidRDefault="00810FF4">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7.2</w:t>
            </w:r>
          </w:p>
        </w:tc>
        <w:tc>
          <w:tcPr>
            <w:tcW w:w="9245" w:type="dxa"/>
            <w:shd w:val="clear" w:color="auto" w:fill="auto"/>
          </w:tcPr>
          <w:p w14:paraId="2FD5BCFD" w14:textId="00CFF953" w:rsidR="00810FF4" w:rsidRPr="009C53CE" w:rsidRDefault="00810FF4">
            <w:pPr>
              <w:numPr>
                <w:ilvl w:val="1"/>
                <w:numId w:val="0"/>
              </w:numPr>
              <w:overflowPunct/>
              <w:autoSpaceDE/>
              <w:autoSpaceDN/>
              <w:spacing w:after="120"/>
              <w:textAlignment w:val="auto"/>
              <w:rPr>
                <w:rFonts w:eastAsia="STZhongsong"/>
                <w:lang w:eastAsia="zh-CN"/>
              </w:rPr>
            </w:pPr>
            <w:r w:rsidRPr="009C53CE">
              <w:rPr>
                <w:rFonts w:eastAsia="STZhongsong"/>
                <w:b/>
                <w:lang w:eastAsia="zh-CN"/>
              </w:rPr>
              <w:t>Supplier’s limitation of Liability</w:t>
            </w:r>
            <w:r w:rsidRPr="009C53CE">
              <w:rPr>
                <w:rFonts w:eastAsia="STZhongsong"/>
                <w:lang w:eastAsia="zh-CN"/>
              </w:rPr>
              <w:t xml:space="preserve"> (Clause 37.2.1 of the Call Off Terms);</w:t>
            </w:r>
          </w:p>
          <w:p w14:paraId="2337954A" w14:textId="156E5D61" w:rsidR="00810FF4" w:rsidRPr="009C53CE" w:rsidRDefault="002F2BD9">
            <w:pPr>
              <w:numPr>
                <w:ilvl w:val="1"/>
                <w:numId w:val="0"/>
              </w:numPr>
              <w:overflowPunct/>
              <w:autoSpaceDE/>
              <w:autoSpaceDN/>
              <w:spacing w:after="120"/>
              <w:textAlignment w:val="auto"/>
              <w:rPr>
                <w:rFonts w:eastAsia="STZhongsong"/>
                <w:lang w:eastAsia="zh-CN"/>
              </w:rPr>
            </w:pPr>
            <w:r w:rsidRPr="002F2BD9">
              <w:rPr>
                <w:rFonts w:eastAsia="STZhongsong"/>
                <w:lang w:eastAsia="zh-CN"/>
              </w:rPr>
              <w:t>A</w:t>
            </w:r>
            <w:r w:rsidR="00E11534" w:rsidRPr="002F2BD9">
              <w:rPr>
                <w:rFonts w:eastAsia="STZhongsong"/>
                <w:lang w:eastAsia="zh-CN"/>
              </w:rPr>
              <w:t>s set out in Clause 37.2.1 of the Call Off Terms</w:t>
            </w:r>
            <w:r w:rsidRPr="002F2BD9">
              <w:rPr>
                <w:rFonts w:eastAsia="STZhongsong"/>
                <w:lang w:eastAsia="zh-CN"/>
              </w:rPr>
              <w:t>.</w:t>
            </w:r>
          </w:p>
        </w:tc>
      </w:tr>
      <w:tr w:rsidR="00810FF4" w:rsidRPr="009C53CE" w14:paraId="75F98DE5" w14:textId="77777777" w:rsidTr="00810FF4">
        <w:tc>
          <w:tcPr>
            <w:tcW w:w="565" w:type="dxa"/>
          </w:tcPr>
          <w:p w14:paraId="73B0BF73" w14:textId="77777777" w:rsidR="00810FF4" w:rsidRPr="009C53CE" w:rsidRDefault="00810FF4">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7.3</w:t>
            </w:r>
          </w:p>
        </w:tc>
        <w:tc>
          <w:tcPr>
            <w:tcW w:w="9245" w:type="dxa"/>
            <w:shd w:val="clear" w:color="auto" w:fill="auto"/>
          </w:tcPr>
          <w:p w14:paraId="5EAD959D" w14:textId="4E14B5EA" w:rsidR="00810FF4" w:rsidRPr="009C53CE" w:rsidRDefault="00810FF4">
            <w:pPr>
              <w:numPr>
                <w:ilvl w:val="1"/>
                <w:numId w:val="0"/>
              </w:numPr>
              <w:overflowPunct/>
              <w:autoSpaceDE/>
              <w:autoSpaceDN/>
              <w:spacing w:after="120"/>
              <w:textAlignment w:val="auto"/>
            </w:pPr>
            <w:r w:rsidRPr="009C53CE">
              <w:rPr>
                <w:rFonts w:eastAsia="STZhongsong"/>
                <w:b/>
                <w:lang w:eastAsia="zh-CN"/>
              </w:rPr>
              <w:t xml:space="preserve">Insurance </w:t>
            </w:r>
            <w:r w:rsidRPr="009C53CE">
              <w:rPr>
                <w:rFonts w:eastAsia="STZhongsong"/>
                <w:lang w:eastAsia="zh-CN"/>
              </w:rPr>
              <w:t>(Clause 38.3</w:t>
            </w:r>
            <w:r w:rsidRPr="009C53CE">
              <w:t xml:space="preserve"> of the Call Off Terms):</w:t>
            </w:r>
          </w:p>
          <w:p w14:paraId="522EE257" w14:textId="160654A8" w:rsidR="00923AD5" w:rsidRPr="009C53CE" w:rsidRDefault="00923AD5" w:rsidP="00923AD5">
            <w:pPr>
              <w:numPr>
                <w:ilvl w:val="1"/>
                <w:numId w:val="0"/>
              </w:numPr>
              <w:overflowPunct/>
              <w:autoSpaceDE/>
              <w:autoSpaceDN/>
              <w:spacing w:after="120"/>
              <w:textAlignment w:val="auto"/>
              <w:rPr>
                <w:rFonts w:eastAsia="STZhongsong"/>
                <w:lang w:eastAsia="zh-CN"/>
              </w:rPr>
            </w:pPr>
            <w:r w:rsidRPr="009C53CE">
              <w:rPr>
                <w:rFonts w:eastAsia="STZhongsong"/>
                <w:lang w:eastAsia="zh-CN"/>
              </w:rPr>
              <w:t xml:space="preserve">Professional Indemnity </w:t>
            </w:r>
            <w:r w:rsidRPr="00916CF0">
              <w:rPr>
                <w:rFonts w:eastAsia="STZhongsong"/>
                <w:lang w:eastAsia="zh-CN"/>
              </w:rPr>
              <w:t>– £5m</w:t>
            </w:r>
            <w:r w:rsidR="00916CF0" w:rsidRPr="00916CF0">
              <w:rPr>
                <w:rFonts w:eastAsia="STZhongsong"/>
                <w:lang w:eastAsia="zh-CN"/>
              </w:rPr>
              <w:t xml:space="preserve"> </w:t>
            </w:r>
            <w:r w:rsidRPr="009C53CE">
              <w:rPr>
                <w:rFonts w:eastAsia="STZhongsong"/>
                <w:lang w:eastAsia="zh-CN"/>
              </w:rPr>
              <w:t>per claim and in the aggregate per annum</w:t>
            </w:r>
          </w:p>
          <w:p w14:paraId="6BAE02FD" w14:textId="77777777" w:rsidR="00923AD5" w:rsidRPr="009C53CE" w:rsidRDefault="00923AD5" w:rsidP="00923AD5">
            <w:pPr>
              <w:numPr>
                <w:ilvl w:val="1"/>
                <w:numId w:val="0"/>
              </w:numPr>
              <w:overflowPunct/>
              <w:autoSpaceDE/>
              <w:autoSpaceDN/>
              <w:spacing w:after="120"/>
              <w:textAlignment w:val="auto"/>
              <w:rPr>
                <w:rFonts w:eastAsia="STZhongsong"/>
                <w:lang w:eastAsia="zh-CN"/>
              </w:rPr>
            </w:pPr>
            <w:r w:rsidRPr="009C53CE">
              <w:rPr>
                <w:rFonts w:eastAsia="STZhongsong"/>
                <w:lang w:eastAsia="zh-CN"/>
              </w:rPr>
              <w:lastRenderedPageBreak/>
              <w:t>Employers’ liability – as required by law</w:t>
            </w:r>
          </w:p>
          <w:p w14:paraId="6A058270" w14:textId="0556B0FA" w:rsidR="00810FF4" w:rsidRPr="009C53CE" w:rsidRDefault="00923AD5">
            <w:pPr>
              <w:numPr>
                <w:ilvl w:val="1"/>
                <w:numId w:val="0"/>
              </w:numPr>
              <w:overflowPunct/>
              <w:autoSpaceDE/>
              <w:autoSpaceDN/>
              <w:spacing w:after="120"/>
              <w:textAlignment w:val="auto"/>
              <w:rPr>
                <w:rFonts w:eastAsia="STZhongsong"/>
                <w:lang w:eastAsia="zh-CN"/>
              </w:rPr>
            </w:pPr>
            <w:r w:rsidRPr="009C53CE">
              <w:rPr>
                <w:rFonts w:eastAsia="STZhongsong"/>
                <w:lang w:eastAsia="zh-CN"/>
              </w:rPr>
              <w:t xml:space="preserve">Third Party Public and Products Liability Insurance – </w:t>
            </w:r>
            <w:r w:rsidRPr="00916CF0">
              <w:rPr>
                <w:rFonts w:eastAsia="STZhongsong"/>
                <w:lang w:eastAsia="zh-CN"/>
              </w:rPr>
              <w:t>£5m</w:t>
            </w:r>
            <w:r w:rsidRPr="009C53CE">
              <w:rPr>
                <w:rFonts w:eastAsia="STZhongsong"/>
                <w:lang w:eastAsia="zh-CN"/>
              </w:rPr>
              <w:t xml:space="preserve"> per </w:t>
            </w:r>
            <w:r w:rsidR="00D50C28" w:rsidRPr="009C53CE">
              <w:rPr>
                <w:rFonts w:eastAsia="STZhongsong"/>
                <w:lang w:eastAsia="zh-CN"/>
              </w:rPr>
              <w:t>occurrence</w:t>
            </w:r>
            <w:r w:rsidRPr="009C53CE">
              <w:rPr>
                <w:rFonts w:eastAsia="STZhongsong"/>
                <w:lang w:eastAsia="zh-CN"/>
              </w:rPr>
              <w:t xml:space="preserve"> and in the aggregate per annum</w:t>
            </w:r>
            <w:r w:rsidR="002F2BD9">
              <w:rPr>
                <w:rFonts w:eastAsia="STZhongsong"/>
                <w:lang w:eastAsia="zh-CN"/>
              </w:rPr>
              <w:t>.</w:t>
            </w:r>
          </w:p>
          <w:p w14:paraId="4451852C" w14:textId="4600FC20" w:rsidR="00923AD5" w:rsidRPr="009C53CE" w:rsidRDefault="00923AD5">
            <w:pPr>
              <w:numPr>
                <w:ilvl w:val="1"/>
                <w:numId w:val="0"/>
              </w:numPr>
              <w:overflowPunct/>
              <w:autoSpaceDE/>
              <w:autoSpaceDN/>
              <w:spacing w:after="120"/>
              <w:textAlignment w:val="auto"/>
              <w:rPr>
                <w:rFonts w:eastAsia="STZhongsong"/>
                <w:lang w:eastAsia="zh-CN"/>
              </w:rPr>
            </w:pPr>
          </w:p>
        </w:tc>
      </w:tr>
    </w:tbl>
    <w:p w14:paraId="01C57AD0" w14:textId="77777777" w:rsidR="004E05DC" w:rsidRPr="009C53CE" w:rsidRDefault="004E05DC">
      <w:pPr>
        <w:spacing w:after="0"/>
        <w:ind w:left="0"/>
        <w:rPr>
          <w:i/>
        </w:rPr>
      </w:pPr>
    </w:p>
    <w:p w14:paraId="10053157" w14:textId="77777777" w:rsidR="004E05DC" w:rsidRPr="009C53CE" w:rsidRDefault="00F770DB">
      <w:pPr>
        <w:pStyle w:val="ORDERFORML1PraraNo"/>
        <w:rPr>
          <w:rFonts w:ascii="Arial" w:hAnsi="Arial" w:cs="Arial"/>
        </w:rPr>
      </w:pPr>
      <w:r w:rsidRPr="009C53CE">
        <w:rPr>
          <w:rFonts w:ascii="Arial" w:hAnsi="Arial" w:cs="Arial"/>
        </w:rPr>
        <w:t>TERMINATION and exit</w:t>
      </w:r>
    </w:p>
    <w:p w14:paraId="32429DCA" w14:textId="77777777" w:rsidR="004E05DC" w:rsidRPr="009C53CE" w:rsidRDefault="004E05DC">
      <w:pPr>
        <w:pStyle w:val="ORDERFORML1PraraNo"/>
        <w:numPr>
          <w:ilvl w:val="0"/>
          <w:numId w:val="0"/>
        </w:numPr>
        <w:ind w:left="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245"/>
      </w:tblGrid>
      <w:tr w:rsidR="009C53CE" w:rsidRPr="009C53CE" w14:paraId="45EEC7DA" w14:textId="77777777" w:rsidTr="003B455E">
        <w:tc>
          <w:tcPr>
            <w:tcW w:w="565" w:type="dxa"/>
          </w:tcPr>
          <w:p w14:paraId="40AC2E4B" w14:textId="77777777" w:rsidR="003B455E" w:rsidRPr="009C53CE" w:rsidRDefault="003B455E">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8.1</w:t>
            </w:r>
          </w:p>
        </w:tc>
        <w:tc>
          <w:tcPr>
            <w:tcW w:w="9245" w:type="dxa"/>
            <w:shd w:val="clear" w:color="auto" w:fill="auto"/>
          </w:tcPr>
          <w:p w14:paraId="2878B9E8" w14:textId="2448AB40" w:rsidR="003B455E" w:rsidRPr="009C53CE" w:rsidRDefault="003B455E">
            <w:pPr>
              <w:numPr>
                <w:ilvl w:val="1"/>
                <w:numId w:val="0"/>
              </w:numPr>
              <w:overflowPunct/>
              <w:autoSpaceDE/>
              <w:autoSpaceDN/>
              <w:spacing w:after="120"/>
              <w:textAlignment w:val="auto"/>
              <w:rPr>
                <w:rFonts w:eastAsia="STZhongsong"/>
                <w:lang w:eastAsia="zh-CN"/>
              </w:rPr>
            </w:pPr>
            <w:r w:rsidRPr="009C53CE">
              <w:rPr>
                <w:rFonts w:eastAsia="STZhongsong"/>
                <w:b/>
                <w:lang w:eastAsia="zh-CN"/>
              </w:rPr>
              <w:t>Termination on material Default</w:t>
            </w:r>
            <w:r w:rsidRPr="009C53CE">
              <w:rPr>
                <w:rFonts w:eastAsia="STZhongsong"/>
                <w:lang w:eastAsia="zh-CN"/>
              </w:rPr>
              <w:t xml:space="preserve"> (Clause 42.2 of the Call Off Terms)):</w:t>
            </w:r>
          </w:p>
          <w:p w14:paraId="4594391F" w14:textId="6810B865" w:rsidR="003B455E" w:rsidRPr="009C53CE" w:rsidRDefault="003B455E" w:rsidP="00397FC8">
            <w:pPr>
              <w:keepNext/>
              <w:keepLines/>
              <w:overflowPunct/>
              <w:autoSpaceDE/>
              <w:autoSpaceDN/>
              <w:spacing w:before="240"/>
              <w:ind w:left="0"/>
              <w:textAlignment w:val="auto"/>
              <w:rPr>
                <w:highlight w:val="yellow"/>
              </w:rPr>
            </w:pPr>
            <w:r w:rsidRPr="009C53CE">
              <w:rPr>
                <w:rFonts w:eastAsia="STZhongsong"/>
                <w:lang w:eastAsia="zh-CN"/>
              </w:rPr>
              <w:t>In Clause 42.2.1(c)</w:t>
            </w:r>
            <w:r w:rsidRPr="009C53CE">
              <w:t xml:space="preserve"> of the Call Off Terms</w:t>
            </w:r>
          </w:p>
        </w:tc>
      </w:tr>
      <w:tr w:rsidR="009C53CE" w:rsidRPr="009C53CE" w14:paraId="2D4DA8B8" w14:textId="77777777" w:rsidTr="003B455E">
        <w:tc>
          <w:tcPr>
            <w:tcW w:w="565" w:type="dxa"/>
          </w:tcPr>
          <w:p w14:paraId="7475DDE5" w14:textId="77777777" w:rsidR="003B455E" w:rsidRPr="009C53CE" w:rsidRDefault="003B455E">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8.2</w:t>
            </w:r>
          </w:p>
        </w:tc>
        <w:tc>
          <w:tcPr>
            <w:tcW w:w="9245" w:type="dxa"/>
            <w:shd w:val="clear" w:color="auto" w:fill="auto"/>
          </w:tcPr>
          <w:p w14:paraId="68CE8304" w14:textId="314F66F6" w:rsidR="003B455E" w:rsidRPr="009C53CE" w:rsidRDefault="003B455E">
            <w:pPr>
              <w:numPr>
                <w:ilvl w:val="1"/>
                <w:numId w:val="0"/>
              </w:numPr>
              <w:overflowPunct/>
              <w:autoSpaceDE/>
              <w:autoSpaceDN/>
              <w:spacing w:after="120"/>
              <w:textAlignment w:val="auto"/>
              <w:rPr>
                <w:rFonts w:eastAsia="STZhongsong"/>
                <w:lang w:eastAsia="zh-CN"/>
              </w:rPr>
            </w:pPr>
            <w:r w:rsidRPr="009C53CE">
              <w:rPr>
                <w:rFonts w:eastAsia="STZhongsong"/>
                <w:b/>
                <w:lang w:eastAsia="zh-CN"/>
              </w:rPr>
              <w:t>Termination without cause notice period</w:t>
            </w:r>
            <w:r w:rsidRPr="009C53CE">
              <w:rPr>
                <w:rFonts w:eastAsia="STZhongsong"/>
                <w:lang w:eastAsia="zh-CN"/>
              </w:rPr>
              <w:t xml:space="preserve"> (Clause 42.7 of the Call Off Terms):</w:t>
            </w:r>
          </w:p>
          <w:p w14:paraId="3158D234" w14:textId="5C3D1061" w:rsidR="003B455E" w:rsidRPr="009C53CE" w:rsidRDefault="003B455E" w:rsidP="004944BE">
            <w:pPr>
              <w:numPr>
                <w:ilvl w:val="1"/>
                <w:numId w:val="0"/>
              </w:numPr>
              <w:overflowPunct/>
              <w:autoSpaceDE/>
              <w:autoSpaceDN/>
              <w:spacing w:after="120"/>
              <w:textAlignment w:val="auto"/>
              <w:rPr>
                <w:rFonts w:eastAsia="STZhongsong"/>
                <w:lang w:eastAsia="zh-CN"/>
              </w:rPr>
            </w:pPr>
            <w:r w:rsidRPr="009C53CE">
              <w:rPr>
                <w:b/>
              </w:rPr>
              <w:t xml:space="preserve"> </w:t>
            </w:r>
            <w:r w:rsidRPr="009C53CE">
              <w:t xml:space="preserve">The period of thirty (30) Working Days in Clause 42.7 </w:t>
            </w:r>
            <w:r w:rsidRPr="009C53CE">
              <w:rPr>
                <w:rFonts w:eastAsia="STZhongsong"/>
                <w:lang w:eastAsia="zh-CN"/>
              </w:rPr>
              <w:t xml:space="preserve">shall be amended to </w:t>
            </w:r>
            <w:r w:rsidR="002C1A8E" w:rsidRPr="009C53CE">
              <w:rPr>
                <w:rFonts w:eastAsia="STZhongsong"/>
                <w:lang w:eastAsia="zh-CN"/>
              </w:rPr>
              <w:t>five (</w:t>
            </w:r>
            <w:r w:rsidRPr="009C53CE">
              <w:rPr>
                <w:rFonts w:eastAsia="STZhongsong"/>
                <w:lang w:eastAsia="zh-CN"/>
              </w:rPr>
              <w:t>5</w:t>
            </w:r>
            <w:r w:rsidR="002C1A8E" w:rsidRPr="009C53CE">
              <w:rPr>
                <w:rFonts w:eastAsia="STZhongsong"/>
                <w:lang w:eastAsia="zh-CN"/>
              </w:rPr>
              <w:t>)</w:t>
            </w:r>
            <w:r w:rsidRPr="009C53CE">
              <w:rPr>
                <w:rFonts w:eastAsia="STZhongsong"/>
                <w:lang w:eastAsia="zh-CN"/>
              </w:rPr>
              <w:t xml:space="preserve"> </w:t>
            </w:r>
            <w:r w:rsidR="00E11534" w:rsidRPr="009C53CE">
              <w:t>W</w:t>
            </w:r>
            <w:r w:rsidRPr="009C53CE">
              <w:t xml:space="preserve">orking </w:t>
            </w:r>
            <w:r w:rsidR="00E11534" w:rsidRPr="009C53CE">
              <w:t>D</w:t>
            </w:r>
            <w:r w:rsidRPr="009C53CE">
              <w:t>ays</w:t>
            </w:r>
          </w:p>
        </w:tc>
      </w:tr>
      <w:tr w:rsidR="009C53CE" w:rsidRPr="009C53CE" w14:paraId="7C78E2F3" w14:textId="77777777" w:rsidTr="003B455E">
        <w:tc>
          <w:tcPr>
            <w:tcW w:w="565" w:type="dxa"/>
          </w:tcPr>
          <w:p w14:paraId="174E531E" w14:textId="77777777" w:rsidR="003B455E" w:rsidRPr="009C53CE" w:rsidRDefault="003B455E">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8.3</w:t>
            </w:r>
          </w:p>
        </w:tc>
        <w:tc>
          <w:tcPr>
            <w:tcW w:w="9245" w:type="dxa"/>
            <w:shd w:val="clear" w:color="auto" w:fill="auto"/>
          </w:tcPr>
          <w:p w14:paraId="32D7692F" w14:textId="77777777" w:rsidR="003B455E" w:rsidRPr="009C53CE" w:rsidRDefault="003B455E">
            <w:pPr>
              <w:numPr>
                <w:ilvl w:val="1"/>
                <w:numId w:val="0"/>
              </w:numPr>
              <w:overflowPunct/>
              <w:autoSpaceDE/>
              <w:autoSpaceDN/>
              <w:spacing w:after="120"/>
              <w:textAlignment w:val="auto"/>
              <w:rPr>
                <w:rFonts w:eastAsia="STZhongsong"/>
                <w:lang w:eastAsia="zh-CN"/>
              </w:rPr>
            </w:pPr>
            <w:r w:rsidRPr="009C53CE">
              <w:rPr>
                <w:rFonts w:eastAsia="STZhongsong"/>
                <w:b/>
                <w:lang w:eastAsia="zh-CN"/>
              </w:rPr>
              <w:t>Undisputed Sums Limit</w:t>
            </w:r>
            <w:r w:rsidRPr="009C53CE">
              <w:rPr>
                <w:rFonts w:eastAsia="STZhongsong"/>
                <w:lang w:eastAsia="zh-CN"/>
              </w:rPr>
              <w:t>:</w:t>
            </w:r>
          </w:p>
          <w:p w14:paraId="743B1542" w14:textId="597C9BC4" w:rsidR="003B455E" w:rsidRPr="009C53CE" w:rsidRDefault="003B455E" w:rsidP="00DE1860">
            <w:pPr>
              <w:keepNext/>
              <w:keepLines/>
              <w:overflowPunct/>
              <w:autoSpaceDE/>
              <w:autoSpaceDN/>
              <w:spacing w:before="240"/>
              <w:ind w:left="0"/>
              <w:textAlignment w:val="auto"/>
              <w:rPr>
                <w:rFonts w:eastAsia="STZhongsong"/>
                <w:lang w:eastAsia="zh-CN"/>
              </w:rPr>
            </w:pPr>
            <w:r w:rsidRPr="009C53CE">
              <w:rPr>
                <w:rFonts w:eastAsia="STZhongsong"/>
                <w:lang w:eastAsia="zh-CN"/>
              </w:rPr>
              <w:t>In Clause 43.1.1</w:t>
            </w:r>
            <w:r w:rsidRPr="009C53CE">
              <w:t xml:space="preserve"> of the Call Off Terms</w:t>
            </w:r>
          </w:p>
        </w:tc>
      </w:tr>
      <w:tr w:rsidR="003B455E" w:rsidRPr="009C53CE" w14:paraId="7CFBFB52" w14:textId="77777777" w:rsidTr="003B455E">
        <w:tc>
          <w:tcPr>
            <w:tcW w:w="565" w:type="dxa"/>
            <w:tcBorders>
              <w:top w:val="single" w:sz="4" w:space="0" w:color="auto"/>
              <w:left w:val="single" w:sz="4" w:space="0" w:color="auto"/>
              <w:bottom w:val="single" w:sz="4" w:space="0" w:color="auto"/>
              <w:right w:val="single" w:sz="4" w:space="0" w:color="auto"/>
            </w:tcBorders>
          </w:tcPr>
          <w:p w14:paraId="44A77CD6" w14:textId="20FE1027" w:rsidR="003B455E" w:rsidRPr="009C53CE" w:rsidRDefault="003B455E">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8.4</w:t>
            </w:r>
          </w:p>
        </w:tc>
        <w:tc>
          <w:tcPr>
            <w:tcW w:w="9245"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3B455E" w:rsidRPr="009C53CE" w:rsidRDefault="003B455E">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 xml:space="preserve">Exit Management: </w:t>
            </w:r>
          </w:p>
          <w:p w14:paraId="3F89553F" w14:textId="336B5705" w:rsidR="00E96586" w:rsidRPr="009C53CE" w:rsidRDefault="003B455E" w:rsidP="00E96586">
            <w:pPr>
              <w:numPr>
                <w:ilvl w:val="1"/>
                <w:numId w:val="0"/>
              </w:numPr>
              <w:overflowPunct/>
              <w:autoSpaceDE/>
              <w:autoSpaceDN/>
              <w:spacing w:after="120"/>
              <w:textAlignment w:val="auto"/>
            </w:pPr>
            <w:r w:rsidRPr="009C53CE">
              <w:rPr>
                <w:rFonts w:eastAsia="STZhongsong"/>
                <w:lang w:eastAsia="zh-CN"/>
              </w:rPr>
              <w:t>In Call Off Schedule 9 (Exit Management)</w:t>
            </w:r>
            <w:r w:rsidR="00E96586" w:rsidRPr="009C53CE">
              <w:t xml:space="preserve">, which shall be amended as follows: </w:t>
            </w:r>
          </w:p>
          <w:p w14:paraId="73004E2C" w14:textId="172E736A" w:rsidR="00E96586" w:rsidRPr="009C53CE" w:rsidRDefault="00E96586" w:rsidP="00E96586">
            <w:pPr>
              <w:numPr>
                <w:ilvl w:val="1"/>
                <w:numId w:val="0"/>
              </w:numPr>
              <w:overflowPunct/>
              <w:autoSpaceDE/>
              <w:autoSpaceDN/>
              <w:spacing w:after="120"/>
              <w:textAlignment w:val="auto"/>
              <w:rPr>
                <w:bCs/>
              </w:rPr>
            </w:pPr>
            <w:r w:rsidRPr="009C53CE">
              <w:rPr>
                <w:bCs/>
              </w:rPr>
              <w:t>The Supplier will produce and submit to the Customer a knowledge transfer plan within 20 Working Days of the Call Off Commencement Date (or such other period as may be agreed by the Parties in writing). The draft knowledge transfer plan shall set out as a minimum:</w:t>
            </w:r>
          </w:p>
          <w:p w14:paraId="6DC3D229" w14:textId="77777777" w:rsidR="00E96586" w:rsidRPr="009C53CE" w:rsidRDefault="00E96586" w:rsidP="00E96586">
            <w:pPr>
              <w:numPr>
                <w:ilvl w:val="0"/>
                <w:numId w:val="101"/>
              </w:numPr>
              <w:overflowPunct/>
              <w:autoSpaceDE/>
              <w:autoSpaceDN/>
              <w:spacing w:after="120"/>
              <w:textAlignment w:val="auto"/>
              <w:rPr>
                <w:bCs/>
              </w:rPr>
            </w:pPr>
            <w:r w:rsidRPr="009C53CE">
              <w:t>the Supplier's proposed methodology for achieving the transfer of all relevant knowledge to the Customer and/or Replacement Supplier which might be necessary to ensure a rapid, orderly, non- disruptive transition of the Services from the Supplier to the Customer and/or its Replacement Supplier on the expiry or termination of this Call Off Contract;</w:t>
            </w:r>
          </w:p>
          <w:p w14:paraId="0C62698E" w14:textId="77777777" w:rsidR="00E96586" w:rsidRPr="009C53CE" w:rsidRDefault="00E96586" w:rsidP="00E96586">
            <w:pPr>
              <w:numPr>
                <w:ilvl w:val="0"/>
                <w:numId w:val="101"/>
              </w:numPr>
              <w:overflowPunct/>
              <w:autoSpaceDE/>
              <w:autoSpaceDN/>
              <w:spacing w:after="120"/>
              <w:textAlignment w:val="auto"/>
              <w:rPr>
                <w:bCs/>
              </w:rPr>
            </w:pPr>
            <w:r w:rsidRPr="009C53CE">
              <w:rPr>
                <w:bCs/>
              </w:rPr>
              <w:t>a project plan for effective knowledge transfer, including Milestones and Deliverables;</w:t>
            </w:r>
          </w:p>
          <w:p w14:paraId="36782D66" w14:textId="58470A66" w:rsidR="00E96586" w:rsidRPr="009C53CE" w:rsidRDefault="00E96586" w:rsidP="00E96586">
            <w:pPr>
              <w:numPr>
                <w:ilvl w:val="0"/>
                <w:numId w:val="101"/>
              </w:numPr>
              <w:overflowPunct/>
              <w:autoSpaceDE/>
              <w:autoSpaceDN/>
              <w:spacing w:after="120"/>
              <w:textAlignment w:val="auto"/>
              <w:rPr>
                <w:bCs/>
              </w:rPr>
            </w:pPr>
            <w:r w:rsidRPr="009C53CE">
              <w:rPr>
                <w:bCs/>
              </w:rPr>
              <w:t xml:space="preserve">identification of all critical processes and information that will be documented and provided to the Customer and/or Replacement Supplier and the </w:t>
            </w:r>
            <w:r w:rsidR="00D50C28" w:rsidRPr="009C53CE">
              <w:rPr>
                <w:bCs/>
              </w:rPr>
              <w:t>timescales</w:t>
            </w:r>
            <w:r w:rsidRPr="009C53CE">
              <w:rPr>
                <w:bCs/>
              </w:rPr>
              <w:t xml:space="preserve"> for documentation and provision; </w:t>
            </w:r>
          </w:p>
          <w:p w14:paraId="3B728077" w14:textId="77777777" w:rsidR="00E96586" w:rsidRPr="009C53CE" w:rsidRDefault="00E96586" w:rsidP="00E96586">
            <w:pPr>
              <w:numPr>
                <w:ilvl w:val="0"/>
                <w:numId w:val="101"/>
              </w:numPr>
              <w:overflowPunct/>
              <w:autoSpaceDE/>
              <w:autoSpaceDN/>
              <w:spacing w:after="120"/>
              <w:textAlignment w:val="auto"/>
              <w:rPr>
                <w:bCs/>
              </w:rPr>
            </w:pPr>
            <w:r w:rsidRPr="009C53CE">
              <w:rPr>
                <w:bCs/>
              </w:rPr>
              <w:t xml:space="preserve">the proposed format of documentation and/ or training that will be provided by the Supplier as part of knowledge transfer and the proposed dates for provision; and </w:t>
            </w:r>
          </w:p>
          <w:p w14:paraId="32B729FA" w14:textId="08DD2E09" w:rsidR="00E96586" w:rsidRPr="009C53CE" w:rsidRDefault="007728AB" w:rsidP="00E96586">
            <w:pPr>
              <w:numPr>
                <w:ilvl w:val="0"/>
                <w:numId w:val="101"/>
              </w:numPr>
              <w:overflowPunct/>
              <w:autoSpaceDE/>
              <w:autoSpaceDN/>
              <w:spacing w:after="120"/>
              <w:textAlignment w:val="auto"/>
              <w:rPr>
                <w:bCs/>
              </w:rPr>
            </w:pPr>
            <w:r w:rsidRPr="009C53CE">
              <w:rPr>
                <w:bCs/>
              </w:rPr>
              <w:t>d</w:t>
            </w:r>
            <w:r w:rsidR="00E96586" w:rsidRPr="009C53CE">
              <w:rPr>
                <w:bCs/>
              </w:rPr>
              <w:t>efinitions of an agreed acceptable standard and sign-off process (including roles and responsibilities from Supplier and Customer teams)</w:t>
            </w:r>
          </w:p>
          <w:p w14:paraId="37D22002" w14:textId="2825995F" w:rsidR="00E96586" w:rsidRPr="009C53CE" w:rsidRDefault="00E96586" w:rsidP="00E96586">
            <w:pPr>
              <w:numPr>
                <w:ilvl w:val="1"/>
                <w:numId w:val="0"/>
              </w:numPr>
              <w:overflowPunct/>
              <w:autoSpaceDE/>
              <w:autoSpaceDN/>
              <w:spacing w:after="120"/>
              <w:textAlignment w:val="auto"/>
            </w:pPr>
            <w:r w:rsidRPr="009C53CE">
              <w:t xml:space="preserve">The Parties shall use reasonable endeavours to agree the contents of the knowledge transfer plan. If the Parties are unable to agree the contents of the Exit Plan within </w:t>
            </w:r>
            <w:r w:rsidR="00916CF0" w:rsidRPr="00916CF0">
              <w:t>t</w:t>
            </w:r>
            <w:r w:rsidRPr="00916CF0">
              <w:t>en (10)</w:t>
            </w:r>
            <w:r w:rsidRPr="009C53CE">
              <w:t xml:space="preserve"> Working Days of its submission, then such Dispute shall be resolved in accordance with the Dispute Resolution Procedure. </w:t>
            </w:r>
          </w:p>
          <w:p w14:paraId="1322AB72" w14:textId="6C4836D6" w:rsidR="00E96586" w:rsidRPr="009C53CE" w:rsidRDefault="00E96586" w:rsidP="00E96586">
            <w:pPr>
              <w:numPr>
                <w:ilvl w:val="1"/>
                <w:numId w:val="0"/>
              </w:numPr>
              <w:overflowPunct/>
              <w:autoSpaceDE/>
              <w:autoSpaceDN/>
              <w:spacing w:after="120"/>
              <w:textAlignment w:val="auto"/>
            </w:pPr>
            <w:r w:rsidRPr="009C53CE">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 at its own cost and expense:</w:t>
            </w:r>
          </w:p>
          <w:p w14:paraId="3417E92A" w14:textId="23B873E5" w:rsidR="00E96586" w:rsidRPr="009C53CE" w:rsidRDefault="00E96586" w:rsidP="00E96586">
            <w:pPr>
              <w:numPr>
                <w:ilvl w:val="1"/>
                <w:numId w:val="0"/>
              </w:numPr>
              <w:overflowPunct/>
              <w:autoSpaceDE/>
              <w:autoSpaceDN/>
              <w:spacing w:after="120"/>
              <w:textAlignment w:val="auto"/>
            </w:pPr>
            <w:r w:rsidRPr="009C53CE">
              <w:lastRenderedPageBreak/>
              <w:t xml:space="preserve">comply with all of its obligations contained in the </w:t>
            </w:r>
            <w:r w:rsidR="00870107" w:rsidRPr="009C53CE">
              <w:t>k</w:t>
            </w:r>
            <w:r w:rsidR="00D50C28" w:rsidRPr="009C53CE">
              <w:t>nowledge</w:t>
            </w:r>
            <w:r w:rsidRPr="009C53CE">
              <w:t xml:space="preserve"> </w:t>
            </w:r>
            <w:r w:rsidR="00870107" w:rsidRPr="009C53CE">
              <w:t>t</w:t>
            </w:r>
            <w:r w:rsidRPr="009C53CE">
              <w:t xml:space="preserve">ransfer </w:t>
            </w:r>
            <w:r w:rsidR="00870107" w:rsidRPr="009C53CE">
              <w:t>p</w:t>
            </w:r>
            <w:r w:rsidRPr="009C53CE">
              <w:t xml:space="preserve">lan and shall make </w:t>
            </w:r>
            <w:r w:rsidR="00AB7DC1" w:rsidRPr="009C53CE">
              <w:t>the Supplier Personnel</w:t>
            </w:r>
            <w:r w:rsidR="0008498A" w:rsidRPr="009C53CE">
              <w:t xml:space="preserve"> </w:t>
            </w:r>
            <w:r w:rsidR="00BA4ACD" w:rsidRPr="009C53CE">
              <w:t>and the information</w:t>
            </w:r>
            <w:r w:rsidR="00303106" w:rsidRPr="009C53CE">
              <w:t xml:space="preserve"> </w:t>
            </w:r>
            <w:r w:rsidRPr="009C53CE">
              <w:t xml:space="preserve">available for the purposes of knowledge transfer to the Customer and/or the Replacement Supplier. </w:t>
            </w:r>
          </w:p>
          <w:p w14:paraId="1458C54E" w14:textId="523D55E5" w:rsidR="00E96586" w:rsidRPr="009C53CE" w:rsidRDefault="00E96586" w:rsidP="00E96586">
            <w:pPr>
              <w:numPr>
                <w:ilvl w:val="1"/>
                <w:numId w:val="0"/>
              </w:numPr>
              <w:overflowPunct/>
              <w:autoSpaceDE/>
              <w:autoSpaceDN/>
              <w:spacing w:after="120"/>
              <w:textAlignment w:val="auto"/>
              <w:rPr>
                <w:bCs/>
              </w:rPr>
            </w:pPr>
            <w:r w:rsidRPr="009C53CE">
              <w:rPr>
                <w:bCs/>
              </w:rPr>
              <w:t xml:space="preserve">provide no less than </w:t>
            </w:r>
            <w:r w:rsidRPr="00916CF0">
              <w:rPr>
                <w:bCs/>
              </w:rPr>
              <w:t>40 hours</w:t>
            </w:r>
            <w:r w:rsidRPr="009C53CE">
              <w:rPr>
                <w:bCs/>
              </w:rPr>
              <w:t xml:space="preserve"> of dedicated resource time from Supplier Personnel who were actively engaged in the provision of the Services to carry out the knowledge transfer activities set out in the knowledge transfer plan.  This cost will be absorbed by the </w:t>
            </w:r>
            <w:r w:rsidR="00870107" w:rsidRPr="009C53CE">
              <w:rPr>
                <w:bCs/>
              </w:rPr>
              <w:t>S</w:t>
            </w:r>
            <w:r w:rsidRPr="009C53CE">
              <w:rPr>
                <w:bCs/>
              </w:rPr>
              <w:t>upplier at the time of contract expiry.</w:t>
            </w:r>
          </w:p>
          <w:p w14:paraId="11DB9B6A" w14:textId="74CEB2F7" w:rsidR="003B455E" w:rsidRPr="009C53CE" w:rsidRDefault="003B455E">
            <w:pPr>
              <w:numPr>
                <w:ilvl w:val="1"/>
                <w:numId w:val="0"/>
              </w:numPr>
              <w:overflowPunct/>
              <w:autoSpaceDE/>
              <w:autoSpaceDN/>
              <w:spacing w:after="120"/>
              <w:textAlignment w:val="auto"/>
              <w:rPr>
                <w:rFonts w:eastAsia="STZhongsong"/>
                <w:b/>
                <w:lang w:eastAsia="zh-CN"/>
              </w:rPr>
            </w:pPr>
            <w:r w:rsidRPr="009C53CE">
              <w:t xml:space="preserve"> </w:t>
            </w:r>
          </w:p>
        </w:tc>
      </w:tr>
    </w:tbl>
    <w:p w14:paraId="69E57A0A" w14:textId="77777777" w:rsidR="004E05DC" w:rsidRPr="009C53CE" w:rsidRDefault="004E05DC">
      <w:pPr>
        <w:pStyle w:val="ORDERFORML1PraraNo"/>
        <w:numPr>
          <w:ilvl w:val="0"/>
          <w:numId w:val="0"/>
        </w:numPr>
        <w:ind w:left="426"/>
        <w:rPr>
          <w:rFonts w:ascii="Arial" w:hAnsi="Arial" w:cs="Arial"/>
        </w:rPr>
      </w:pPr>
    </w:p>
    <w:p w14:paraId="2387B836" w14:textId="77777777" w:rsidR="004E05DC" w:rsidRPr="009C53CE" w:rsidRDefault="00F770DB">
      <w:pPr>
        <w:pStyle w:val="ORDERFORML1PraraNo"/>
        <w:rPr>
          <w:rFonts w:ascii="Arial" w:hAnsi="Arial" w:cs="Arial"/>
        </w:rPr>
      </w:pPr>
      <w:r w:rsidRPr="009C53CE">
        <w:rPr>
          <w:rFonts w:ascii="Arial" w:hAnsi="Arial" w:cs="Arial"/>
        </w:rPr>
        <w:t>supplier information</w:t>
      </w:r>
    </w:p>
    <w:p w14:paraId="28B2BCA5" w14:textId="77777777" w:rsidR="004E05DC" w:rsidRPr="009C53CE" w:rsidRDefault="004E05DC">
      <w:pPr>
        <w:pStyle w:val="ORDERFORML1PraraNo"/>
        <w:numPr>
          <w:ilvl w:val="0"/>
          <w:numId w:val="0"/>
        </w:numPr>
        <w:ind w:left="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246"/>
      </w:tblGrid>
      <w:tr w:rsidR="009C53CE" w:rsidRPr="009C53CE" w14:paraId="79968519" w14:textId="77777777" w:rsidTr="003B455E">
        <w:tc>
          <w:tcPr>
            <w:tcW w:w="564" w:type="dxa"/>
            <w:tcBorders>
              <w:top w:val="single" w:sz="4" w:space="0" w:color="auto"/>
              <w:left w:val="single" w:sz="4" w:space="0" w:color="auto"/>
              <w:bottom w:val="single" w:sz="4" w:space="0" w:color="auto"/>
              <w:right w:val="single" w:sz="4" w:space="0" w:color="auto"/>
            </w:tcBorders>
          </w:tcPr>
          <w:p w14:paraId="6BFBD54A" w14:textId="77777777" w:rsidR="003B455E" w:rsidRPr="009C53CE" w:rsidRDefault="003B455E">
            <w:pPr>
              <w:numPr>
                <w:ilvl w:val="1"/>
                <w:numId w:val="0"/>
              </w:numPr>
              <w:overflowPunct/>
              <w:autoSpaceDE/>
              <w:autoSpaceDN/>
              <w:spacing w:after="120"/>
              <w:jc w:val="left"/>
              <w:textAlignment w:val="auto"/>
              <w:rPr>
                <w:b/>
              </w:rPr>
            </w:pPr>
            <w:r w:rsidRPr="009C53CE">
              <w:rPr>
                <w:b/>
              </w:rPr>
              <w:t>9.1</w:t>
            </w:r>
          </w:p>
        </w:tc>
        <w:tc>
          <w:tcPr>
            <w:tcW w:w="9246"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3B455E" w:rsidRPr="009C53CE" w:rsidRDefault="003B455E" w:rsidP="00BB4A0B">
            <w:pPr>
              <w:numPr>
                <w:ilvl w:val="1"/>
                <w:numId w:val="0"/>
              </w:numPr>
              <w:overflowPunct/>
              <w:autoSpaceDE/>
              <w:autoSpaceDN/>
              <w:spacing w:after="120"/>
              <w:textAlignment w:val="auto"/>
              <w:rPr>
                <w:b/>
              </w:rPr>
            </w:pPr>
            <w:r w:rsidRPr="009C53CE">
              <w:rPr>
                <w:b/>
              </w:rPr>
              <w:t>Supplier's inspection of Sites, Customer Property and Customer Assets:</w:t>
            </w:r>
          </w:p>
          <w:p w14:paraId="2284005D" w14:textId="3FBFD57F" w:rsidR="003B455E" w:rsidRPr="009C53CE" w:rsidRDefault="003B455E">
            <w:pPr>
              <w:numPr>
                <w:ilvl w:val="1"/>
                <w:numId w:val="0"/>
              </w:numPr>
              <w:overflowPunct/>
              <w:autoSpaceDE/>
              <w:autoSpaceDN/>
              <w:spacing w:after="120"/>
              <w:jc w:val="left"/>
              <w:textAlignment w:val="auto"/>
              <w:rPr>
                <w:rFonts w:eastAsia="STZhongsong"/>
                <w:bCs/>
                <w:lang w:eastAsia="zh-CN"/>
              </w:rPr>
            </w:pPr>
            <w:r w:rsidRPr="009C53CE">
              <w:rPr>
                <w:bCs/>
              </w:rPr>
              <w:t>Not applicable</w:t>
            </w:r>
          </w:p>
        </w:tc>
      </w:tr>
      <w:tr w:rsidR="003B455E" w:rsidRPr="009C53CE" w14:paraId="6A7CE09E" w14:textId="77777777" w:rsidTr="003B455E">
        <w:tc>
          <w:tcPr>
            <w:tcW w:w="564" w:type="dxa"/>
            <w:tcBorders>
              <w:top w:val="single" w:sz="4" w:space="0" w:color="auto"/>
              <w:left w:val="single" w:sz="4" w:space="0" w:color="auto"/>
              <w:bottom w:val="single" w:sz="4" w:space="0" w:color="auto"/>
              <w:right w:val="single" w:sz="4" w:space="0" w:color="auto"/>
            </w:tcBorders>
          </w:tcPr>
          <w:p w14:paraId="1E7D0AAB" w14:textId="77777777" w:rsidR="003B455E" w:rsidRPr="009C53CE" w:rsidRDefault="003B455E">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9.2</w:t>
            </w:r>
          </w:p>
        </w:tc>
        <w:tc>
          <w:tcPr>
            <w:tcW w:w="9246"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3B455E" w:rsidRPr="009C53CE" w:rsidRDefault="003B455E">
            <w:pPr>
              <w:numPr>
                <w:ilvl w:val="1"/>
                <w:numId w:val="0"/>
              </w:numPr>
              <w:overflowPunct/>
              <w:autoSpaceDE/>
              <w:autoSpaceDN/>
              <w:spacing w:after="120"/>
              <w:jc w:val="left"/>
              <w:textAlignment w:val="auto"/>
              <w:rPr>
                <w:rFonts w:eastAsia="STZhongsong"/>
                <w:lang w:eastAsia="zh-CN"/>
              </w:rPr>
            </w:pPr>
            <w:r w:rsidRPr="009C53CE">
              <w:rPr>
                <w:rFonts w:eastAsia="STZhongsong"/>
                <w:b/>
                <w:lang w:eastAsia="zh-CN"/>
              </w:rPr>
              <w:t>Commercially Sensitive Information</w:t>
            </w:r>
            <w:r w:rsidRPr="009C53CE">
              <w:rPr>
                <w:rFonts w:eastAsia="STZhongsong"/>
                <w:lang w:eastAsia="zh-CN"/>
              </w:rPr>
              <w:t>:</w:t>
            </w:r>
          </w:p>
          <w:p w14:paraId="5FE23564" w14:textId="07EF0FC1" w:rsidR="003B455E" w:rsidRPr="00B1604D" w:rsidRDefault="00B1604D" w:rsidP="00B1604D">
            <w:pPr>
              <w:tabs>
                <w:tab w:val="center" w:pos="4153"/>
                <w:tab w:val="right" w:pos="8306"/>
              </w:tabs>
              <w:overflowPunct/>
              <w:autoSpaceDE/>
              <w:autoSpaceDN/>
              <w:adjustRightInd/>
              <w:spacing w:after="120" w:line="240" w:lineRule="atLeast"/>
              <w:ind w:left="0"/>
              <w:jc w:val="left"/>
              <w:textAlignment w:val="auto"/>
              <w:rPr>
                <w:rFonts w:eastAsiaTheme="minorHAnsi"/>
                <w:b/>
              </w:rPr>
            </w:pPr>
            <w:r w:rsidRPr="00B1604D">
              <w:rPr>
                <w:rFonts w:eastAsiaTheme="minorHAnsi"/>
                <w:b/>
              </w:rPr>
              <w:t>REDACTED</w:t>
            </w:r>
          </w:p>
        </w:tc>
      </w:tr>
    </w:tbl>
    <w:p w14:paraId="53C20A9A" w14:textId="77777777" w:rsidR="004E05DC" w:rsidRPr="009C53CE" w:rsidRDefault="004E05DC">
      <w:pPr>
        <w:pStyle w:val="ORDERFORML1PraraNo"/>
        <w:numPr>
          <w:ilvl w:val="0"/>
          <w:numId w:val="0"/>
        </w:numPr>
        <w:ind w:left="426"/>
        <w:rPr>
          <w:rFonts w:ascii="Arial" w:hAnsi="Arial" w:cs="Arial"/>
        </w:rPr>
      </w:pPr>
    </w:p>
    <w:p w14:paraId="561DA3CA" w14:textId="77777777" w:rsidR="004E05DC" w:rsidRPr="009C53CE" w:rsidRDefault="00F770DB">
      <w:pPr>
        <w:pStyle w:val="ORDERFORML1PraraNo"/>
        <w:rPr>
          <w:rFonts w:ascii="Arial" w:hAnsi="Arial" w:cs="Arial"/>
        </w:rPr>
      </w:pPr>
      <w:r w:rsidRPr="009C53CE">
        <w:rPr>
          <w:rFonts w:ascii="Arial" w:hAnsi="Arial" w:cs="Arial"/>
        </w:rPr>
        <w:t>OTHER CALL OFF REQUIREMENTS</w:t>
      </w:r>
    </w:p>
    <w:p w14:paraId="4A216129" w14:textId="77777777" w:rsidR="004E05DC" w:rsidRPr="009C53CE" w:rsidRDefault="004E05DC">
      <w:pPr>
        <w:pStyle w:val="ORDERFORML1PraraNo"/>
        <w:numPr>
          <w:ilvl w:val="0"/>
          <w:numId w:val="0"/>
        </w:numPr>
        <w:ind w:left="426"/>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9009"/>
      </w:tblGrid>
      <w:tr w:rsidR="009C53CE" w:rsidRPr="009C53CE" w14:paraId="43D33619" w14:textId="77777777" w:rsidTr="00810FF4">
        <w:tc>
          <w:tcPr>
            <w:tcW w:w="767" w:type="dxa"/>
          </w:tcPr>
          <w:p w14:paraId="7D99477E" w14:textId="77777777" w:rsidR="00810FF4" w:rsidRPr="009C53CE" w:rsidRDefault="00810FF4">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10.1</w:t>
            </w:r>
          </w:p>
        </w:tc>
        <w:tc>
          <w:tcPr>
            <w:tcW w:w="9009" w:type="dxa"/>
            <w:shd w:val="clear" w:color="auto" w:fill="auto"/>
          </w:tcPr>
          <w:p w14:paraId="7C58B8A9" w14:textId="77777777" w:rsidR="00810FF4" w:rsidRPr="009C53CE" w:rsidRDefault="00810FF4">
            <w:pPr>
              <w:numPr>
                <w:ilvl w:val="1"/>
                <w:numId w:val="0"/>
              </w:numPr>
              <w:overflowPunct/>
              <w:autoSpaceDE/>
              <w:autoSpaceDN/>
              <w:spacing w:after="120"/>
              <w:textAlignment w:val="auto"/>
              <w:rPr>
                <w:rFonts w:eastAsia="STZhongsong"/>
                <w:lang w:eastAsia="zh-CN"/>
              </w:rPr>
            </w:pPr>
            <w:r w:rsidRPr="009C53CE">
              <w:rPr>
                <w:rFonts w:eastAsia="STZhongsong"/>
                <w:b/>
                <w:lang w:eastAsia="zh-CN"/>
              </w:rPr>
              <w:t>Recitals</w:t>
            </w:r>
            <w:r w:rsidRPr="009C53CE">
              <w:rPr>
                <w:rFonts w:eastAsia="STZhongsong"/>
                <w:lang w:eastAsia="zh-CN"/>
              </w:rPr>
              <w:t xml:space="preserve"> (in preamble to the Call Off Terms):</w:t>
            </w:r>
          </w:p>
          <w:p w14:paraId="129A560E" w14:textId="69F72EAC" w:rsidR="00810FF4" w:rsidRPr="009C53CE" w:rsidRDefault="00810FF4" w:rsidP="00CE21B9">
            <w:pPr>
              <w:numPr>
                <w:ilvl w:val="1"/>
                <w:numId w:val="0"/>
              </w:numPr>
              <w:overflowPunct/>
              <w:autoSpaceDE/>
              <w:autoSpaceDN/>
              <w:spacing w:after="120"/>
              <w:jc w:val="left"/>
              <w:textAlignment w:val="auto"/>
              <w:rPr>
                <w:rFonts w:eastAsia="STZhongsong"/>
                <w:b/>
                <w:highlight w:val="yellow"/>
                <w:lang w:eastAsia="zh-CN"/>
              </w:rPr>
            </w:pPr>
            <w:r w:rsidRPr="009C53CE">
              <w:rPr>
                <w:rFonts w:eastAsia="STZhongsong"/>
                <w:lang w:eastAsia="zh-CN"/>
              </w:rPr>
              <w:t>Recital A</w:t>
            </w:r>
          </w:p>
          <w:p w14:paraId="45E18F3C" w14:textId="3D6E3C4F" w:rsidR="00810FF4" w:rsidRPr="009C53CE" w:rsidRDefault="00810FF4">
            <w:pPr>
              <w:numPr>
                <w:ilvl w:val="1"/>
                <w:numId w:val="0"/>
              </w:numPr>
              <w:overflowPunct/>
              <w:autoSpaceDE/>
              <w:autoSpaceDN/>
              <w:spacing w:after="120"/>
              <w:jc w:val="left"/>
              <w:textAlignment w:val="auto"/>
              <w:rPr>
                <w:rFonts w:eastAsia="STZhongsong"/>
                <w:b/>
                <w:lang w:eastAsia="zh-CN"/>
              </w:rPr>
            </w:pPr>
          </w:p>
        </w:tc>
      </w:tr>
      <w:tr w:rsidR="009C53CE" w:rsidRPr="009C53CE" w14:paraId="6517E645" w14:textId="77777777" w:rsidTr="00810FF4">
        <w:tc>
          <w:tcPr>
            <w:tcW w:w="767" w:type="dxa"/>
          </w:tcPr>
          <w:p w14:paraId="18CF27F0" w14:textId="77777777" w:rsidR="00810FF4" w:rsidRPr="009C53CE" w:rsidRDefault="00810FF4">
            <w:pPr>
              <w:numPr>
                <w:ilvl w:val="1"/>
                <w:numId w:val="0"/>
              </w:numPr>
              <w:overflowPunct/>
              <w:autoSpaceDE/>
              <w:autoSpaceDN/>
              <w:spacing w:after="120"/>
              <w:textAlignment w:val="auto"/>
              <w:rPr>
                <w:b/>
              </w:rPr>
            </w:pPr>
            <w:r w:rsidRPr="009C53CE">
              <w:rPr>
                <w:b/>
              </w:rPr>
              <w:t>10.2</w:t>
            </w:r>
          </w:p>
        </w:tc>
        <w:tc>
          <w:tcPr>
            <w:tcW w:w="9009" w:type="dxa"/>
            <w:shd w:val="clear" w:color="auto" w:fill="auto"/>
          </w:tcPr>
          <w:p w14:paraId="5E3BE745" w14:textId="6536AF37" w:rsidR="00810FF4" w:rsidRPr="009C53CE" w:rsidRDefault="00810FF4">
            <w:pPr>
              <w:numPr>
                <w:ilvl w:val="1"/>
                <w:numId w:val="0"/>
              </w:numPr>
              <w:overflowPunct/>
              <w:autoSpaceDE/>
              <w:autoSpaceDN/>
              <w:spacing w:after="120"/>
              <w:textAlignment w:val="auto"/>
              <w:rPr>
                <w:b/>
              </w:rPr>
            </w:pPr>
            <w:r w:rsidRPr="009C53CE">
              <w:rPr>
                <w:b/>
              </w:rPr>
              <w:t>Call Off Guarantee (Clause 4 of the Call Off Terms):</w:t>
            </w:r>
          </w:p>
          <w:p w14:paraId="0670D793" w14:textId="56EAD895" w:rsidR="00810FF4" w:rsidRPr="009C53CE" w:rsidRDefault="00810FF4">
            <w:pPr>
              <w:numPr>
                <w:ilvl w:val="1"/>
                <w:numId w:val="0"/>
              </w:numPr>
              <w:overflowPunct/>
              <w:autoSpaceDE/>
              <w:autoSpaceDN/>
              <w:spacing w:after="120"/>
              <w:textAlignment w:val="auto"/>
              <w:rPr>
                <w:b/>
                <w:highlight w:val="yellow"/>
              </w:rPr>
            </w:pPr>
            <w:r w:rsidRPr="009C53CE">
              <w:t>Not required</w:t>
            </w:r>
          </w:p>
        </w:tc>
      </w:tr>
      <w:tr w:rsidR="009C53CE" w:rsidRPr="009C53CE" w14:paraId="7DCC4D29" w14:textId="77777777" w:rsidTr="00810FF4">
        <w:tc>
          <w:tcPr>
            <w:tcW w:w="767" w:type="dxa"/>
          </w:tcPr>
          <w:p w14:paraId="60E9D409"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10.3</w:t>
            </w:r>
          </w:p>
        </w:tc>
        <w:tc>
          <w:tcPr>
            <w:tcW w:w="9009" w:type="dxa"/>
            <w:shd w:val="clear" w:color="auto" w:fill="auto"/>
          </w:tcPr>
          <w:p w14:paraId="0578377D" w14:textId="77777777" w:rsidR="00810FF4" w:rsidRPr="009C53CE" w:rsidRDefault="00810FF4">
            <w:pPr>
              <w:numPr>
                <w:ilvl w:val="1"/>
                <w:numId w:val="0"/>
              </w:numPr>
              <w:overflowPunct/>
              <w:autoSpaceDE/>
              <w:autoSpaceDN/>
              <w:spacing w:after="120"/>
              <w:jc w:val="left"/>
              <w:textAlignment w:val="auto"/>
              <w:rPr>
                <w:rFonts w:eastAsia="STZhongsong"/>
                <w:b/>
                <w:highlight w:val="yellow"/>
                <w:lang w:eastAsia="zh-CN"/>
              </w:rPr>
            </w:pPr>
            <w:r w:rsidRPr="009C53CE">
              <w:rPr>
                <w:rFonts w:eastAsia="STZhongsong"/>
                <w:b/>
                <w:lang w:eastAsia="zh-CN"/>
              </w:rPr>
              <w:t>Security</w:t>
            </w:r>
            <w:r w:rsidRPr="009C53CE">
              <w:rPr>
                <w:rFonts w:eastAsia="STZhongsong"/>
                <w:lang w:eastAsia="zh-CN"/>
              </w:rPr>
              <w:t>:</w:t>
            </w:r>
          </w:p>
          <w:p w14:paraId="745E660E" w14:textId="0AAB0189" w:rsidR="00810FF4" w:rsidRPr="009C53CE" w:rsidRDefault="00916CF0" w:rsidP="003B455E">
            <w:pPr>
              <w:numPr>
                <w:ilvl w:val="1"/>
                <w:numId w:val="0"/>
              </w:numPr>
              <w:overflowPunct/>
              <w:autoSpaceDE/>
              <w:autoSpaceDN/>
              <w:spacing w:after="120"/>
              <w:jc w:val="left"/>
              <w:textAlignment w:val="auto"/>
              <w:rPr>
                <w:rFonts w:eastAsia="STZhongsong"/>
                <w:b/>
                <w:lang w:eastAsia="zh-CN"/>
              </w:rPr>
            </w:pPr>
            <w:r>
              <w:rPr>
                <w:rFonts w:eastAsia="STZhongsong"/>
                <w:lang w:eastAsia="zh-CN"/>
              </w:rPr>
              <w:t>Short Form</w:t>
            </w:r>
          </w:p>
          <w:p w14:paraId="647E0FD5" w14:textId="77777777" w:rsidR="00810FF4" w:rsidRPr="009C53CE" w:rsidRDefault="00810FF4">
            <w:pPr>
              <w:numPr>
                <w:ilvl w:val="1"/>
                <w:numId w:val="0"/>
              </w:numPr>
              <w:overflowPunct/>
              <w:autoSpaceDE/>
              <w:autoSpaceDN/>
              <w:spacing w:after="120"/>
              <w:jc w:val="left"/>
              <w:textAlignment w:val="auto"/>
              <w:rPr>
                <w:rFonts w:eastAsia="STZhongsong"/>
                <w:b/>
                <w:highlight w:val="yellow"/>
                <w:lang w:eastAsia="zh-CN"/>
              </w:rPr>
            </w:pPr>
          </w:p>
          <w:p w14:paraId="53325C2F"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r w:rsidRPr="009C53CE">
              <w:rPr>
                <w:rFonts w:eastAsia="STZhongsong"/>
                <w:b/>
                <w:highlight w:val="yellow"/>
                <w:lang w:eastAsia="zh-CN"/>
              </w:rPr>
              <w:t xml:space="preserve"> </w:t>
            </w:r>
          </w:p>
        </w:tc>
      </w:tr>
      <w:tr w:rsidR="009C53CE" w:rsidRPr="009C53CE" w14:paraId="433A9CF1" w14:textId="77777777" w:rsidTr="00810FF4">
        <w:tc>
          <w:tcPr>
            <w:tcW w:w="767" w:type="dxa"/>
          </w:tcPr>
          <w:p w14:paraId="21B91E79"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10.4</w:t>
            </w:r>
          </w:p>
        </w:tc>
        <w:tc>
          <w:tcPr>
            <w:tcW w:w="9009" w:type="dxa"/>
            <w:shd w:val="clear" w:color="auto" w:fill="auto"/>
          </w:tcPr>
          <w:p w14:paraId="55D2D61B"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ICT Policy:</w:t>
            </w:r>
          </w:p>
          <w:p w14:paraId="6C5624F3" w14:textId="396BCFB9" w:rsidR="00810FF4" w:rsidRPr="00916CF0" w:rsidRDefault="004E0AA8" w:rsidP="003B455E">
            <w:pPr>
              <w:numPr>
                <w:ilvl w:val="1"/>
                <w:numId w:val="0"/>
              </w:numPr>
              <w:overflowPunct/>
              <w:autoSpaceDE/>
              <w:autoSpaceDN/>
              <w:spacing w:after="120"/>
              <w:jc w:val="left"/>
              <w:textAlignment w:val="auto"/>
              <w:rPr>
                <w:rFonts w:eastAsia="STZhongsong"/>
                <w:b/>
                <w:lang w:eastAsia="zh-CN"/>
              </w:rPr>
            </w:pPr>
            <w:r w:rsidRPr="00916CF0">
              <w:rPr>
                <w:rFonts w:eastAsia="STZhongsong"/>
                <w:lang w:eastAsia="zh-CN"/>
              </w:rPr>
              <w:t xml:space="preserve">As per </w:t>
            </w:r>
            <w:r w:rsidRPr="00916CF0">
              <w:rPr>
                <w:rFonts w:eastAsia="Calibri"/>
                <w:lang w:eastAsia="en-GB"/>
              </w:rPr>
              <w:t>Department for Health and Social Care standard policy</w:t>
            </w:r>
          </w:p>
          <w:p w14:paraId="3FD47CAF"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p>
        </w:tc>
      </w:tr>
      <w:tr w:rsidR="009C53CE" w:rsidRPr="009C53CE" w14:paraId="068657D7" w14:textId="77777777" w:rsidTr="00810FF4">
        <w:tc>
          <w:tcPr>
            <w:tcW w:w="767" w:type="dxa"/>
          </w:tcPr>
          <w:p w14:paraId="3D88F94C"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10.6</w:t>
            </w:r>
          </w:p>
        </w:tc>
        <w:tc>
          <w:tcPr>
            <w:tcW w:w="9009" w:type="dxa"/>
            <w:shd w:val="clear" w:color="auto" w:fill="auto"/>
          </w:tcPr>
          <w:p w14:paraId="4AD0ACE7" w14:textId="77777777" w:rsidR="00810FF4" w:rsidRPr="009C53CE" w:rsidRDefault="00810FF4" w:rsidP="00BB4A0B">
            <w:pPr>
              <w:numPr>
                <w:ilvl w:val="1"/>
                <w:numId w:val="0"/>
              </w:numPr>
              <w:overflowPunct/>
              <w:autoSpaceDE/>
              <w:autoSpaceDN/>
              <w:spacing w:after="120"/>
              <w:textAlignment w:val="auto"/>
              <w:rPr>
                <w:rFonts w:eastAsia="STZhongsong"/>
                <w:lang w:eastAsia="zh-CN"/>
              </w:rPr>
            </w:pPr>
            <w:r w:rsidRPr="009C53CE">
              <w:rPr>
                <w:rFonts w:eastAsia="STZhongsong"/>
                <w:b/>
                <w:lang w:eastAsia="zh-CN"/>
              </w:rPr>
              <w:t>Business Continuity &amp; Disaster Recovery</w:t>
            </w:r>
            <w:r w:rsidRPr="009C53CE">
              <w:rPr>
                <w:rFonts w:eastAsia="STZhongsong"/>
                <w:lang w:eastAsia="zh-CN"/>
              </w:rPr>
              <w:t xml:space="preserve">: </w:t>
            </w:r>
          </w:p>
          <w:p w14:paraId="73384664" w14:textId="42E7366A" w:rsidR="00810FF4" w:rsidRPr="009C53CE" w:rsidRDefault="00810FF4" w:rsidP="003B455E">
            <w:pPr>
              <w:numPr>
                <w:ilvl w:val="1"/>
                <w:numId w:val="0"/>
              </w:numPr>
              <w:overflowPunct/>
              <w:autoSpaceDE/>
              <w:autoSpaceDN/>
              <w:spacing w:after="120"/>
              <w:textAlignment w:val="auto"/>
            </w:pPr>
            <w:r w:rsidRPr="009C53CE">
              <w:t>In Call Off Schedule 8 (Business Continuity and Disaster Recovery)</w:t>
            </w:r>
          </w:p>
          <w:p w14:paraId="50F15A0C" w14:textId="77777777" w:rsidR="00810FF4" w:rsidRPr="009C53CE" w:rsidRDefault="00810FF4" w:rsidP="00BB4A0B">
            <w:pPr>
              <w:numPr>
                <w:ilvl w:val="1"/>
                <w:numId w:val="0"/>
              </w:numPr>
              <w:overflowPunct/>
              <w:autoSpaceDE/>
              <w:autoSpaceDN/>
              <w:spacing w:after="0"/>
              <w:textAlignment w:val="auto"/>
              <w:rPr>
                <w:b/>
              </w:rPr>
            </w:pPr>
          </w:p>
          <w:p w14:paraId="5618519B" w14:textId="77777777" w:rsidR="00810FF4" w:rsidRPr="009C53CE" w:rsidRDefault="00810FF4" w:rsidP="00BB4A0B">
            <w:pPr>
              <w:numPr>
                <w:ilvl w:val="1"/>
                <w:numId w:val="0"/>
              </w:numPr>
              <w:overflowPunct/>
              <w:autoSpaceDE/>
              <w:autoSpaceDN/>
              <w:spacing w:after="0"/>
              <w:textAlignment w:val="auto"/>
            </w:pPr>
            <w:r w:rsidRPr="009C53CE">
              <w:rPr>
                <w:b/>
              </w:rPr>
              <w:t>Disaster Period</w:t>
            </w:r>
            <w:r w:rsidRPr="009C53CE">
              <w:t>:</w:t>
            </w:r>
          </w:p>
          <w:p w14:paraId="7DFF7994" w14:textId="0D7577DE" w:rsidR="00810FF4" w:rsidRPr="009C53CE" w:rsidRDefault="00810FF4" w:rsidP="00BB4A0B">
            <w:pPr>
              <w:numPr>
                <w:ilvl w:val="1"/>
                <w:numId w:val="0"/>
              </w:numPr>
              <w:overflowPunct/>
              <w:autoSpaceDE/>
              <w:autoSpaceDN/>
              <w:spacing w:after="120"/>
              <w:textAlignment w:val="auto"/>
              <w:rPr>
                <w:rFonts w:eastAsia="STZhongsong"/>
                <w:lang w:eastAsia="zh-CN"/>
              </w:rPr>
            </w:pPr>
            <w:r w:rsidRPr="009C53CE">
              <w:t xml:space="preserve">For the purpose of the definition of “Disaster” in Call Off Schedule 1 (Definitions) the “Disaster Period” shall be </w:t>
            </w:r>
            <w:r w:rsidR="00982D63" w:rsidRPr="009C53CE">
              <w:rPr>
                <w:bCs/>
              </w:rPr>
              <w:t xml:space="preserve">as defined in the </w:t>
            </w:r>
            <w:r w:rsidR="00F65018" w:rsidRPr="009C53CE">
              <w:rPr>
                <w:bCs/>
              </w:rPr>
              <w:t>BCDR</w:t>
            </w:r>
            <w:r w:rsidR="00982D63" w:rsidRPr="009C53CE">
              <w:rPr>
                <w:bCs/>
              </w:rPr>
              <w:t xml:space="preserve"> Plan</w:t>
            </w:r>
            <w:r w:rsidR="00F65018" w:rsidRPr="009C53CE">
              <w:rPr>
                <w:bCs/>
              </w:rPr>
              <w:t>.</w:t>
            </w:r>
          </w:p>
        </w:tc>
      </w:tr>
      <w:tr w:rsidR="009C53CE" w:rsidRPr="009C53CE" w14:paraId="3781B6C0" w14:textId="77777777" w:rsidTr="00810FF4">
        <w:tc>
          <w:tcPr>
            <w:tcW w:w="767" w:type="dxa"/>
            <w:tcBorders>
              <w:top w:val="single" w:sz="4" w:space="0" w:color="auto"/>
              <w:left w:val="single" w:sz="4" w:space="0" w:color="auto"/>
              <w:bottom w:val="single" w:sz="4" w:space="0" w:color="auto"/>
              <w:right w:val="single" w:sz="4" w:space="0" w:color="auto"/>
            </w:tcBorders>
          </w:tcPr>
          <w:p w14:paraId="6442263B" w14:textId="064CB0EE" w:rsidR="00810FF4" w:rsidRPr="009C53CE" w:rsidRDefault="00810FF4">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10.7</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810FF4" w:rsidRPr="009C53CE" w:rsidRDefault="00810FF4">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NOT USED</w:t>
            </w:r>
          </w:p>
        </w:tc>
      </w:tr>
      <w:tr w:rsidR="009C53CE" w:rsidRPr="009C53CE" w14:paraId="1F2C0BC2" w14:textId="77777777" w:rsidTr="00810FF4">
        <w:tc>
          <w:tcPr>
            <w:tcW w:w="767" w:type="dxa"/>
            <w:tcBorders>
              <w:top w:val="single" w:sz="4" w:space="0" w:color="auto"/>
              <w:left w:val="single" w:sz="4" w:space="0" w:color="auto"/>
              <w:bottom w:val="single" w:sz="4" w:space="0" w:color="auto"/>
              <w:right w:val="single" w:sz="4" w:space="0" w:color="auto"/>
            </w:tcBorders>
          </w:tcPr>
          <w:p w14:paraId="0BB11D9B" w14:textId="77777777" w:rsidR="00810FF4" w:rsidRPr="009C53CE" w:rsidRDefault="00810FF4">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10.8</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810FF4" w:rsidRPr="009C53CE" w:rsidRDefault="00810FF4">
            <w:pPr>
              <w:numPr>
                <w:ilvl w:val="1"/>
                <w:numId w:val="0"/>
              </w:numPr>
              <w:overflowPunct/>
              <w:autoSpaceDE/>
              <w:autoSpaceDN/>
              <w:spacing w:after="120"/>
              <w:textAlignment w:val="auto"/>
              <w:rPr>
                <w:rFonts w:eastAsia="STZhongsong"/>
                <w:lang w:eastAsia="zh-CN"/>
              </w:rPr>
            </w:pPr>
            <w:r w:rsidRPr="009C53CE">
              <w:rPr>
                <w:rFonts w:eastAsia="STZhongsong"/>
                <w:b/>
                <w:lang w:eastAsia="zh-CN"/>
              </w:rPr>
              <w:t>Protection of Customer Data</w:t>
            </w:r>
            <w:r w:rsidRPr="009C53CE">
              <w:rPr>
                <w:rFonts w:eastAsia="STZhongsong"/>
                <w:lang w:eastAsia="zh-CN"/>
              </w:rPr>
              <w:t xml:space="preserve"> (Clause 35.2.3 of the Call Off Terms):</w:t>
            </w:r>
          </w:p>
          <w:p w14:paraId="5D8EA955" w14:textId="16C9D090" w:rsidR="00810FF4" w:rsidRPr="009C53CE" w:rsidRDefault="00D4376C">
            <w:pPr>
              <w:numPr>
                <w:ilvl w:val="1"/>
                <w:numId w:val="0"/>
              </w:numPr>
              <w:overflowPunct/>
              <w:autoSpaceDE/>
              <w:autoSpaceDN/>
              <w:spacing w:after="120"/>
              <w:textAlignment w:val="auto"/>
              <w:rPr>
                <w:rFonts w:eastAsia="STZhongsong"/>
                <w:bCs/>
                <w:lang w:eastAsia="zh-CN"/>
              </w:rPr>
            </w:pPr>
            <w:r w:rsidRPr="009C53CE">
              <w:rPr>
                <w:rFonts w:eastAsia="STZhongsong"/>
                <w:bCs/>
                <w:lang w:eastAsia="zh-CN"/>
              </w:rPr>
              <w:t>Not Applicable</w:t>
            </w:r>
          </w:p>
        </w:tc>
      </w:tr>
      <w:tr w:rsidR="009C53CE" w:rsidRPr="009C53CE" w14:paraId="5A0C2F03" w14:textId="77777777" w:rsidTr="00810FF4">
        <w:tc>
          <w:tcPr>
            <w:tcW w:w="767" w:type="dxa"/>
            <w:tcBorders>
              <w:top w:val="single" w:sz="4" w:space="0" w:color="auto"/>
              <w:left w:val="single" w:sz="4" w:space="0" w:color="auto"/>
              <w:bottom w:val="single" w:sz="4" w:space="0" w:color="auto"/>
              <w:right w:val="single" w:sz="4" w:space="0" w:color="auto"/>
            </w:tcBorders>
          </w:tcPr>
          <w:p w14:paraId="77CBD9C7" w14:textId="77777777" w:rsidR="00810FF4" w:rsidRPr="009C53CE" w:rsidRDefault="00810FF4">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10.9</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810FF4" w:rsidRPr="009C53CE" w:rsidRDefault="00810FF4">
            <w:pPr>
              <w:numPr>
                <w:ilvl w:val="1"/>
                <w:numId w:val="0"/>
              </w:numPr>
              <w:overflowPunct/>
              <w:autoSpaceDE/>
              <w:autoSpaceDN/>
              <w:spacing w:after="120"/>
              <w:textAlignment w:val="auto"/>
              <w:rPr>
                <w:rFonts w:eastAsia="STZhongsong"/>
                <w:lang w:eastAsia="zh-CN"/>
              </w:rPr>
            </w:pPr>
            <w:r w:rsidRPr="009C53CE">
              <w:rPr>
                <w:rFonts w:eastAsia="STZhongsong"/>
                <w:b/>
                <w:lang w:eastAsia="zh-CN"/>
              </w:rPr>
              <w:t>Notices</w:t>
            </w:r>
            <w:r w:rsidRPr="009C53CE">
              <w:rPr>
                <w:rFonts w:eastAsia="STZhongsong"/>
                <w:lang w:eastAsia="zh-CN"/>
              </w:rPr>
              <w:t xml:space="preserve"> (Clause 56.6 of the Call Off Terms):</w:t>
            </w:r>
          </w:p>
          <w:p w14:paraId="04C74038" w14:textId="77777777" w:rsidR="00810FF4" w:rsidRPr="009C53CE" w:rsidRDefault="00810FF4">
            <w:pPr>
              <w:numPr>
                <w:ilvl w:val="1"/>
                <w:numId w:val="0"/>
              </w:numPr>
              <w:overflowPunct/>
              <w:autoSpaceDE/>
              <w:autoSpaceDN/>
              <w:spacing w:after="120"/>
              <w:textAlignment w:val="auto"/>
              <w:rPr>
                <w:rFonts w:eastAsia="STZhongsong"/>
                <w:lang w:eastAsia="zh-CN"/>
              </w:rPr>
            </w:pPr>
            <w:r w:rsidRPr="009C53CE">
              <w:rPr>
                <w:rFonts w:eastAsia="STZhongsong"/>
                <w:lang w:eastAsia="zh-CN"/>
              </w:rPr>
              <w:lastRenderedPageBreak/>
              <w:t xml:space="preserve">Customer’s postal address and email address: </w:t>
            </w:r>
          </w:p>
          <w:p w14:paraId="657A519F" w14:textId="2D782A65" w:rsidR="00810FF4" w:rsidRPr="00916CF0" w:rsidRDefault="00810FF4">
            <w:pPr>
              <w:numPr>
                <w:ilvl w:val="1"/>
                <w:numId w:val="0"/>
              </w:numPr>
              <w:overflowPunct/>
              <w:autoSpaceDE/>
              <w:autoSpaceDN/>
              <w:spacing w:after="120"/>
              <w:textAlignment w:val="auto"/>
              <w:rPr>
                <w:rFonts w:eastAsia="STZhongsong"/>
                <w:lang w:eastAsia="zh-CN"/>
              </w:rPr>
            </w:pPr>
            <w:r w:rsidRPr="00916CF0">
              <w:rPr>
                <w:rFonts w:eastAsia="STZhongsong"/>
                <w:lang w:eastAsia="zh-CN"/>
              </w:rPr>
              <w:t>Department of Health and Social Care,</w:t>
            </w:r>
          </w:p>
          <w:p w14:paraId="7C523820" w14:textId="77777777" w:rsidR="00810FF4" w:rsidRPr="00916CF0" w:rsidRDefault="00810FF4">
            <w:pPr>
              <w:numPr>
                <w:ilvl w:val="1"/>
                <w:numId w:val="0"/>
              </w:numPr>
              <w:overflowPunct/>
              <w:autoSpaceDE/>
              <w:autoSpaceDN/>
              <w:spacing w:after="120"/>
              <w:textAlignment w:val="auto"/>
              <w:rPr>
                <w:rFonts w:eastAsia="STZhongsong"/>
                <w:lang w:eastAsia="zh-CN"/>
              </w:rPr>
            </w:pPr>
            <w:r w:rsidRPr="00916CF0">
              <w:rPr>
                <w:rFonts w:eastAsia="STZhongsong"/>
                <w:lang w:eastAsia="zh-CN"/>
              </w:rPr>
              <w:t>39 Victoria Street,</w:t>
            </w:r>
          </w:p>
          <w:p w14:paraId="2818CB0C" w14:textId="77777777" w:rsidR="00810FF4" w:rsidRPr="00916CF0" w:rsidRDefault="00810FF4">
            <w:pPr>
              <w:numPr>
                <w:ilvl w:val="1"/>
                <w:numId w:val="0"/>
              </w:numPr>
              <w:overflowPunct/>
              <w:autoSpaceDE/>
              <w:autoSpaceDN/>
              <w:spacing w:after="120"/>
              <w:textAlignment w:val="auto"/>
              <w:rPr>
                <w:rFonts w:eastAsia="STZhongsong"/>
                <w:lang w:eastAsia="zh-CN"/>
              </w:rPr>
            </w:pPr>
            <w:r w:rsidRPr="00916CF0">
              <w:rPr>
                <w:rFonts w:eastAsia="STZhongsong"/>
                <w:lang w:eastAsia="zh-CN"/>
              </w:rPr>
              <w:t>Westminster,</w:t>
            </w:r>
          </w:p>
          <w:p w14:paraId="0EB27656" w14:textId="77777777" w:rsidR="00810FF4" w:rsidRPr="00916CF0" w:rsidRDefault="00810FF4">
            <w:pPr>
              <w:numPr>
                <w:ilvl w:val="1"/>
                <w:numId w:val="0"/>
              </w:numPr>
              <w:overflowPunct/>
              <w:autoSpaceDE/>
              <w:autoSpaceDN/>
              <w:spacing w:after="120"/>
              <w:textAlignment w:val="auto"/>
              <w:rPr>
                <w:rFonts w:eastAsia="STZhongsong"/>
                <w:lang w:eastAsia="zh-CN"/>
              </w:rPr>
            </w:pPr>
            <w:r w:rsidRPr="00916CF0">
              <w:rPr>
                <w:rFonts w:eastAsia="STZhongsong"/>
                <w:lang w:eastAsia="zh-CN"/>
              </w:rPr>
              <w:t>London,</w:t>
            </w:r>
          </w:p>
          <w:p w14:paraId="4BBD520E" w14:textId="757529CB" w:rsidR="00810FF4" w:rsidRPr="00916CF0" w:rsidRDefault="00810FF4">
            <w:pPr>
              <w:numPr>
                <w:ilvl w:val="1"/>
                <w:numId w:val="0"/>
              </w:numPr>
              <w:overflowPunct/>
              <w:autoSpaceDE/>
              <w:autoSpaceDN/>
              <w:spacing w:after="120"/>
              <w:textAlignment w:val="auto"/>
              <w:rPr>
                <w:rFonts w:eastAsia="STZhongsong"/>
                <w:lang w:eastAsia="zh-CN"/>
              </w:rPr>
            </w:pPr>
            <w:r w:rsidRPr="00916CF0">
              <w:rPr>
                <w:rFonts w:eastAsia="STZhongsong"/>
                <w:lang w:eastAsia="zh-CN"/>
              </w:rPr>
              <w:t>SW1H 0EU</w:t>
            </w:r>
          </w:p>
          <w:p w14:paraId="4E905D32" w14:textId="77777777" w:rsidR="00BF468B" w:rsidRDefault="00810FF4" w:rsidP="00B02A10">
            <w:pPr>
              <w:numPr>
                <w:ilvl w:val="1"/>
                <w:numId w:val="0"/>
              </w:numPr>
              <w:overflowPunct/>
              <w:autoSpaceDE/>
              <w:autoSpaceDN/>
              <w:spacing w:after="120"/>
              <w:textAlignment w:val="auto"/>
              <w:rPr>
                <w:rFonts w:eastAsia="STZhongsong"/>
                <w:lang w:eastAsia="zh-CN"/>
              </w:rPr>
            </w:pPr>
            <w:r w:rsidRPr="009C53CE">
              <w:rPr>
                <w:rFonts w:eastAsia="STZhongsong"/>
                <w:lang w:eastAsia="zh-CN"/>
              </w:rPr>
              <w:t xml:space="preserve">Supplier’s postal address and email address: </w:t>
            </w:r>
          </w:p>
          <w:p w14:paraId="1DF8CFBC" w14:textId="3C76C550" w:rsidR="00A17ECF" w:rsidRDefault="00A17ECF" w:rsidP="00A17ECF">
            <w:pPr>
              <w:numPr>
                <w:ilvl w:val="1"/>
                <w:numId w:val="0"/>
              </w:numPr>
              <w:overflowPunct/>
              <w:autoSpaceDE/>
              <w:autoSpaceDN/>
              <w:spacing w:after="120"/>
              <w:textAlignment w:val="auto"/>
              <w:rPr>
                <w:rFonts w:eastAsia="STZhongsong"/>
                <w:lang w:eastAsia="zh-CN"/>
              </w:rPr>
            </w:pPr>
            <w:r>
              <w:rPr>
                <w:rFonts w:eastAsia="STZhongsong"/>
                <w:lang w:eastAsia="zh-CN"/>
              </w:rPr>
              <w:t>Oliver Wyman Limited,</w:t>
            </w:r>
          </w:p>
          <w:p w14:paraId="25CF117C" w14:textId="77777777" w:rsidR="00A17ECF" w:rsidRPr="00A17ECF" w:rsidRDefault="00A17ECF" w:rsidP="00A17ECF">
            <w:pPr>
              <w:numPr>
                <w:ilvl w:val="1"/>
                <w:numId w:val="0"/>
              </w:numPr>
              <w:overflowPunct/>
              <w:autoSpaceDE/>
              <w:autoSpaceDN/>
              <w:spacing w:after="120"/>
              <w:textAlignment w:val="auto"/>
              <w:rPr>
                <w:rFonts w:eastAsia="STZhongsong"/>
                <w:lang w:eastAsia="zh-CN"/>
              </w:rPr>
            </w:pPr>
            <w:r w:rsidRPr="00A17ECF">
              <w:rPr>
                <w:rFonts w:eastAsia="STZhongsong"/>
                <w:lang w:eastAsia="zh-CN"/>
              </w:rPr>
              <w:t xml:space="preserve">1 Tower Place </w:t>
            </w:r>
          </w:p>
          <w:p w14:paraId="0208E8C9" w14:textId="77777777" w:rsidR="00A17ECF" w:rsidRPr="00A17ECF" w:rsidRDefault="00A17ECF" w:rsidP="00A17ECF">
            <w:pPr>
              <w:numPr>
                <w:ilvl w:val="1"/>
                <w:numId w:val="0"/>
              </w:numPr>
              <w:overflowPunct/>
              <w:autoSpaceDE/>
              <w:autoSpaceDN/>
              <w:spacing w:after="120"/>
              <w:textAlignment w:val="auto"/>
              <w:rPr>
                <w:rFonts w:eastAsia="STZhongsong"/>
                <w:lang w:eastAsia="zh-CN"/>
              </w:rPr>
            </w:pPr>
            <w:r w:rsidRPr="00A17ECF">
              <w:rPr>
                <w:rFonts w:eastAsia="STZhongsong"/>
                <w:lang w:eastAsia="zh-CN"/>
              </w:rPr>
              <w:t xml:space="preserve">West, Tower Place, </w:t>
            </w:r>
          </w:p>
          <w:p w14:paraId="2C526D9E" w14:textId="596B3CD0" w:rsidR="00A17ECF" w:rsidRPr="00A17ECF" w:rsidRDefault="00A17ECF" w:rsidP="00A17ECF">
            <w:pPr>
              <w:numPr>
                <w:ilvl w:val="1"/>
                <w:numId w:val="0"/>
              </w:numPr>
              <w:overflowPunct/>
              <w:autoSpaceDE/>
              <w:autoSpaceDN/>
              <w:spacing w:after="120"/>
              <w:textAlignment w:val="auto"/>
              <w:rPr>
                <w:rFonts w:eastAsia="STZhongsong"/>
                <w:lang w:eastAsia="zh-CN"/>
              </w:rPr>
            </w:pPr>
            <w:r w:rsidRPr="00A17ECF">
              <w:rPr>
                <w:rFonts w:eastAsia="STZhongsong"/>
                <w:lang w:eastAsia="zh-CN"/>
              </w:rPr>
              <w:t xml:space="preserve">London, </w:t>
            </w:r>
          </w:p>
          <w:p w14:paraId="337C74DD" w14:textId="0223A3E0" w:rsidR="00A17ECF" w:rsidRPr="00A17ECF" w:rsidRDefault="00A17ECF" w:rsidP="00A17ECF">
            <w:pPr>
              <w:numPr>
                <w:ilvl w:val="1"/>
                <w:numId w:val="0"/>
              </w:numPr>
              <w:overflowPunct/>
              <w:autoSpaceDE/>
              <w:autoSpaceDN/>
              <w:spacing w:after="120"/>
              <w:textAlignment w:val="auto"/>
              <w:rPr>
                <w:rFonts w:eastAsia="STZhongsong"/>
                <w:lang w:eastAsia="zh-CN"/>
              </w:rPr>
            </w:pPr>
            <w:r w:rsidRPr="00A17ECF">
              <w:rPr>
                <w:rFonts w:eastAsia="STZhongsong"/>
                <w:lang w:eastAsia="zh-CN"/>
              </w:rPr>
              <w:t>EC3R 5BU</w:t>
            </w:r>
          </w:p>
          <w:p w14:paraId="1518267C" w14:textId="3A55978E" w:rsidR="00810FF4" w:rsidRPr="009C53CE" w:rsidRDefault="00A17ECF" w:rsidP="00B02A10">
            <w:pPr>
              <w:numPr>
                <w:ilvl w:val="1"/>
                <w:numId w:val="0"/>
              </w:numPr>
              <w:overflowPunct/>
              <w:autoSpaceDE/>
              <w:autoSpaceDN/>
              <w:spacing w:after="120"/>
              <w:textAlignment w:val="auto"/>
              <w:rPr>
                <w:rFonts w:eastAsia="STZhongsong"/>
                <w:b/>
                <w:lang w:eastAsia="zh-CN"/>
              </w:rPr>
            </w:pPr>
            <w:r w:rsidRPr="00A17ECF">
              <w:rPr>
                <w:rFonts w:eastAsia="STZhongsong"/>
                <w:lang w:eastAsia="zh-CN"/>
              </w:rPr>
              <w:t xml:space="preserve">Email: </w:t>
            </w:r>
            <w:hyperlink r:id="rId13" w:history="1">
              <w:r w:rsidRPr="00A17ECF">
                <w:rPr>
                  <w:rStyle w:val="Hyperlink"/>
                  <w:rFonts w:eastAsia="STZhongsong"/>
                  <w:lang w:eastAsia="zh-CN"/>
                </w:rPr>
                <w:t>public.tenders@oliverwyman.com</w:t>
              </w:r>
            </w:hyperlink>
            <w:r>
              <w:rPr>
                <w:rFonts w:eastAsia="STZhongsong"/>
                <w:b/>
                <w:lang w:eastAsia="zh-CN"/>
              </w:rPr>
              <w:t xml:space="preserve"> </w:t>
            </w:r>
          </w:p>
        </w:tc>
      </w:tr>
      <w:tr w:rsidR="009C53CE" w:rsidRPr="009C53CE" w14:paraId="3580F4D1" w14:textId="77777777" w:rsidTr="00810FF4">
        <w:tc>
          <w:tcPr>
            <w:tcW w:w="767" w:type="dxa"/>
            <w:tcBorders>
              <w:top w:val="single" w:sz="4" w:space="0" w:color="auto"/>
              <w:left w:val="single" w:sz="4" w:space="0" w:color="auto"/>
              <w:bottom w:val="single" w:sz="4" w:space="0" w:color="auto"/>
              <w:right w:val="single" w:sz="4" w:space="0" w:color="auto"/>
            </w:tcBorders>
          </w:tcPr>
          <w:p w14:paraId="20746A0C"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lastRenderedPageBreak/>
              <w:t>10.10</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Transparency Reports</w:t>
            </w:r>
          </w:p>
          <w:p w14:paraId="7293960B" w14:textId="1E343348" w:rsidR="00810FF4" w:rsidRPr="009C53CE" w:rsidRDefault="00E96586" w:rsidP="00FB2B54">
            <w:pPr>
              <w:numPr>
                <w:ilvl w:val="1"/>
                <w:numId w:val="0"/>
              </w:numPr>
              <w:overflowPunct/>
              <w:autoSpaceDE/>
              <w:autoSpaceDN/>
              <w:spacing w:after="120"/>
              <w:textAlignment w:val="auto"/>
              <w:rPr>
                <w:rFonts w:eastAsia="STZhongsong"/>
                <w:lang w:eastAsia="zh-CN"/>
              </w:rPr>
            </w:pPr>
            <w:r w:rsidRPr="009C53CE">
              <w:rPr>
                <w:rFonts w:eastAsia="STZhongsong"/>
                <w:lang w:eastAsia="zh-CN"/>
              </w:rPr>
              <w:t xml:space="preserve">As set out in the table below (and </w:t>
            </w:r>
            <w:r w:rsidR="00810FF4" w:rsidRPr="009C53CE">
              <w:rPr>
                <w:rFonts w:eastAsia="STZhongsong"/>
                <w:lang w:eastAsia="zh-CN"/>
              </w:rPr>
              <w:t>Call Off Schedule 13 (Transparency Reports)</w:t>
            </w:r>
            <w:r w:rsidRPr="009C53CE">
              <w:rPr>
                <w:rFonts w:eastAsia="STZhongsong"/>
                <w:lang w:eastAsia="zh-CN"/>
              </w:rPr>
              <w:t>):</w:t>
            </w:r>
          </w:p>
          <w:p w14:paraId="568BAB22" w14:textId="53A01471" w:rsidR="00810FF4" w:rsidRPr="009C53CE" w:rsidRDefault="00810FF4" w:rsidP="00FB2B54">
            <w:pPr>
              <w:numPr>
                <w:ilvl w:val="1"/>
                <w:numId w:val="0"/>
              </w:numPr>
              <w:overflowPunct/>
              <w:autoSpaceDE/>
              <w:autoSpaceDN/>
              <w:spacing w:after="120"/>
              <w:textAlignment w:val="auto"/>
              <w:rPr>
                <w:rFonts w:eastAsia="STZhongsong"/>
                <w:lang w:eastAsia="zh-CN"/>
              </w:rPr>
            </w:pPr>
          </w:p>
          <w:tbl>
            <w:tblPr>
              <w:tblStyle w:val="TableGrid"/>
              <w:tblW w:w="8466" w:type="dxa"/>
              <w:tblLayout w:type="fixed"/>
              <w:tblLook w:val="04A0" w:firstRow="1" w:lastRow="0" w:firstColumn="1" w:lastColumn="0" w:noHBand="0" w:noVBand="1"/>
            </w:tblPr>
            <w:tblGrid>
              <w:gridCol w:w="1875"/>
              <w:gridCol w:w="3118"/>
              <w:gridCol w:w="1276"/>
              <w:gridCol w:w="2197"/>
            </w:tblGrid>
            <w:tr w:rsidR="009C53CE" w:rsidRPr="009C53CE" w14:paraId="5913A294" w14:textId="77777777" w:rsidTr="000731CD">
              <w:tc>
                <w:tcPr>
                  <w:tcW w:w="1875" w:type="dxa"/>
                </w:tcPr>
                <w:p w14:paraId="47312E30" w14:textId="77777777" w:rsidR="00E96586" w:rsidRPr="009C53CE" w:rsidRDefault="00E96586" w:rsidP="00E96586">
                  <w:pPr>
                    <w:numPr>
                      <w:ilvl w:val="1"/>
                      <w:numId w:val="0"/>
                    </w:numPr>
                    <w:overflowPunct/>
                    <w:autoSpaceDE/>
                    <w:autoSpaceDN/>
                    <w:spacing w:after="120"/>
                    <w:jc w:val="center"/>
                    <w:textAlignment w:val="auto"/>
                    <w:rPr>
                      <w:b/>
                    </w:rPr>
                  </w:pPr>
                  <w:r w:rsidRPr="009C53CE">
                    <w:rPr>
                      <w:b/>
                    </w:rPr>
                    <w:t>TITLE</w:t>
                  </w:r>
                </w:p>
              </w:tc>
              <w:tc>
                <w:tcPr>
                  <w:tcW w:w="3118" w:type="dxa"/>
                </w:tcPr>
                <w:p w14:paraId="44C5C46C" w14:textId="77777777" w:rsidR="00E96586" w:rsidRPr="009C53CE" w:rsidRDefault="00E96586" w:rsidP="00E96586">
                  <w:pPr>
                    <w:numPr>
                      <w:ilvl w:val="1"/>
                      <w:numId w:val="0"/>
                    </w:numPr>
                    <w:overflowPunct/>
                    <w:autoSpaceDE/>
                    <w:autoSpaceDN/>
                    <w:spacing w:after="120"/>
                    <w:jc w:val="center"/>
                    <w:textAlignment w:val="auto"/>
                    <w:rPr>
                      <w:b/>
                    </w:rPr>
                  </w:pPr>
                  <w:r w:rsidRPr="009C53CE">
                    <w:rPr>
                      <w:b/>
                    </w:rPr>
                    <w:t>CONTENT</w:t>
                  </w:r>
                </w:p>
              </w:tc>
              <w:tc>
                <w:tcPr>
                  <w:tcW w:w="1276" w:type="dxa"/>
                </w:tcPr>
                <w:p w14:paraId="720D4D08" w14:textId="77777777" w:rsidR="00E96586" w:rsidRPr="009C53CE" w:rsidRDefault="00E96586" w:rsidP="00E96586">
                  <w:pPr>
                    <w:numPr>
                      <w:ilvl w:val="1"/>
                      <w:numId w:val="0"/>
                    </w:numPr>
                    <w:overflowPunct/>
                    <w:autoSpaceDE/>
                    <w:autoSpaceDN/>
                    <w:spacing w:after="120"/>
                    <w:jc w:val="center"/>
                    <w:textAlignment w:val="auto"/>
                    <w:rPr>
                      <w:b/>
                    </w:rPr>
                  </w:pPr>
                  <w:r w:rsidRPr="009C53CE">
                    <w:rPr>
                      <w:b/>
                    </w:rPr>
                    <w:t>FORMAT</w:t>
                  </w:r>
                </w:p>
              </w:tc>
              <w:tc>
                <w:tcPr>
                  <w:tcW w:w="2197" w:type="dxa"/>
                </w:tcPr>
                <w:p w14:paraId="03511808" w14:textId="77777777" w:rsidR="00E96586" w:rsidRPr="009C53CE" w:rsidRDefault="00E96586" w:rsidP="00E96586">
                  <w:pPr>
                    <w:numPr>
                      <w:ilvl w:val="1"/>
                      <w:numId w:val="0"/>
                    </w:numPr>
                    <w:overflowPunct/>
                    <w:autoSpaceDE/>
                    <w:autoSpaceDN/>
                    <w:spacing w:after="120"/>
                    <w:jc w:val="center"/>
                    <w:textAlignment w:val="auto"/>
                    <w:rPr>
                      <w:b/>
                    </w:rPr>
                  </w:pPr>
                  <w:r w:rsidRPr="009C53CE">
                    <w:rPr>
                      <w:b/>
                    </w:rPr>
                    <w:t>FREQUENCY</w:t>
                  </w:r>
                </w:p>
              </w:tc>
            </w:tr>
            <w:tr w:rsidR="009C53CE" w:rsidRPr="009C53CE" w14:paraId="62EE1376" w14:textId="77777777" w:rsidTr="000731CD">
              <w:tc>
                <w:tcPr>
                  <w:tcW w:w="1875" w:type="dxa"/>
                </w:tcPr>
                <w:p w14:paraId="6150E008" w14:textId="77777777" w:rsidR="00E96586" w:rsidRPr="009C53CE" w:rsidDel="00CA72CB" w:rsidRDefault="00E96586" w:rsidP="00E96586">
                  <w:pPr>
                    <w:numPr>
                      <w:ilvl w:val="1"/>
                      <w:numId w:val="0"/>
                    </w:numPr>
                    <w:overflowPunct/>
                    <w:autoSpaceDE/>
                    <w:autoSpaceDN/>
                    <w:spacing w:after="120"/>
                    <w:jc w:val="left"/>
                    <w:textAlignment w:val="auto"/>
                  </w:pPr>
                  <w:r w:rsidRPr="009C53CE">
                    <w:rPr>
                      <w:iCs/>
                    </w:rPr>
                    <w:t>Project Progress &amp; Deliverables Report</w:t>
                  </w:r>
                </w:p>
              </w:tc>
              <w:tc>
                <w:tcPr>
                  <w:tcW w:w="3118" w:type="dxa"/>
                </w:tcPr>
                <w:p w14:paraId="76AF82B2" w14:textId="77777777" w:rsidR="00E96586" w:rsidRPr="009C53CE" w:rsidRDefault="00E96586" w:rsidP="00E96586">
                  <w:pPr>
                    <w:pStyle w:val="ListParagraph"/>
                    <w:numPr>
                      <w:ilvl w:val="0"/>
                      <w:numId w:val="102"/>
                    </w:numPr>
                    <w:overflowPunct/>
                    <w:autoSpaceDE/>
                    <w:autoSpaceDN/>
                    <w:spacing w:after="120"/>
                    <w:jc w:val="left"/>
                    <w:textAlignment w:val="auto"/>
                    <w:rPr>
                      <w:iCs/>
                    </w:rPr>
                  </w:pPr>
                  <w:r w:rsidRPr="009C53CE">
                    <w:rPr>
                      <w:iCs/>
                    </w:rPr>
                    <w:t>A summary of resource utilised: activities completed and cost assigned in the week completed;</w:t>
                  </w:r>
                </w:p>
                <w:p w14:paraId="4635E72B" w14:textId="77777777" w:rsidR="00E96586" w:rsidRPr="009C53CE" w:rsidRDefault="00E96586" w:rsidP="00E96586">
                  <w:pPr>
                    <w:pStyle w:val="ListParagraph"/>
                    <w:numPr>
                      <w:ilvl w:val="0"/>
                      <w:numId w:val="102"/>
                    </w:numPr>
                    <w:overflowPunct/>
                    <w:autoSpaceDE/>
                    <w:autoSpaceDN/>
                    <w:spacing w:after="120"/>
                    <w:jc w:val="left"/>
                    <w:textAlignment w:val="auto"/>
                    <w:rPr>
                      <w:iCs/>
                    </w:rPr>
                  </w:pPr>
                  <w:r w:rsidRPr="009C53CE">
                    <w:rPr>
                      <w:iCs/>
                    </w:rPr>
                    <w:t xml:space="preserve">A rolling two (2) week forecast of resource required </w:t>
                  </w:r>
                </w:p>
                <w:p w14:paraId="1CF223E1" w14:textId="77777777" w:rsidR="00E96586" w:rsidRPr="009C53CE" w:rsidRDefault="00E96586" w:rsidP="00E96586">
                  <w:pPr>
                    <w:pStyle w:val="ListParagraph"/>
                    <w:numPr>
                      <w:ilvl w:val="0"/>
                      <w:numId w:val="102"/>
                    </w:numPr>
                    <w:overflowPunct/>
                    <w:autoSpaceDE/>
                    <w:autoSpaceDN/>
                    <w:spacing w:after="120"/>
                    <w:jc w:val="left"/>
                    <w:textAlignment w:val="auto"/>
                    <w:rPr>
                      <w:iCs/>
                    </w:rPr>
                  </w:pPr>
                  <w:r w:rsidRPr="009C53CE">
                    <w:rPr>
                      <w:iCs/>
                    </w:rPr>
                    <w:t>Overview of all open and closed actions</w:t>
                  </w:r>
                </w:p>
                <w:p w14:paraId="10573E9D" w14:textId="77777777" w:rsidR="00E96586" w:rsidRPr="009C53CE" w:rsidRDefault="00E96586" w:rsidP="00E96586">
                  <w:pPr>
                    <w:pStyle w:val="ListParagraph"/>
                    <w:numPr>
                      <w:ilvl w:val="0"/>
                      <w:numId w:val="102"/>
                    </w:numPr>
                    <w:overflowPunct/>
                    <w:autoSpaceDE/>
                    <w:autoSpaceDN/>
                    <w:spacing w:after="120"/>
                    <w:jc w:val="left"/>
                    <w:textAlignment w:val="auto"/>
                    <w:rPr>
                      <w:iCs/>
                    </w:rPr>
                  </w:pPr>
                  <w:r w:rsidRPr="009C53CE">
                    <w:rPr>
                      <w:iCs/>
                    </w:rPr>
                    <w:t>Overview of open and closed risks and issues</w:t>
                  </w:r>
                </w:p>
                <w:p w14:paraId="7E09D8A2" w14:textId="77777777" w:rsidR="00E96586" w:rsidRPr="009C53CE" w:rsidRDefault="00E96586" w:rsidP="00E96586">
                  <w:pPr>
                    <w:pStyle w:val="ListParagraph"/>
                    <w:numPr>
                      <w:ilvl w:val="0"/>
                      <w:numId w:val="102"/>
                    </w:numPr>
                    <w:overflowPunct/>
                    <w:autoSpaceDE/>
                    <w:autoSpaceDN/>
                    <w:spacing w:after="120"/>
                    <w:jc w:val="left"/>
                    <w:textAlignment w:val="auto"/>
                    <w:rPr>
                      <w:iCs/>
                    </w:rPr>
                  </w:pPr>
                  <w:r w:rsidRPr="009C53CE">
                    <w:rPr>
                      <w:iCs/>
                    </w:rPr>
                    <w:t>Deliverables provided and Milestones completed/achieved in the relevant week</w:t>
                  </w:r>
                </w:p>
                <w:p w14:paraId="5AC8C99E" w14:textId="77777777" w:rsidR="00E96586" w:rsidRPr="009C53CE" w:rsidDel="00CA72CB" w:rsidRDefault="00E96586" w:rsidP="00E96586">
                  <w:pPr>
                    <w:pStyle w:val="ListParagraph"/>
                    <w:numPr>
                      <w:ilvl w:val="0"/>
                      <w:numId w:val="102"/>
                    </w:numPr>
                    <w:overflowPunct/>
                    <w:autoSpaceDE/>
                    <w:autoSpaceDN/>
                    <w:spacing w:after="120"/>
                    <w:jc w:val="left"/>
                    <w:textAlignment w:val="auto"/>
                  </w:pPr>
                  <w:r w:rsidRPr="009C53CE">
                    <w:rPr>
                      <w:iCs/>
                    </w:rPr>
                    <w:t>Anticipated delays to delivery of Milestones and Deliverables</w:t>
                  </w:r>
                </w:p>
              </w:tc>
              <w:tc>
                <w:tcPr>
                  <w:tcW w:w="1276" w:type="dxa"/>
                </w:tcPr>
                <w:p w14:paraId="63EB9B85" w14:textId="13353B37" w:rsidR="00E96586" w:rsidRPr="009C53CE" w:rsidDel="00CA72CB" w:rsidRDefault="00E96586" w:rsidP="00E96586">
                  <w:pPr>
                    <w:ind w:left="0"/>
                    <w:jc w:val="center"/>
                    <w:rPr>
                      <w:iCs/>
                    </w:rPr>
                  </w:pPr>
                  <w:r w:rsidRPr="00FE2334">
                    <w:rPr>
                      <w:iCs/>
                    </w:rPr>
                    <w:t>Excel or Word</w:t>
                  </w:r>
                </w:p>
              </w:tc>
              <w:tc>
                <w:tcPr>
                  <w:tcW w:w="2197" w:type="dxa"/>
                </w:tcPr>
                <w:p w14:paraId="60BA3773" w14:textId="77777777" w:rsidR="00E96586" w:rsidRPr="009C53CE" w:rsidDel="00CA72CB" w:rsidRDefault="00E96586" w:rsidP="00E96586">
                  <w:pPr>
                    <w:ind w:left="0"/>
                    <w:jc w:val="center"/>
                    <w:rPr>
                      <w:iCs/>
                    </w:rPr>
                  </w:pPr>
                  <w:r w:rsidRPr="009C53CE">
                    <w:rPr>
                      <w:iCs/>
                    </w:rPr>
                    <w:t>Weekly</w:t>
                  </w:r>
                </w:p>
              </w:tc>
            </w:tr>
            <w:tr w:rsidR="009C53CE" w:rsidRPr="009C53CE" w14:paraId="70874DB8" w14:textId="77777777" w:rsidTr="000731CD">
              <w:tc>
                <w:tcPr>
                  <w:tcW w:w="1875" w:type="dxa"/>
                </w:tcPr>
                <w:p w14:paraId="626D8A27" w14:textId="77777777" w:rsidR="00E96586" w:rsidRPr="009C53CE" w:rsidDel="00CA72CB" w:rsidRDefault="00E96586" w:rsidP="00E96586">
                  <w:pPr>
                    <w:numPr>
                      <w:ilvl w:val="1"/>
                      <w:numId w:val="0"/>
                    </w:numPr>
                    <w:overflowPunct/>
                    <w:autoSpaceDE/>
                    <w:autoSpaceDN/>
                    <w:spacing w:after="120"/>
                    <w:jc w:val="left"/>
                    <w:textAlignment w:val="auto"/>
                  </w:pPr>
                  <w:r w:rsidRPr="009C53CE">
                    <w:rPr>
                      <w:iCs/>
                    </w:rPr>
                    <w:t xml:space="preserve">KPI </w:t>
                  </w:r>
                  <w:r w:rsidRPr="009C53CE">
                    <w:t>Performance</w:t>
                  </w:r>
                  <w:r w:rsidRPr="009C53CE">
                    <w:rPr>
                      <w:iCs/>
                    </w:rPr>
                    <w:t xml:space="preserve"> Report</w:t>
                  </w:r>
                </w:p>
              </w:tc>
              <w:tc>
                <w:tcPr>
                  <w:tcW w:w="3118" w:type="dxa"/>
                </w:tcPr>
                <w:p w14:paraId="1F59F6C7" w14:textId="05E487E5" w:rsidR="00E96586" w:rsidRPr="009C53CE" w:rsidDel="00CA72CB" w:rsidRDefault="00E96586" w:rsidP="00E96586">
                  <w:pPr>
                    <w:pStyle w:val="ListParagraph"/>
                    <w:numPr>
                      <w:ilvl w:val="0"/>
                      <w:numId w:val="99"/>
                    </w:numPr>
                    <w:overflowPunct/>
                    <w:autoSpaceDE/>
                    <w:autoSpaceDN/>
                    <w:spacing w:after="120"/>
                    <w:ind w:left="331" w:hanging="331"/>
                    <w:textAlignment w:val="auto"/>
                    <w:rPr>
                      <w:iCs/>
                    </w:rPr>
                  </w:pPr>
                  <w:r w:rsidRPr="009C53CE">
                    <w:rPr>
                      <w:iCs/>
                    </w:rPr>
                    <w:t>Outlining the Supplier’s performance against the key performance indicators referred to in section 2.1</w:t>
                  </w:r>
                  <w:r w:rsidR="00E64C7C" w:rsidRPr="009C53CE">
                    <w:rPr>
                      <w:iCs/>
                    </w:rPr>
                    <w:t xml:space="preserve"> above</w:t>
                  </w:r>
                </w:p>
              </w:tc>
              <w:tc>
                <w:tcPr>
                  <w:tcW w:w="1276" w:type="dxa"/>
                </w:tcPr>
                <w:p w14:paraId="595CE664" w14:textId="77777777" w:rsidR="00E96586" w:rsidRPr="009C53CE" w:rsidDel="00CA72CB" w:rsidRDefault="00E96586" w:rsidP="00E96586">
                  <w:pPr>
                    <w:ind w:left="0"/>
                    <w:jc w:val="center"/>
                    <w:rPr>
                      <w:iCs/>
                    </w:rPr>
                  </w:pPr>
                </w:p>
              </w:tc>
              <w:tc>
                <w:tcPr>
                  <w:tcW w:w="2197" w:type="dxa"/>
                </w:tcPr>
                <w:p w14:paraId="5BFF69B6" w14:textId="2E26A8F0" w:rsidR="00E96586" w:rsidRPr="00FE2334" w:rsidDel="00CA72CB" w:rsidRDefault="00FE2334" w:rsidP="00E96586">
                  <w:pPr>
                    <w:ind w:left="0"/>
                    <w:jc w:val="center"/>
                    <w:rPr>
                      <w:iCs/>
                    </w:rPr>
                  </w:pPr>
                  <w:r w:rsidRPr="00FE2334">
                    <w:t>Frequency will be agreed by parties post award</w:t>
                  </w:r>
                </w:p>
              </w:tc>
            </w:tr>
          </w:tbl>
          <w:p w14:paraId="1BBA6BFC" w14:textId="5039DACC" w:rsidR="00E96586" w:rsidRPr="009C53CE" w:rsidRDefault="00E96586" w:rsidP="00FB2B54">
            <w:pPr>
              <w:numPr>
                <w:ilvl w:val="1"/>
                <w:numId w:val="0"/>
              </w:numPr>
              <w:overflowPunct/>
              <w:autoSpaceDE/>
              <w:autoSpaceDN/>
              <w:spacing w:after="120"/>
              <w:textAlignment w:val="auto"/>
              <w:rPr>
                <w:rFonts w:eastAsia="STZhongsong"/>
                <w:lang w:eastAsia="zh-CN"/>
              </w:rPr>
            </w:pPr>
          </w:p>
        </w:tc>
      </w:tr>
      <w:tr w:rsidR="009C53CE" w:rsidRPr="009C53CE" w14:paraId="30A66646" w14:textId="77777777" w:rsidTr="00810FF4">
        <w:tc>
          <w:tcPr>
            <w:tcW w:w="767" w:type="dxa"/>
            <w:tcBorders>
              <w:top w:val="single" w:sz="4" w:space="0" w:color="auto"/>
              <w:left w:val="single" w:sz="4" w:space="0" w:color="auto"/>
              <w:bottom w:val="single" w:sz="4" w:space="0" w:color="auto"/>
              <w:right w:val="single" w:sz="4" w:space="0" w:color="auto"/>
            </w:tcBorders>
          </w:tcPr>
          <w:p w14:paraId="703563A4"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10.11</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810FF4" w:rsidRPr="009C53CE" w:rsidRDefault="00810FF4" w:rsidP="00BB4A0B">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Alternative and/or Additional Clauses from Call Off Schedule 14 and if required, any Customer alternative pricing mechanism:</w:t>
            </w:r>
          </w:p>
          <w:p w14:paraId="6B7CD9A5" w14:textId="0EA4C388" w:rsidR="00810FF4" w:rsidRPr="009C53CE" w:rsidRDefault="00810FF4">
            <w:pPr>
              <w:numPr>
                <w:ilvl w:val="1"/>
                <w:numId w:val="0"/>
              </w:numPr>
              <w:overflowPunct/>
              <w:autoSpaceDE/>
              <w:autoSpaceDN/>
              <w:spacing w:after="120"/>
              <w:jc w:val="left"/>
              <w:textAlignment w:val="auto"/>
              <w:rPr>
                <w:rFonts w:eastAsia="STZhongsong"/>
                <w:bCs/>
                <w:lang w:eastAsia="zh-CN"/>
              </w:rPr>
            </w:pPr>
            <w:r w:rsidRPr="00FE2334">
              <w:rPr>
                <w:rFonts w:eastAsia="STZhongsong"/>
                <w:bCs/>
                <w:lang w:eastAsia="zh-CN"/>
              </w:rPr>
              <w:lastRenderedPageBreak/>
              <w:t>Not applicable</w:t>
            </w:r>
          </w:p>
        </w:tc>
      </w:tr>
      <w:tr w:rsidR="009C53CE" w:rsidRPr="009C53CE" w14:paraId="1A1C7C47" w14:textId="77777777" w:rsidTr="00810FF4">
        <w:tc>
          <w:tcPr>
            <w:tcW w:w="767" w:type="dxa"/>
            <w:tcBorders>
              <w:top w:val="single" w:sz="4" w:space="0" w:color="auto"/>
              <w:left w:val="single" w:sz="4" w:space="0" w:color="auto"/>
              <w:bottom w:val="single" w:sz="4" w:space="0" w:color="auto"/>
              <w:right w:val="single" w:sz="4" w:space="0" w:color="auto"/>
            </w:tcBorders>
          </w:tcPr>
          <w:p w14:paraId="7AAE6378"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lastRenderedPageBreak/>
              <w:t>10.12</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810FF4" w:rsidRPr="009C53CE" w:rsidRDefault="00810FF4">
            <w:pPr>
              <w:numPr>
                <w:ilvl w:val="1"/>
                <w:numId w:val="0"/>
              </w:numPr>
              <w:overflowPunct/>
              <w:autoSpaceDE/>
              <w:autoSpaceDN/>
              <w:spacing w:after="120"/>
              <w:jc w:val="left"/>
              <w:textAlignment w:val="auto"/>
              <w:rPr>
                <w:rFonts w:eastAsia="STZhongsong"/>
                <w:lang w:eastAsia="zh-CN"/>
              </w:rPr>
            </w:pPr>
            <w:r w:rsidRPr="009C53CE">
              <w:rPr>
                <w:rFonts w:eastAsia="STZhongsong"/>
                <w:b/>
                <w:lang w:eastAsia="zh-CN"/>
              </w:rPr>
              <w:t>Call Off Tender</w:t>
            </w:r>
            <w:r w:rsidRPr="009C53CE">
              <w:rPr>
                <w:rFonts w:eastAsia="STZhongsong"/>
                <w:lang w:eastAsia="zh-CN"/>
              </w:rPr>
              <w:t>:</w:t>
            </w:r>
          </w:p>
          <w:p w14:paraId="7A6713D2" w14:textId="00083324" w:rsidR="00810FF4" w:rsidRPr="009C53CE" w:rsidRDefault="005F171A">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The Supplier will use best </w:t>
            </w:r>
            <w:proofErr w:type="spellStart"/>
            <w:r>
              <w:rPr>
                <w:rFonts w:eastAsia="STZhongsong"/>
                <w:lang w:eastAsia="zh-CN"/>
              </w:rPr>
              <w:t>endevours</w:t>
            </w:r>
            <w:proofErr w:type="spellEnd"/>
            <w:r>
              <w:rPr>
                <w:rFonts w:eastAsia="STZhongsong"/>
                <w:lang w:eastAsia="zh-CN"/>
              </w:rPr>
              <w:t xml:space="preserve"> to ensure that this contractual requirement is carried out to the best of their abilities.</w:t>
            </w:r>
          </w:p>
          <w:p w14:paraId="5F7058D2"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p>
        </w:tc>
      </w:tr>
      <w:tr w:rsidR="009C53CE" w:rsidRPr="009C53CE" w14:paraId="72D6CB9F"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10.13</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810FF4" w:rsidRPr="009C53CE" w:rsidRDefault="00810FF4" w:rsidP="00BB4A0B">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Publicity and Branding (Clause 36.3.2 of the Call Off Terms)</w:t>
            </w:r>
          </w:p>
          <w:p w14:paraId="626A247F" w14:textId="10C0D597" w:rsidR="00810FF4" w:rsidRPr="009C53CE" w:rsidRDefault="00982D63">
            <w:pPr>
              <w:numPr>
                <w:ilvl w:val="1"/>
                <w:numId w:val="0"/>
              </w:numPr>
              <w:overflowPunct/>
              <w:autoSpaceDE/>
              <w:autoSpaceDN/>
              <w:spacing w:after="120"/>
              <w:jc w:val="left"/>
              <w:textAlignment w:val="auto"/>
              <w:rPr>
                <w:rFonts w:eastAsia="STZhongsong"/>
                <w:b/>
                <w:lang w:eastAsia="zh-CN"/>
              </w:rPr>
            </w:pPr>
            <w:r w:rsidRPr="009C53CE">
              <w:rPr>
                <w:rFonts w:eastAsia="STZhongsong"/>
                <w:bCs/>
                <w:lang w:eastAsia="zh-CN"/>
              </w:rPr>
              <w:t>Not applicable</w:t>
            </w:r>
          </w:p>
        </w:tc>
      </w:tr>
      <w:tr w:rsidR="009C53CE" w:rsidRPr="009C53CE" w14:paraId="3C819062"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10.14</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Staff Transfer</w:t>
            </w:r>
          </w:p>
          <w:p w14:paraId="02730CC4" w14:textId="77777777" w:rsidR="00810FF4" w:rsidRPr="009C53CE" w:rsidRDefault="00810FF4" w:rsidP="00BB4A0B">
            <w:pPr>
              <w:numPr>
                <w:ilvl w:val="1"/>
                <w:numId w:val="0"/>
              </w:numPr>
              <w:overflowPunct/>
              <w:autoSpaceDE/>
              <w:autoSpaceDN/>
              <w:spacing w:after="120"/>
              <w:textAlignment w:val="auto"/>
              <w:rPr>
                <w:rFonts w:eastAsia="STZhongsong"/>
                <w:lang w:eastAsia="zh-CN"/>
              </w:rPr>
            </w:pPr>
            <w:r w:rsidRPr="009C53CE">
              <w:rPr>
                <w:rFonts w:eastAsia="STZhongsong"/>
                <w:lang w:eastAsia="zh-CN"/>
              </w:rPr>
              <w:t>Annex to Schedule 10, List of Notified Sub-Contractors (Call Off Tender).</w:t>
            </w:r>
          </w:p>
          <w:p w14:paraId="0999AE1B" w14:textId="2C7C704F" w:rsidR="00810FF4" w:rsidRPr="009C53CE" w:rsidRDefault="00810FF4" w:rsidP="00BB4A0B">
            <w:pPr>
              <w:numPr>
                <w:ilvl w:val="1"/>
                <w:numId w:val="0"/>
              </w:numPr>
              <w:overflowPunct/>
              <w:autoSpaceDE/>
              <w:autoSpaceDN/>
              <w:spacing w:after="120"/>
              <w:textAlignment w:val="auto"/>
              <w:rPr>
                <w:rFonts w:eastAsia="STZhongsong"/>
                <w:lang w:eastAsia="zh-CN"/>
              </w:rPr>
            </w:pPr>
          </w:p>
        </w:tc>
      </w:tr>
      <w:tr w:rsidR="009C53CE" w:rsidRPr="009C53CE" w14:paraId="18937FE2"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810FF4" w:rsidRPr="009C53CE" w:rsidRDefault="00810FF4">
            <w:pPr>
              <w:numPr>
                <w:ilvl w:val="1"/>
                <w:numId w:val="0"/>
              </w:numPr>
              <w:overflowPunct/>
              <w:autoSpaceDE/>
              <w:autoSpaceDN/>
              <w:spacing w:after="120"/>
              <w:jc w:val="left"/>
              <w:textAlignment w:val="auto"/>
              <w:rPr>
                <w:rFonts w:eastAsia="STZhongsong"/>
                <w:b/>
                <w:lang w:eastAsia="zh-CN"/>
              </w:rPr>
            </w:pPr>
            <w:bookmarkStart w:id="4" w:name="_Hlk51588303"/>
            <w:r w:rsidRPr="009C53CE">
              <w:rPr>
                <w:rFonts w:eastAsia="STZhongsong"/>
                <w:b/>
                <w:lang w:eastAsia="zh-CN"/>
              </w:rPr>
              <w:t>10.15</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Processing Data</w:t>
            </w:r>
          </w:p>
          <w:p w14:paraId="5D85D15C" w14:textId="77777777" w:rsidR="00810FF4" w:rsidRPr="009C53CE" w:rsidRDefault="00810FF4">
            <w:pPr>
              <w:numPr>
                <w:ilvl w:val="1"/>
                <w:numId w:val="0"/>
              </w:numPr>
              <w:overflowPunct/>
              <w:autoSpaceDE/>
              <w:autoSpaceDN/>
              <w:spacing w:after="120"/>
              <w:jc w:val="left"/>
              <w:textAlignment w:val="auto"/>
              <w:rPr>
                <w:rFonts w:eastAsia="STZhongsong"/>
                <w:lang w:eastAsia="zh-CN"/>
              </w:rPr>
            </w:pPr>
            <w:r w:rsidRPr="009C53CE">
              <w:rPr>
                <w:rFonts w:eastAsia="STZhongsong"/>
                <w:lang w:eastAsia="zh-CN"/>
              </w:rPr>
              <w:t>Call Off Schedule 17</w:t>
            </w:r>
          </w:p>
          <w:p w14:paraId="116B1679" w14:textId="77777777" w:rsidR="00810FF4" w:rsidRPr="009C53CE" w:rsidRDefault="00810FF4">
            <w:pPr>
              <w:numPr>
                <w:ilvl w:val="1"/>
                <w:numId w:val="0"/>
              </w:numPr>
              <w:overflowPunct/>
              <w:autoSpaceDE/>
              <w:autoSpaceDN/>
              <w:spacing w:after="120"/>
              <w:jc w:val="left"/>
              <w:textAlignment w:val="auto"/>
              <w:rPr>
                <w:rFonts w:eastAsia="STZhongsong"/>
                <w:lang w:eastAsia="zh-CN"/>
              </w:rPr>
            </w:pPr>
          </w:p>
          <w:p w14:paraId="3E3F8396" w14:textId="5209B1D9" w:rsidR="00810FF4" w:rsidRPr="009C53CE" w:rsidRDefault="00810FF4">
            <w:pPr>
              <w:numPr>
                <w:ilvl w:val="1"/>
                <w:numId w:val="0"/>
              </w:numPr>
              <w:overflowPunct/>
              <w:autoSpaceDE/>
              <w:autoSpaceDN/>
              <w:spacing w:after="120"/>
              <w:jc w:val="left"/>
              <w:textAlignment w:val="auto"/>
              <w:rPr>
                <w:rFonts w:eastAsia="STZhongsong"/>
                <w:lang w:eastAsia="zh-CN"/>
              </w:rPr>
            </w:pPr>
            <w:r w:rsidRPr="009C53CE">
              <w:rPr>
                <w:rFonts w:eastAsia="STZhongsong"/>
                <w:lang w:eastAsia="zh-CN"/>
              </w:rPr>
              <w:t xml:space="preserve">Name: </w:t>
            </w:r>
            <w:r w:rsidR="00AF1535">
              <w:rPr>
                <w:rFonts w:eastAsia="STZhongsong"/>
                <w:lang w:eastAsia="zh-CN"/>
              </w:rPr>
              <w:t>Redacted</w:t>
            </w:r>
          </w:p>
          <w:p w14:paraId="5CBFCC90" w14:textId="63F12474" w:rsidR="00810FF4" w:rsidRPr="009C53CE" w:rsidRDefault="00810FF4" w:rsidP="00F641B6">
            <w:pPr>
              <w:numPr>
                <w:ilvl w:val="1"/>
                <w:numId w:val="0"/>
              </w:numPr>
              <w:overflowPunct/>
              <w:autoSpaceDE/>
              <w:autoSpaceDN/>
              <w:spacing w:after="120"/>
              <w:jc w:val="left"/>
              <w:textAlignment w:val="auto"/>
            </w:pPr>
            <w:r w:rsidRPr="009C53CE">
              <w:rPr>
                <w:rFonts w:eastAsia="STZhongsong"/>
                <w:lang w:eastAsia="zh-CN"/>
              </w:rPr>
              <w:t xml:space="preserve">Email: </w:t>
            </w:r>
            <w:r w:rsidR="00AF1535">
              <w:t>Redacted</w:t>
            </w:r>
            <w:r w:rsidRPr="009C53CE">
              <w:t xml:space="preserve"> </w:t>
            </w:r>
          </w:p>
          <w:p w14:paraId="60B6E8DE" w14:textId="77777777" w:rsidR="00810FF4" w:rsidRPr="009C53CE" w:rsidRDefault="00810FF4">
            <w:pPr>
              <w:numPr>
                <w:ilvl w:val="1"/>
                <w:numId w:val="0"/>
              </w:numPr>
              <w:overflowPunct/>
              <w:autoSpaceDE/>
              <w:autoSpaceDN/>
              <w:spacing w:after="120"/>
              <w:jc w:val="left"/>
              <w:textAlignment w:val="auto"/>
              <w:rPr>
                <w:rFonts w:eastAsia="STZhongsong"/>
                <w:lang w:eastAsia="zh-CN"/>
              </w:rPr>
            </w:pPr>
          </w:p>
          <w:p w14:paraId="68544DC6" w14:textId="63AC31C7" w:rsidR="00810FF4" w:rsidRPr="009C53CE" w:rsidRDefault="00810FF4">
            <w:pPr>
              <w:numPr>
                <w:ilvl w:val="1"/>
                <w:numId w:val="0"/>
              </w:numPr>
              <w:overflowPunct/>
              <w:autoSpaceDE/>
              <w:autoSpaceDN/>
              <w:spacing w:after="120"/>
              <w:jc w:val="left"/>
              <w:textAlignment w:val="auto"/>
              <w:rPr>
                <w:rFonts w:eastAsia="STZhongsong"/>
                <w:lang w:eastAsia="zh-CN"/>
              </w:rPr>
            </w:pPr>
            <w:r w:rsidRPr="009C53CE">
              <w:rPr>
                <w:rFonts w:eastAsia="STZhongsong"/>
                <w:lang w:eastAsia="zh-CN"/>
              </w:rPr>
              <w:t xml:space="preserve">Name: </w:t>
            </w:r>
            <w:r w:rsidR="00FE2334" w:rsidRPr="00FE2334">
              <w:rPr>
                <w:rFonts w:eastAsia="STZhongsong"/>
                <w:lang w:eastAsia="zh-CN"/>
              </w:rPr>
              <w:t xml:space="preserve">To be provided by the Supplier </w:t>
            </w:r>
          </w:p>
          <w:p w14:paraId="01FCB531" w14:textId="438508CD" w:rsidR="00810FF4" w:rsidRPr="009C53CE" w:rsidRDefault="00810FF4">
            <w:pPr>
              <w:numPr>
                <w:ilvl w:val="1"/>
                <w:numId w:val="0"/>
              </w:numPr>
              <w:overflowPunct/>
              <w:autoSpaceDE/>
              <w:autoSpaceDN/>
              <w:spacing w:after="120"/>
              <w:jc w:val="left"/>
              <w:textAlignment w:val="auto"/>
              <w:rPr>
                <w:rFonts w:eastAsia="STZhongsong"/>
                <w:lang w:eastAsia="zh-CN"/>
              </w:rPr>
            </w:pPr>
            <w:r w:rsidRPr="009C53CE">
              <w:rPr>
                <w:rFonts w:eastAsia="STZhongsong"/>
                <w:lang w:eastAsia="zh-CN"/>
              </w:rPr>
              <w:t xml:space="preserve">Email: </w:t>
            </w:r>
            <w:r w:rsidR="00FE2334" w:rsidRPr="00FE2334">
              <w:rPr>
                <w:rFonts w:eastAsia="STZhongsong"/>
                <w:lang w:eastAsia="zh-CN"/>
              </w:rPr>
              <w:t xml:space="preserve">To be provided by the Supplier </w:t>
            </w:r>
          </w:p>
        </w:tc>
      </w:tr>
      <w:tr w:rsidR="009C53CE" w:rsidRPr="009C53CE" w14:paraId="525C7B7D" w14:textId="77777777" w:rsidTr="002B2D19">
        <w:tc>
          <w:tcPr>
            <w:tcW w:w="97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TableGrid"/>
              <w:tblW w:w="7751" w:type="dxa"/>
              <w:tblInd w:w="27" w:type="dxa"/>
              <w:tblLayout w:type="fixed"/>
              <w:tblLook w:val="04A0" w:firstRow="1" w:lastRow="0" w:firstColumn="1" w:lastColumn="0" w:noHBand="0" w:noVBand="1"/>
            </w:tblPr>
            <w:tblGrid>
              <w:gridCol w:w="4393"/>
              <w:gridCol w:w="3358"/>
            </w:tblGrid>
            <w:tr w:rsidR="00FE2334" w:rsidRPr="00800E3C" w14:paraId="4EA37EAD" w14:textId="77777777" w:rsidTr="00A55A36">
              <w:tc>
                <w:tcPr>
                  <w:tcW w:w="4393" w:type="dxa"/>
                  <w:vAlign w:val="center"/>
                </w:tcPr>
                <w:p w14:paraId="6443A8F2" w14:textId="77777777" w:rsidR="00FE2334" w:rsidRPr="00800E3C" w:rsidRDefault="00FE2334" w:rsidP="00FE2334">
                  <w:pPr>
                    <w:numPr>
                      <w:ilvl w:val="1"/>
                      <w:numId w:val="0"/>
                    </w:numPr>
                    <w:spacing w:after="120"/>
                    <w:ind w:right="407"/>
                    <w:rPr>
                      <w:i/>
                    </w:rPr>
                  </w:pPr>
                  <w:r w:rsidRPr="00800E3C">
                    <w:rPr>
                      <w:rFonts w:eastAsia="Calibri"/>
                      <w:b/>
                      <w:lang w:val="en-US"/>
                    </w:rPr>
                    <w:t>Contract Reference:</w:t>
                  </w:r>
                </w:p>
              </w:tc>
              <w:tc>
                <w:tcPr>
                  <w:tcW w:w="3358" w:type="dxa"/>
                  <w:vAlign w:val="center"/>
                </w:tcPr>
                <w:p w14:paraId="12B541A1" w14:textId="2C854560" w:rsidR="00FE2334" w:rsidRPr="00FE2334" w:rsidRDefault="00FE2334" w:rsidP="00FE2334">
                  <w:pPr>
                    <w:numPr>
                      <w:ilvl w:val="1"/>
                      <w:numId w:val="0"/>
                    </w:numPr>
                    <w:spacing w:after="120"/>
                    <w:ind w:right="407"/>
                  </w:pPr>
                  <w:r w:rsidRPr="00FE2334">
                    <w:t>CCCC21A4</w:t>
                  </w:r>
                  <w:r w:rsidR="00A17ECF">
                    <w:t>7</w:t>
                  </w:r>
                </w:p>
              </w:tc>
            </w:tr>
            <w:tr w:rsidR="00FE2334" w:rsidRPr="00800E3C" w14:paraId="1AC1BD89" w14:textId="77777777" w:rsidTr="00A55A36">
              <w:tc>
                <w:tcPr>
                  <w:tcW w:w="4393" w:type="dxa"/>
                  <w:vAlign w:val="center"/>
                </w:tcPr>
                <w:p w14:paraId="713F8DBC" w14:textId="77777777" w:rsidR="00FE2334" w:rsidRPr="00800E3C" w:rsidRDefault="00FE2334" w:rsidP="00FE2334">
                  <w:pPr>
                    <w:numPr>
                      <w:ilvl w:val="1"/>
                      <w:numId w:val="0"/>
                    </w:numPr>
                    <w:spacing w:after="120"/>
                    <w:ind w:right="407"/>
                    <w:rPr>
                      <w:i/>
                    </w:rPr>
                  </w:pPr>
                  <w:r w:rsidRPr="00800E3C">
                    <w:rPr>
                      <w:rFonts w:eastAsia="Calibri"/>
                      <w:b/>
                      <w:lang w:val="en-US"/>
                    </w:rPr>
                    <w:t xml:space="preserve">Date: </w:t>
                  </w:r>
                </w:p>
              </w:tc>
              <w:tc>
                <w:tcPr>
                  <w:tcW w:w="3358" w:type="dxa"/>
                  <w:vAlign w:val="center"/>
                </w:tcPr>
                <w:p w14:paraId="2E2D4BCD" w14:textId="050047CF" w:rsidR="00FE2334" w:rsidRPr="00800E3C" w:rsidRDefault="00A17ECF" w:rsidP="00FE2334">
                  <w:pPr>
                    <w:numPr>
                      <w:ilvl w:val="1"/>
                      <w:numId w:val="0"/>
                    </w:numPr>
                    <w:spacing w:after="120"/>
                    <w:ind w:right="407"/>
                    <w:rPr>
                      <w:i/>
                    </w:rPr>
                  </w:pPr>
                  <w:r>
                    <w:rPr>
                      <w:rFonts w:eastAsia="Calibri"/>
                      <w:lang w:val="en-US"/>
                    </w:rPr>
                    <w:t>23</w:t>
                  </w:r>
                  <w:r w:rsidRPr="00A17ECF">
                    <w:rPr>
                      <w:rFonts w:eastAsia="Calibri"/>
                      <w:vertAlign w:val="superscript"/>
                      <w:lang w:val="en-US"/>
                    </w:rPr>
                    <w:t>rd</w:t>
                  </w:r>
                  <w:r w:rsidR="00FE2334">
                    <w:rPr>
                      <w:rFonts w:eastAsia="Calibri"/>
                      <w:lang w:val="en-US"/>
                    </w:rPr>
                    <w:t xml:space="preserve"> October 2020</w:t>
                  </w:r>
                </w:p>
              </w:tc>
            </w:tr>
            <w:tr w:rsidR="00FE2334" w:rsidRPr="00800E3C" w14:paraId="25BA1CA2" w14:textId="77777777" w:rsidTr="00A55A36">
              <w:tc>
                <w:tcPr>
                  <w:tcW w:w="4393" w:type="dxa"/>
                  <w:vAlign w:val="center"/>
                </w:tcPr>
                <w:p w14:paraId="1590DDE1" w14:textId="77777777" w:rsidR="00FE2334" w:rsidRPr="00800E3C" w:rsidRDefault="00FE2334" w:rsidP="00FE2334">
                  <w:pPr>
                    <w:numPr>
                      <w:ilvl w:val="1"/>
                      <w:numId w:val="0"/>
                    </w:numPr>
                    <w:spacing w:after="120"/>
                    <w:ind w:right="407"/>
                    <w:rPr>
                      <w:i/>
                    </w:rPr>
                  </w:pPr>
                  <w:r w:rsidRPr="00800E3C">
                    <w:rPr>
                      <w:rFonts w:eastAsia="Calibri"/>
                      <w:b/>
                      <w:lang w:val="en-US"/>
                    </w:rPr>
                    <w:t>Description Of Authorised Processing</w:t>
                  </w:r>
                </w:p>
              </w:tc>
              <w:tc>
                <w:tcPr>
                  <w:tcW w:w="3358" w:type="dxa"/>
                  <w:vAlign w:val="center"/>
                </w:tcPr>
                <w:p w14:paraId="719CC18C" w14:textId="77777777" w:rsidR="00FE2334" w:rsidRPr="00800E3C" w:rsidRDefault="00FE2334" w:rsidP="00FE2334">
                  <w:pPr>
                    <w:numPr>
                      <w:ilvl w:val="1"/>
                      <w:numId w:val="0"/>
                    </w:numPr>
                    <w:spacing w:after="120"/>
                    <w:ind w:right="407"/>
                    <w:rPr>
                      <w:i/>
                    </w:rPr>
                  </w:pPr>
                  <w:r w:rsidRPr="00800E3C">
                    <w:rPr>
                      <w:rFonts w:eastAsia="Calibri"/>
                      <w:b/>
                      <w:lang w:val="en-US"/>
                    </w:rPr>
                    <w:t>Details</w:t>
                  </w:r>
                </w:p>
              </w:tc>
            </w:tr>
            <w:tr w:rsidR="00FE2334" w:rsidRPr="00800E3C" w14:paraId="53FB506E" w14:textId="77777777" w:rsidTr="00A55A36">
              <w:tc>
                <w:tcPr>
                  <w:tcW w:w="4393" w:type="dxa"/>
                </w:tcPr>
                <w:p w14:paraId="6FE94798" w14:textId="77777777" w:rsidR="00FE2334" w:rsidRPr="00800E3C" w:rsidRDefault="00FE2334" w:rsidP="00FE2334">
                  <w:pPr>
                    <w:numPr>
                      <w:ilvl w:val="1"/>
                      <w:numId w:val="0"/>
                    </w:numPr>
                    <w:spacing w:after="120"/>
                    <w:ind w:right="407"/>
                    <w:rPr>
                      <w:i/>
                    </w:rPr>
                  </w:pPr>
                  <w:r w:rsidRPr="00800E3C">
                    <w:rPr>
                      <w:rFonts w:eastAsia="Calibri"/>
                      <w:lang w:val="en-US"/>
                    </w:rPr>
                    <w:t>Identity of the Controller and Processor</w:t>
                  </w:r>
                </w:p>
              </w:tc>
              <w:tc>
                <w:tcPr>
                  <w:tcW w:w="3358" w:type="dxa"/>
                </w:tcPr>
                <w:p w14:paraId="636C7CC4" w14:textId="77777777" w:rsidR="00FE2334" w:rsidRPr="00800E3C" w:rsidRDefault="00FE2334" w:rsidP="00AF1535">
                  <w:pPr>
                    <w:spacing w:line="312" w:lineRule="auto"/>
                    <w:ind w:left="0" w:right="407"/>
                    <w:rPr>
                      <w:i/>
                    </w:rPr>
                  </w:pPr>
                  <w:r w:rsidRPr="00800E3C">
                    <w:rPr>
                      <w:rFonts w:eastAsia="Calibri"/>
                    </w:rPr>
                    <w:t xml:space="preserve">The Parties acknowledge that for the purposes of the Data Protection Legislation the Parties are independent controllers of Personal Data under this Framework Agreement. </w:t>
                  </w:r>
                </w:p>
              </w:tc>
            </w:tr>
            <w:tr w:rsidR="00FE2334" w:rsidRPr="00800E3C" w14:paraId="2966CBB6" w14:textId="77777777" w:rsidTr="00A55A36">
              <w:tc>
                <w:tcPr>
                  <w:tcW w:w="4393" w:type="dxa"/>
                </w:tcPr>
                <w:p w14:paraId="6B497502" w14:textId="77777777" w:rsidR="00FE2334" w:rsidRPr="00800E3C" w:rsidRDefault="00FE2334" w:rsidP="00FE2334">
                  <w:pPr>
                    <w:numPr>
                      <w:ilvl w:val="1"/>
                      <w:numId w:val="0"/>
                    </w:numPr>
                    <w:spacing w:after="120"/>
                    <w:ind w:right="407"/>
                    <w:rPr>
                      <w:i/>
                    </w:rPr>
                  </w:pPr>
                  <w:r w:rsidRPr="00800E3C">
                    <w:rPr>
                      <w:rFonts w:eastAsia="Calibri"/>
                      <w:lang w:val="en-US"/>
                    </w:rPr>
                    <w:t>Use of Personal Data</w:t>
                  </w:r>
                </w:p>
              </w:tc>
              <w:tc>
                <w:tcPr>
                  <w:tcW w:w="3358" w:type="dxa"/>
                </w:tcPr>
                <w:p w14:paraId="7C1AC0E3" w14:textId="77777777" w:rsidR="00FE2334" w:rsidRPr="00800E3C" w:rsidRDefault="00FE2334" w:rsidP="00FE2334">
                  <w:pPr>
                    <w:numPr>
                      <w:ilvl w:val="1"/>
                      <w:numId w:val="0"/>
                    </w:numPr>
                    <w:spacing w:after="120"/>
                    <w:ind w:right="407"/>
                    <w:rPr>
                      <w:i/>
                    </w:rPr>
                  </w:pPr>
                  <w:r w:rsidRPr="00800E3C">
                    <w:rPr>
                      <w:rFonts w:eastAsia="Calibri"/>
                      <w:lang w:val="en-US"/>
                    </w:rPr>
                    <w:t xml:space="preserve">Managing  the obligations under the Call Off Contract Agreement, including exit management, and other associated activities, </w:t>
                  </w:r>
                </w:p>
              </w:tc>
            </w:tr>
            <w:tr w:rsidR="00FE2334" w:rsidRPr="00800E3C" w14:paraId="301187E4" w14:textId="77777777" w:rsidTr="00A55A36">
              <w:tc>
                <w:tcPr>
                  <w:tcW w:w="4393" w:type="dxa"/>
                </w:tcPr>
                <w:p w14:paraId="67A1D9B6" w14:textId="77777777" w:rsidR="00FE2334" w:rsidRPr="00800E3C" w:rsidRDefault="00FE2334" w:rsidP="00FE2334">
                  <w:pPr>
                    <w:numPr>
                      <w:ilvl w:val="1"/>
                      <w:numId w:val="0"/>
                    </w:numPr>
                    <w:spacing w:after="120"/>
                    <w:ind w:right="407"/>
                    <w:rPr>
                      <w:i/>
                    </w:rPr>
                  </w:pPr>
                  <w:r w:rsidRPr="00800E3C">
                    <w:rPr>
                      <w:rFonts w:eastAsia="Calibri"/>
                      <w:lang w:val="en-US"/>
                    </w:rPr>
                    <w:t>Duration of the processing</w:t>
                  </w:r>
                </w:p>
              </w:tc>
              <w:tc>
                <w:tcPr>
                  <w:tcW w:w="3358" w:type="dxa"/>
                </w:tcPr>
                <w:p w14:paraId="4729F7BA" w14:textId="77777777" w:rsidR="00FE2334" w:rsidRPr="00800E3C" w:rsidRDefault="00FE2334" w:rsidP="00FE2334">
                  <w:pPr>
                    <w:numPr>
                      <w:ilvl w:val="1"/>
                      <w:numId w:val="0"/>
                    </w:numPr>
                    <w:spacing w:after="120"/>
                    <w:ind w:right="407"/>
                    <w:rPr>
                      <w:i/>
                    </w:rPr>
                  </w:pPr>
                  <w:r w:rsidRPr="00800E3C">
                    <w:rPr>
                      <w:rFonts w:eastAsia="Calibri"/>
                      <w:lang w:val="en-US"/>
                    </w:rPr>
                    <w:t xml:space="preserve">For the duration of the Framework Contract plus 7 years. </w:t>
                  </w:r>
                </w:p>
              </w:tc>
            </w:tr>
            <w:tr w:rsidR="00FE2334" w:rsidRPr="00800E3C" w14:paraId="2182FE5F" w14:textId="77777777" w:rsidTr="00A55A36">
              <w:tc>
                <w:tcPr>
                  <w:tcW w:w="4393" w:type="dxa"/>
                </w:tcPr>
                <w:p w14:paraId="2B971031" w14:textId="77777777" w:rsidR="00FE2334" w:rsidRPr="00800E3C" w:rsidRDefault="00FE2334" w:rsidP="00FE2334">
                  <w:pPr>
                    <w:numPr>
                      <w:ilvl w:val="1"/>
                      <w:numId w:val="0"/>
                    </w:numPr>
                    <w:spacing w:after="120"/>
                    <w:ind w:right="407"/>
                    <w:rPr>
                      <w:i/>
                    </w:rPr>
                  </w:pPr>
                  <w:r w:rsidRPr="00800E3C">
                    <w:rPr>
                      <w:rFonts w:eastAsia="Calibri"/>
                      <w:lang w:val="en-US"/>
                    </w:rPr>
                    <w:t>Nature and purposes of the processing</w:t>
                  </w:r>
                </w:p>
              </w:tc>
              <w:tc>
                <w:tcPr>
                  <w:tcW w:w="3358" w:type="dxa"/>
                </w:tcPr>
                <w:p w14:paraId="5D5503E3" w14:textId="77777777" w:rsidR="00FE2334" w:rsidRPr="00800E3C" w:rsidRDefault="00FE2334" w:rsidP="00FE2334">
                  <w:pPr>
                    <w:numPr>
                      <w:ilvl w:val="1"/>
                      <w:numId w:val="0"/>
                    </w:numPr>
                    <w:spacing w:after="120"/>
                    <w:ind w:right="407"/>
                    <w:rPr>
                      <w:i/>
                      <w:highlight w:val="yellow"/>
                    </w:rPr>
                  </w:pPr>
                </w:p>
              </w:tc>
            </w:tr>
            <w:tr w:rsidR="00FE2334" w:rsidRPr="00800E3C" w14:paraId="3CF79231" w14:textId="77777777" w:rsidTr="00A55A36">
              <w:tc>
                <w:tcPr>
                  <w:tcW w:w="4393" w:type="dxa"/>
                </w:tcPr>
                <w:p w14:paraId="3965535C" w14:textId="77777777" w:rsidR="00FE2334" w:rsidRPr="00800E3C" w:rsidRDefault="00FE2334" w:rsidP="00FE2334">
                  <w:pPr>
                    <w:numPr>
                      <w:ilvl w:val="1"/>
                      <w:numId w:val="0"/>
                    </w:numPr>
                    <w:spacing w:after="120"/>
                    <w:ind w:right="407"/>
                    <w:rPr>
                      <w:i/>
                      <w:highlight w:val="yellow"/>
                    </w:rPr>
                  </w:pPr>
                  <w:r w:rsidRPr="00800E3C">
                    <w:rPr>
                      <w:rFonts w:eastAsia="Calibri"/>
                      <w:lang w:val="en-US"/>
                    </w:rPr>
                    <w:lastRenderedPageBreak/>
                    <w:t>Type of Personal Data</w:t>
                  </w:r>
                </w:p>
              </w:tc>
              <w:tc>
                <w:tcPr>
                  <w:tcW w:w="3358" w:type="dxa"/>
                </w:tcPr>
                <w:p w14:paraId="7F3BC9E2" w14:textId="77777777" w:rsidR="00FE2334" w:rsidRPr="00800E3C" w:rsidRDefault="00FE2334" w:rsidP="00AF1535">
                  <w:pPr>
                    <w:spacing w:after="0" w:line="312" w:lineRule="auto"/>
                    <w:ind w:left="119" w:right="408"/>
                  </w:pPr>
                  <w:r w:rsidRPr="00800E3C">
                    <w:t>Full name</w:t>
                  </w:r>
                </w:p>
                <w:p w14:paraId="33BCDEA9" w14:textId="77777777" w:rsidR="00FE2334" w:rsidRPr="00800E3C" w:rsidRDefault="00FE2334" w:rsidP="00AF1535">
                  <w:pPr>
                    <w:spacing w:after="0" w:line="312" w:lineRule="auto"/>
                    <w:ind w:left="119" w:right="408"/>
                  </w:pPr>
                  <w:r w:rsidRPr="00800E3C">
                    <w:t>Wor</w:t>
                  </w:r>
                  <w:r>
                    <w:t>k</w:t>
                  </w:r>
                  <w:r w:rsidRPr="00800E3C">
                    <w:t>place address</w:t>
                  </w:r>
                </w:p>
                <w:p w14:paraId="6FB6C119" w14:textId="77777777" w:rsidR="00FE2334" w:rsidRPr="00800E3C" w:rsidRDefault="00FE2334" w:rsidP="00AF1535">
                  <w:pPr>
                    <w:spacing w:after="0" w:line="312" w:lineRule="auto"/>
                    <w:ind w:left="119" w:right="408"/>
                  </w:pPr>
                  <w:r w:rsidRPr="00800E3C">
                    <w:t xml:space="preserve">Workplace Phone Number </w:t>
                  </w:r>
                </w:p>
                <w:p w14:paraId="511AD5C4" w14:textId="77777777" w:rsidR="00FE2334" w:rsidRPr="00800E3C" w:rsidRDefault="00FE2334" w:rsidP="00AF1535">
                  <w:pPr>
                    <w:spacing w:after="0" w:line="312" w:lineRule="auto"/>
                    <w:ind w:left="119" w:right="408"/>
                    <w:rPr>
                      <w:rFonts w:eastAsia="Calibri"/>
                      <w:b/>
                      <w:lang w:val="en-US"/>
                    </w:rPr>
                  </w:pPr>
                  <w:r w:rsidRPr="00800E3C">
                    <w:t xml:space="preserve">Workplace email address </w:t>
                  </w:r>
                </w:p>
                <w:p w14:paraId="0D879972" w14:textId="77777777" w:rsidR="00FE2334" w:rsidRPr="00800E3C" w:rsidRDefault="00FE2334" w:rsidP="00AF1535">
                  <w:pPr>
                    <w:spacing w:after="0" w:line="312" w:lineRule="auto"/>
                    <w:ind w:left="119" w:right="408"/>
                    <w:rPr>
                      <w:rFonts w:eastAsia="Calibri"/>
                      <w:lang w:val="en-US"/>
                    </w:rPr>
                  </w:pPr>
                  <w:r w:rsidRPr="00800E3C">
                    <w:rPr>
                      <w:rFonts w:eastAsia="Calibri"/>
                      <w:lang w:val="en-US"/>
                    </w:rPr>
                    <w:t xml:space="preserve">Names </w:t>
                  </w:r>
                </w:p>
                <w:p w14:paraId="26166AB4" w14:textId="77777777" w:rsidR="00FE2334" w:rsidRPr="00800E3C" w:rsidRDefault="00FE2334" w:rsidP="00AF1535">
                  <w:pPr>
                    <w:spacing w:after="0" w:line="312" w:lineRule="auto"/>
                    <w:ind w:left="119" w:right="408"/>
                    <w:rPr>
                      <w:rFonts w:eastAsia="Calibri"/>
                      <w:lang w:val="en-US"/>
                    </w:rPr>
                  </w:pPr>
                  <w:r w:rsidRPr="00800E3C">
                    <w:rPr>
                      <w:rFonts w:eastAsia="Calibri"/>
                      <w:lang w:val="en-US"/>
                    </w:rPr>
                    <w:t>Job Title</w:t>
                  </w:r>
                </w:p>
                <w:p w14:paraId="45084F63" w14:textId="77777777" w:rsidR="00FE2334" w:rsidRPr="00800E3C" w:rsidRDefault="00FE2334" w:rsidP="00AF1535">
                  <w:pPr>
                    <w:spacing w:after="0" w:line="312" w:lineRule="auto"/>
                    <w:ind w:left="119" w:right="408"/>
                    <w:rPr>
                      <w:rFonts w:eastAsia="Calibri"/>
                      <w:lang w:val="en-US"/>
                    </w:rPr>
                  </w:pPr>
                  <w:r w:rsidRPr="00800E3C">
                    <w:rPr>
                      <w:rFonts w:eastAsia="Calibri"/>
                      <w:lang w:val="en-US"/>
                    </w:rPr>
                    <w:t>Compensation</w:t>
                  </w:r>
                </w:p>
                <w:tbl>
                  <w:tblPr>
                    <w:tblW w:w="3381" w:type="dxa"/>
                    <w:tblLayout w:type="fixed"/>
                    <w:tblLook w:val="04A0" w:firstRow="1" w:lastRow="0" w:firstColumn="1" w:lastColumn="0" w:noHBand="0" w:noVBand="1"/>
                  </w:tblPr>
                  <w:tblGrid>
                    <w:gridCol w:w="3381"/>
                  </w:tblGrid>
                  <w:tr w:rsidR="00FE2334" w:rsidRPr="00800E3C" w14:paraId="54DCC3BA" w14:textId="77777777" w:rsidTr="00A55A36">
                    <w:trPr>
                      <w:trHeight w:val="300"/>
                    </w:trPr>
                    <w:tc>
                      <w:tcPr>
                        <w:tcW w:w="3381" w:type="dxa"/>
                        <w:tcBorders>
                          <w:top w:val="nil"/>
                          <w:left w:val="nil"/>
                          <w:bottom w:val="nil"/>
                          <w:right w:val="nil"/>
                        </w:tcBorders>
                        <w:shd w:val="clear" w:color="auto" w:fill="auto"/>
                        <w:noWrap/>
                        <w:vAlign w:val="bottom"/>
                        <w:hideMark/>
                      </w:tcPr>
                      <w:p w14:paraId="6ADA5431" w14:textId="77777777" w:rsidR="00FE2334" w:rsidRPr="00800E3C" w:rsidRDefault="00FE2334" w:rsidP="00AF1535">
                        <w:pPr>
                          <w:spacing w:after="0" w:line="312" w:lineRule="auto"/>
                          <w:ind w:left="0" w:right="407" w:firstLine="74"/>
                        </w:pPr>
                        <w:r w:rsidRPr="00800E3C">
                          <w:rPr>
                            <w:rFonts w:eastAsia="Calibri"/>
                            <w:lang w:val="en-US"/>
                          </w:rPr>
                          <w:t>Tenure Information</w:t>
                        </w:r>
                        <w:r w:rsidRPr="00800E3C">
                          <w:t>Qualifications or Certifications</w:t>
                        </w:r>
                      </w:p>
                    </w:tc>
                  </w:tr>
                  <w:tr w:rsidR="00FE2334" w:rsidRPr="00800E3C" w14:paraId="1E4DE1F5" w14:textId="77777777" w:rsidTr="00A55A36">
                    <w:trPr>
                      <w:trHeight w:val="300"/>
                    </w:trPr>
                    <w:tc>
                      <w:tcPr>
                        <w:tcW w:w="3381" w:type="dxa"/>
                        <w:tcBorders>
                          <w:top w:val="nil"/>
                          <w:left w:val="nil"/>
                          <w:bottom w:val="nil"/>
                          <w:right w:val="nil"/>
                        </w:tcBorders>
                        <w:shd w:val="clear" w:color="auto" w:fill="auto"/>
                        <w:noWrap/>
                        <w:vAlign w:val="bottom"/>
                        <w:hideMark/>
                      </w:tcPr>
                      <w:p w14:paraId="344D8E03" w14:textId="77777777" w:rsidR="00FE2334" w:rsidRPr="00800E3C" w:rsidRDefault="00FE2334" w:rsidP="00AF1535">
                        <w:pPr>
                          <w:spacing w:after="0" w:line="312" w:lineRule="auto"/>
                          <w:ind w:left="0" w:right="407" w:firstLine="74"/>
                        </w:pPr>
                        <w:r w:rsidRPr="00800E3C">
                          <w:t>Nationality</w:t>
                        </w:r>
                      </w:p>
                    </w:tc>
                  </w:tr>
                  <w:tr w:rsidR="00FE2334" w:rsidRPr="00800E3C" w14:paraId="7D840F29" w14:textId="77777777" w:rsidTr="00A55A36">
                    <w:trPr>
                      <w:trHeight w:val="300"/>
                    </w:trPr>
                    <w:tc>
                      <w:tcPr>
                        <w:tcW w:w="3381" w:type="dxa"/>
                        <w:tcBorders>
                          <w:top w:val="nil"/>
                          <w:left w:val="nil"/>
                          <w:bottom w:val="nil"/>
                          <w:right w:val="nil"/>
                        </w:tcBorders>
                        <w:shd w:val="clear" w:color="auto" w:fill="auto"/>
                        <w:noWrap/>
                        <w:vAlign w:val="bottom"/>
                        <w:hideMark/>
                      </w:tcPr>
                      <w:p w14:paraId="2CE237D1" w14:textId="77777777" w:rsidR="00FE2334" w:rsidRPr="00800E3C" w:rsidRDefault="00FE2334" w:rsidP="00AF1535">
                        <w:pPr>
                          <w:spacing w:after="0" w:line="312" w:lineRule="auto"/>
                          <w:ind w:left="0" w:right="407" w:firstLine="74"/>
                        </w:pPr>
                        <w:r w:rsidRPr="00800E3C">
                          <w:t>Education &amp; training history</w:t>
                        </w:r>
                      </w:p>
                    </w:tc>
                  </w:tr>
                  <w:tr w:rsidR="00FE2334" w:rsidRPr="00800E3C" w14:paraId="02CD6549" w14:textId="77777777" w:rsidTr="00A55A36">
                    <w:trPr>
                      <w:trHeight w:val="300"/>
                    </w:trPr>
                    <w:tc>
                      <w:tcPr>
                        <w:tcW w:w="3381" w:type="dxa"/>
                        <w:tcBorders>
                          <w:top w:val="nil"/>
                          <w:left w:val="nil"/>
                          <w:bottom w:val="nil"/>
                          <w:right w:val="nil"/>
                        </w:tcBorders>
                        <w:shd w:val="clear" w:color="auto" w:fill="auto"/>
                        <w:noWrap/>
                        <w:vAlign w:val="bottom"/>
                        <w:hideMark/>
                      </w:tcPr>
                      <w:p w14:paraId="4E46879D" w14:textId="77777777" w:rsidR="00FE2334" w:rsidRPr="00800E3C" w:rsidRDefault="00FE2334" w:rsidP="00AF1535">
                        <w:pPr>
                          <w:spacing w:after="0" w:line="312" w:lineRule="auto"/>
                          <w:ind w:left="0" w:right="407" w:firstLine="74"/>
                        </w:pPr>
                        <w:r w:rsidRPr="00800E3C">
                          <w:t>Previous work history</w:t>
                        </w:r>
                      </w:p>
                    </w:tc>
                  </w:tr>
                  <w:tr w:rsidR="00FE2334" w:rsidRPr="00800E3C" w14:paraId="25AE3960" w14:textId="77777777" w:rsidTr="00A55A36">
                    <w:trPr>
                      <w:trHeight w:val="300"/>
                    </w:trPr>
                    <w:tc>
                      <w:tcPr>
                        <w:tcW w:w="3381" w:type="dxa"/>
                        <w:tcBorders>
                          <w:top w:val="nil"/>
                          <w:left w:val="nil"/>
                          <w:bottom w:val="nil"/>
                          <w:right w:val="nil"/>
                        </w:tcBorders>
                        <w:shd w:val="clear" w:color="auto" w:fill="auto"/>
                        <w:noWrap/>
                        <w:vAlign w:val="bottom"/>
                        <w:hideMark/>
                      </w:tcPr>
                      <w:p w14:paraId="1CB34D6E" w14:textId="77777777" w:rsidR="00FE2334" w:rsidRPr="00800E3C" w:rsidRDefault="00FE2334" w:rsidP="00AF1535">
                        <w:pPr>
                          <w:spacing w:after="0" w:line="312" w:lineRule="auto"/>
                          <w:ind w:left="0" w:right="407" w:firstLine="74"/>
                        </w:pPr>
                        <w:r w:rsidRPr="00800E3C">
                          <w:t>Personal Interests</w:t>
                        </w:r>
                      </w:p>
                    </w:tc>
                  </w:tr>
                  <w:tr w:rsidR="00FE2334" w:rsidRPr="00800E3C" w14:paraId="3898F066" w14:textId="77777777" w:rsidTr="00A55A36">
                    <w:trPr>
                      <w:trHeight w:val="300"/>
                    </w:trPr>
                    <w:tc>
                      <w:tcPr>
                        <w:tcW w:w="3381" w:type="dxa"/>
                        <w:tcBorders>
                          <w:top w:val="nil"/>
                          <w:left w:val="nil"/>
                          <w:bottom w:val="nil"/>
                          <w:right w:val="nil"/>
                        </w:tcBorders>
                        <w:shd w:val="clear" w:color="auto" w:fill="auto"/>
                        <w:noWrap/>
                        <w:vAlign w:val="bottom"/>
                        <w:hideMark/>
                      </w:tcPr>
                      <w:p w14:paraId="27DBDC23" w14:textId="77777777" w:rsidR="00FE2334" w:rsidRPr="00800E3C" w:rsidRDefault="00FE2334" w:rsidP="00AF1535">
                        <w:pPr>
                          <w:spacing w:after="0" w:line="312" w:lineRule="auto"/>
                          <w:ind w:left="0" w:right="407" w:firstLine="74"/>
                        </w:pPr>
                        <w:r w:rsidRPr="00800E3C">
                          <w:t>References and referee details</w:t>
                        </w:r>
                      </w:p>
                    </w:tc>
                  </w:tr>
                  <w:tr w:rsidR="00FE2334" w:rsidRPr="00800E3C" w14:paraId="0A4AB1C8" w14:textId="77777777" w:rsidTr="00A55A36">
                    <w:trPr>
                      <w:trHeight w:val="300"/>
                    </w:trPr>
                    <w:tc>
                      <w:tcPr>
                        <w:tcW w:w="3381" w:type="dxa"/>
                        <w:tcBorders>
                          <w:top w:val="nil"/>
                          <w:left w:val="nil"/>
                          <w:bottom w:val="nil"/>
                          <w:right w:val="nil"/>
                        </w:tcBorders>
                        <w:shd w:val="clear" w:color="auto" w:fill="auto"/>
                        <w:noWrap/>
                        <w:vAlign w:val="bottom"/>
                        <w:hideMark/>
                      </w:tcPr>
                      <w:p w14:paraId="5E4B500B" w14:textId="77777777" w:rsidR="00FE2334" w:rsidRPr="00800E3C" w:rsidRDefault="00FE2334" w:rsidP="00AF1535">
                        <w:pPr>
                          <w:spacing w:after="0" w:line="312" w:lineRule="auto"/>
                          <w:ind w:left="0" w:right="407" w:firstLine="74"/>
                        </w:pPr>
                        <w:r w:rsidRPr="00800E3C">
                          <w:t>Driving license details</w:t>
                        </w:r>
                      </w:p>
                    </w:tc>
                  </w:tr>
                  <w:tr w:rsidR="00FE2334" w:rsidRPr="00800E3C" w14:paraId="17D3DA5F" w14:textId="77777777" w:rsidTr="00A55A36">
                    <w:trPr>
                      <w:trHeight w:val="300"/>
                    </w:trPr>
                    <w:tc>
                      <w:tcPr>
                        <w:tcW w:w="3381" w:type="dxa"/>
                        <w:tcBorders>
                          <w:top w:val="nil"/>
                          <w:left w:val="nil"/>
                          <w:bottom w:val="nil"/>
                          <w:right w:val="nil"/>
                        </w:tcBorders>
                        <w:shd w:val="clear" w:color="auto" w:fill="auto"/>
                        <w:noWrap/>
                        <w:vAlign w:val="bottom"/>
                        <w:hideMark/>
                      </w:tcPr>
                      <w:p w14:paraId="6E92FBD4" w14:textId="77777777" w:rsidR="00FE2334" w:rsidRPr="00800E3C" w:rsidRDefault="00FE2334" w:rsidP="00AF1535">
                        <w:pPr>
                          <w:spacing w:after="0" w:line="312" w:lineRule="auto"/>
                          <w:ind w:left="0" w:right="407" w:firstLine="74"/>
                        </w:pPr>
                        <w:r w:rsidRPr="00800E3C">
                          <w:t>National insurance number</w:t>
                        </w:r>
                      </w:p>
                    </w:tc>
                  </w:tr>
                  <w:tr w:rsidR="00FE2334" w:rsidRPr="00800E3C" w14:paraId="3775B04E" w14:textId="77777777" w:rsidTr="00A55A36">
                    <w:trPr>
                      <w:trHeight w:val="300"/>
                    </w:trPr>
                    <w:tc>
                      <w:tcPr>
                        <w:tcW w:w="3381" w:type="dxa"/>
                        <w:tcBorders>
                          <w:top w:val="nil"/>
                          <w:left w:val="nil"/>
                          <w:bottom w:val="nil"/>
                          <w:right w:val="nil"/>
                        </w:tcBorders>
                        <w:shd w:val="clear" w:color="auto" w:fill="auto"/>
                        <w:noWrap/>
                        <w:vAlign w:val="bottom"/>
                        <w:hideMark/>
                      </w:tcPr>
                      <w:p w14:paraId="356D26C9" w14:textId="77777777" w:rsidR="00FE2334" w:rsidRPr="00800E3C" w:rsidRDefault="00FE2334" w:rsidP="00AF1535">
                        <w:pPr>
                          <w:spacing w:after="0" w:line="312" w:lineRule="auto"/>
                          <w:ind w:left="0" w:right="407" w:firstLine="74"/>
                        </w:pPr>
                        <w:r w:rsidRPr="00800E3C">
                          <w:t>Bank statements</w:t>
                        </w:r>
                      </w:p>
                    </w:tc>
                  </w:tr>
                  <w:tr w:rsidR="00FE2334" w:rsidRPr="00800E3C" w14:paraId="56779A84" w14:textId="77777777" w:rsidTr="00A55A36">
                    <w:trPr>
                      <w:trHeight w:val="300"/>
                    </w:trPr>
                    <w:tc>
                      <w:tcPr>
                        <w:tcW w:w="3381" w:type="dxa"/>
                        <w:tcBorders>
                          <w:top w:val="nil"/>
                          <w:left w:val="nil"/>
                          <w:bottom w:val="nil"/>
                          <w:right w:val="nil"/>
                        </w:tcBorders>
                        <w:shd w:val="clear" w:color="auto" w:fill="auto"/>
                        <w:noWrap/>
                        <w:vAlign w:val="bottom"/>
                        <w:hideMark/>
                      </w:tcPr>
                      <w:p w14:paraId="38F97E86" w14:textId="77777777" w:rsidR="00FE2334" w:rsidRPr="00800E3C" w:rsidRDefault="00FE2334" w:rsidP="00AF1535">
                        <w:pPr>
                          <w:spacing w:after="0" w:line="312" w:lineRule="auto"/>
                          <w:ind w:left="0" w:right="407" w:firstLine="74"/>
                        </w:pPr>
                        <w:r w:rsidRPr="00800E3C">
                          <w:t>Utility bills</w:t>
                        </w:r>
                      </w:p>
                    </w:tc>
                  </w:tr>
                  <w:tr w:rsidR="00FE2334" w:rsidRPr="00800E3C" w14:paraId="68E0F23D" w14:textId="77777777" w:rsidTr="00A55A36">
                    <w:trPr>
                      <w:trHeight w:val="300"/>
                    </w:trPr>
                    <w:tc>
                      <w:tcPr>
                        <w:tcW w:w="3381" w:type="dxa"/>
                        <w:tcBorders>
                          <w:top w:val="nil"/>
                          <w:left w:val="nil"/>
                          <w:bottom w:val="nil"/>
                          <w:right w:val="nil"/>
                        </w:tcBorders>
                        <w:shd w:val="clear" w:color="auto" w:fill="auto"/>
                        <w:noWrap/>
                        <w:vAlign w:val="bottom"/>
                        <w:hideMark/>
                      </w:tcPr>
                      <w:p w14:paraId="456FB0DD" w14:textId="77777777" w:rsidR="00FE2334" w:rsidRPr="00800E3C" w:rsidRDefault="00FE2334" w:rsidP="00AF1535">
                        <w:pPr>
                          <w:spacing w:after="0" w:line="312" w:lineRule="auto"/>
                          <w:ind w:left="0" w:right="407" w:firstLine="74"/>
                        </w:pPr>
                        <w:r w:rsidRPr="00800E3C">
                          <w:t>Job title or role</w:t>
                        </w:r>
                      </w:p>
                    </w:tc>
                  </w:tr>
                  <w:tr w:rsidR="00FE2334" w:rsidRPr="00800E3C" w14:paraId="30CC453D" w14:textId="77777777" w:rsidTr="00A55A36">
                    <w:trPr>
                      <w:trHeight w:val="300"/>
                    </w:trPr>
                    <w:tc>
                      <w:tcPr>
                        <w:tcW w:w="3381" w:type="dxa"/>
                        <w:tcBorders>
                          <w:top w:val="nil"/>
                          <w:left w:val="nil"/>
                          <w:bottom w:val="nil"/>
                          <w:right w:val="nil"/>
                        </w:tcBorders>
                        <w:shd w:val="clear" w:color="auto" w:fill="auto"/>
                        <w:noWrap/>
                        <w:vAlign w:val="bottom"/>
                        <w:hideMark/>
                      </w:tcPr>
                      <w:p w14:paraId="18B9F3D7" w14:textId="77777777" w:rsidR="00FE2334" w:rsidRPr="00800E3C" w:rsidRDefault="00FE2334" w:rsidP="00AF1535">
                        <w:pPr>
                          <w:spacing w:after="0" w:line="312" w:lineRule="auto"/>
                          <w:ind w:left="0" w:right="407" w:firstLine="74"/>
                        </w:pPr>
                        <w:r w:rsidRPr="00800E3C">
                          <w:t>Job application details</w:t>
                        </w:r>
                      </w:p>
                    </w:tc>
                  </w:tr>
                  <w:tr w:rsidR="00FE2334" w:rsidRPr="00800E3C" w14:paraId="502843A3" w14:textId="77777777" w:rsidTr="00A55A36">
                    <w:trPr>
                      <w:trHeight w:val="300"/>
                    </w:trPr>
                    <w:tc>
                      <w:tcPr>
                        <w:tcW w:w="3381" w:type="dxa"/>
                        <w:tcBorders>
                          <w:top w:val="nil"/>
                          <w:left w:val="nil"/>
                          <w:bottom w:val="nil"/>
                          <w:right w:val="nil"/>
                        </w:tcBorders>
                        <w:shd w:val="clear" w:color="auto" w:fill="auto"/>
                        <w:noWrap/>
                        <w:vAlign w:val="bottom"/>
                        <w:hideMark/>
                      </w:tcPr>
                      <w:p w14:paraId="27890F9A" w14:textId="77777777" w:rsidR="00FE2334" w:rsidRPr="00800E3C" w:rsidRDefault="00FE2334" w:rsidP="00AF1535">
                        <w:pPr>
                          <w:spacing w:after="0" w:line="312" w:lineRule="auto"/>
                          <w:ind w:left="0" w:right="407" w:firstLine="74"/>
                        </w:pPr>
                        <w:r w:rsidRPr="00800E3C">
                          <w:t>Start date</w:t>
                        </w:r>
                      </w:p>
                    </w:tc>
                  </w:tr>
                  <w:tr w:rsidR="00FE2334" w:rsidRPr="00800E3C" w14:paraId="26F50839" w14:textId="77777777" w:rsidTr="00A55A36">
                    <w:trPr>
                      <w:trHeight w:val="300"/>
                    </w:trPr>
                    <w:tc>
                      <w:tcPr>
                        <w:tcW w:w="3381" w:type="dxa"/>
                        <w:tcBorders>
                          <w:top w:val="nil"/>
                          <w:left w:val="nil"/>
                          <w:bottom w:val="nil"/>
                          <w:right w:val="nil"/>
                        </w:tcBorders>
                        <w:shd w:val="clear" w:color="auto" w:fill="auto"/>
                        <w:noWrap/>
                        <w:vAlign w:val="bottom"/>
                        <w:hideMark/>
                      </w:tcPr>
                      <w:p w14:paraId="33B7A300" w14:textId="77777777" w:rsidR="00FE2334" w:rsidRPr="00800E3C" w:rsidRDefault="00FE2334" w:rsidP="00AF1535">
                        <w:pPr>
                          <w:spacing w:after="0" w:line="312" w:lineRule="auto"/>
                          <w:ind w:left="0" w:right="407" w:firstLine="74"/>
                        </w:pPr>
                        <w:r w:rsidRPr="00800E3C">
                          <w:t>End date &amp; reason for termination</w:t>
                        </w:r>
                      </w:p>
                    </w:tc>
                  </w:tr>
                  <w:tr w:rsidR="00FE2334" w:rsidRPr="00800E3C" w14:paraId="1374EF42" w14:textId="77777777" w:rsidTr="00A55A36">
                    <w:trPr>
                      <w:trHeight w:val="300"/>
                    </w:trPr>
                    <w:tc>
                      <w:tcPr>
                        <w:tcW w:w="3381" w:type="dxa"/>
                        <w:tcBorders>
                          <w:top w:val="nil"/>
                          <w:left w:val="nil"/>
                          <w:bottom w:val="nil"/>
                          <w:right w:val="nil"/>
                        </w:tcBorders>
                        <w:shd w:val="clear" w:color="auto" w:fill="auto"/>
                        <w:noWrap/>
                        <w:vAlign w:val="bottom"/>
                        <w:hideMark/>
                      </w:tcPr>
                      <w:p w14:paraId="214948A7" w14:textId="77777777" w:rsidR="00FE2334" w:rsidRPr="00800E3C" w:rsidRDefault="00FE2334" w:rsidP="00AF1535">
                        <w:pPr>
                          <w:spacing w:after="0" w:line="312" w:lineRule="auto"/>
                          <w:ind w:left="0" w:right="407" w:firstLine="74"/>
                        </w:pPr>
                        <w:r w:rsidRPr="00800E3C">
                          <w:t>Contract type</w:t>
                        </w:r>
                      </w:p>
                    </w:tc>
                  </w:tr>
                  <w:tr w:rsidR="00FE2334" w:rsidRPr="00800E3C" w14:paraId="3C4CCFCB" w14:textId="77777777" w:rsidTr="00A55A36">
                    <w:trPr>
                      <w:trHeight w:val="300"/>
                    </w:trPr>
                    <w:tc>
                      <w:tcPr>
                        <w:tcW w:w="3381" w:type="dxa"/>
                        <w:tcBorders>
                          <w:top w:val="nil"/>
                          <w:left w:val="nil"/>
                          <w:bottom w:val="nil"/>
                          <w:right w:val="nil"/>
                        </w:tcBorders>
                        <w:shd w:val="clear" w:color="auto" w:fill="auto"/>
                        <w:noWrap/>
                        <w:vAlign w:val="bottom"/>
                        <w:hideMark/>
                      </w:tcPr>
                      <w:p w14:paraId="080B807C" w14:textId="77777777" w:rsidR="00FE2334" w:rsidRPr="00800E3C" w:rsidRDefault="00FE2334" w:rsidP="00FE2334">
                        <w:pPr>
                          <w:spacing w:after="0" w:line="312" w:lineRule="auto"/>
                          <w:ind w:left="9" w:right="407"/>
                        </w:pPr>
                        <w:r w:rsidRPr="00800E3C">
                          <w:t>Compensation data</w:t>
                        </w:r>
                      </w:p>
                    </w:tc>
                  </w:tr>
                  <w:tr w:rsidR="00FE2334" w:rsidRPr="00800E3C" w14:paraId="60D10B7A" w14:textId="77777777" w:rsidTr="00A55A36">
                    <w:trPr>
                      <w:trHeight w:val="300"/>
                    </w:trPr>
                    <w:tc>
                      <w:tcPr>
                        <w:tcW w:w="3381" w:type="dxa"/>
                        <w:tcBorders>
                          <w:top w:val="nil"/>
                          <w:left w:val="nil"/>
                          <w:bottom w:val="nil"/>
                          <w:right w:val="nil"/>
                        </w:tcBorders>
                        <w:shd w:val="clear" w:color="auto" w:fill="auto"/>
                        <w:noWrap/>
                        <w:vAlign w:val="bottom"/>
                        <w:hideMark/>
                      </w:tcPr>
                      <w:p w14:paraId="69CC61CE" w14:textId="77777777" w:rsidR="00FE2334" w:rsidRPr="00800E3C" w:rsidRDefault="00FE2334" w:rsidP="00FE2334">
                        <w:pPr>
                          <w:spacing w:after="0" w:line="312" w:lineRule="auto"/>
                          <w:ind w:left="9" w:right="407"/>
                        </w:pPr>
                        <w:r w:rsidRPr="00800E3C">
                          <w:t>Photographic Facial Image</w:t>
                        </w:r>
                      </w:p>
                    </w:tc>
                  </w:tr>
                  <w:tr w:rsidR="00FE2334" w:rsidRPr="00800E3C" w14:paraId="266388E4" w14:textId="77777777" w:rsidTr="00A55A36">
                    <w:trPr>
                      <w:trHeight w:val="300"/>
                    </w:trPr>
                    <w:tc>
                      <w:tcPr>
                        <w:tcW w:w="3381" w:type="dxa"/>
                        <w:tcBorders>
                          <w:top w:val="nil"/>
                          <w:left w:val="nil"/>
                          <w:bottom w:val="nil"/>
                          <w:right w:val="nil"/>
                        </w:tcBorders>
                        <w:shd w:val="clear" w:color="auto" w:fill="auto"/>
                        <w:noWrap/>
                        <w:vAlign w:val="bottom"/>
                        <w:hideMark/>
                      </w:tcPr>
                      <w:p w14:paraId="4EB239E3" w14:textId="77777777" w:rsidR="00FE2334" w:rsidRPr="00800E3C" w:rsidRDefault="00FE2334" w:rsidP="00FE2334">
                        <w:pPr>
                          <w:spacing w:after="0" w:line="312" w:lineRule="auto"/>
                          <w:ind w:left="9" w:right="407"/>
                        </w:pPr>
                        <w:r w:rsidRPr="00800E3C">
                          <w:t>Biometric data</w:t>
                        </w:r>
                      </w:p>
                    </w:tc>
                  </w:tr>
                  <w:tr w:rsidR="00FE2334" w:rsidRPr="00800E3C" w14:paraId="0ABA4C51" w14:textId="77777777" w:rsidTr="00A55A36">
                    <w:trPr>
                      <w:trHeight w:val="300"/>
                    </w:trPr>
                    <w:tc>
                      <w:tcPr>
                        <w:tcW w:w="3381" w:type="dxa"/>
                        <w:tcBorders>
                          <w:top w:val="nil"/>
                          <w:left w:val="nil"/>
                          <w:bottom w:val="nil"/>
                          <w:right w:val="nil"/>
                        </w:tcBorders>
                        <w:shd w:val="clear" w:color="auto" w:fill="auto"/>
                        <w:noWrap/>
                        <w:vAlign w:val="bottom"/>
                        <w:hideMark/>
                      </w:tcPr>
                      <w:p w14:paraId="53875AFC" w14:textId="77777777" w:rsidR="00FE2334" w:rsidRPr="00800E3C" w:rsidRDefault="00FE2334" w:rsidP="00FE2334">
                        <w:pPr>
                          <w:spacing w:after="0" w:line="312" w:lineRule="auto"/>
                          <w:ind w:left="9" w:right="407"/>
                        </w:pPr>
                        <w:r w:rsidRPr="00800E3C">
                          <w:t>Birth certificates</w:t>
                        </w:r>
                      </w:p>
                    </w:tc>
                  </w:tr>
                  <w:tr w:rsidR="00FE2334" w:rsidRPr="00800E3C" w14:paraId="4F4F0316" w14:textId="77777777" w:rsidTr="00A55A36">
                    <w:trPr>
                      <w:trHeight w:val="300"/>
                    </w:trPr>
                    <w:tc>
                      <w:tcPr>
                        <w:tcW w:w="3381" w:type="dxa"/>
                        <w:tcBorders>
                          <w:top w:val="nil"/>
                          <w:left w:val="nil"/>
                          <w:bottom w:val="nil"/>
                          <w:right w:val="nil"/>
                        </w:tcBorders>
                        <w:shd w:val="clear" w:color="auto" w:fill="auto"/>
                        <w:noWrap/>
                        <w:vAlign w:val="bottom"/>
                        <w:hideMark/>
                      </w:tcPr>
                      <w:p w14:paraId="280E7FF1" w14:textId="77777777" w:rsidR="00FE2334" w:rsidRPr="00800E3C" w:rsidRDefault="00FE2334" w:rsidP="00FE2334">
                        <w:pPr>
                          <w:spacing w:after="0" w:line="312" w:lineRule="auto"/>
                          <w:ind w:left="9" w:right="407"/>
                        </w:pPr>
                        <w:r w:rsidRPr="00800E3C">
                          <w:t>IP Address</w:t>
                        </w:r>
                      </w:p>
                    </w:tc>
                  </w:tr>
                  <w:tr w:rsidR="00FE2334" w:rsidRPr="00800E3C" w14:paraId="2E7D7565" w14:textId="77777777" w:rsidTr="00A55A36">
                    <w:trPr>
                      <w:trHeight w:val="300"/>
                    </w:trPr>
                    <w:tc>
                      <w:tcPr>
                        <w:tcW w:w="3381" w:type="dxa"/>
                        <w:tcBorders>
                          <w:top w:val="nil"/>
                          <w:left w:val="nil"/>
                          <w:bottom w:val="nil"/>
                          <w:right w:val="nil"/>
                        </w:tcBorders>
                        <w:shd w:val="clear" w:color="auto" w:fill="auto"/>
                        <w:noWrap/>
                        <w:vAlign w:val="bottom"/>
                        <w:hideMark/>
                      </w:tcPr>
                      <w:p w14:paraId="25364839" w14:textId="77777777" w:rsidR="00FE2334" w:rsidRPr="00800E3C" w:rsidRDefault="00FE2334" w:rsidP="00FE2334">
                        <w:pPr>
                          <w:spacing w:after="0" w:line="312" w:lineRule="auto"/>
                          <w:ind w:left="9" w:right="407"/>
                        </w:pPr>
                        <w:r w:rsidRPr="00800E3C">
                          <w:t>Details of physical and psychological health or medical condition</w:t>
                        </w:r>
                      </w:p>
                    </w:tc>
                  </w:tr>
                  <w:tr w:rsidR="00FE2334" w:rsidRPr="00800E3C" w14:paraId="04A17296" w14:textId="77777777" w:rsidTr="00A55A36">
                    <w:trPr>
                      <w:trHeight w:val="300"/>
                    </w:trPr>
                    <w:tc>
                      <w:tcPr>
                        <w:tcW w:w="3381" w:type="dxa"/>
                        <w:tcBorders>
                          <w:top w:val="nil"/>
                          <w:left w:val="nil"/>
                          <w:bottom w:val="nil"/>
                          <w:right w:val="nil"/>
                        </w:tcBorders>
                        <w:shd w:val="clear" w:color="auto" w:fill="auto"/>
                        <w:noWrap/>
                        <w:vAlign w:val="bottom"/>
                        <w:hideMark/>
                      </w:tcPr>
                      <w:p w14:paraId="1E0D707F" w14:textId="77777777" w:rsidR="00FE2334" w:rsidRPr="00800E3C" w:rsidRDefault="00FE2334" w:rsidP="00FE2334">
                        <w:pPr>
                          <w:spacing w:after="0" w:line="312" w:lineRule="auto"/>
                          <w:ind w:left="9" w:right="407"/>
                        </w:pPr>
                        <w:r w:rsidRPr="00800E3C">
                          <w:t>Next of kin &amp; emergency contact details</w:t>
                        </w:r>
                      </w:p>
                    </w:tc>
                  </w:tr>
                  <w:tr w:rsidR="00FE2334" w:rsidRPr="00800E3C" w14:paraId="0FBC6BFA" w14:textId="77777777" w:rsidTr="00A55A36">
                    <w:trPr>
                      <w:trHeight w:val="300"/>
                    </w:trPr>
                    <w:tc>
                      <w:tcPr>
                        <w:tcW w:w="3381" w:type="dxa"/>
                        <w:tcBorders>
                          <w:top w:val="nil"/>
                          <w:left w:val="nil"/>
                          <w:bottom w:val="nil"/>
                          <w:right w:val="nil"/>
                        </w:tcBorders>
                        <w:shd w:val="clear" w:color="auto" w:fill="auto"/>
                        <w:noWrap/>
                        <w:vAlign w:val="bottom"/>
                        <w:hideMark/>
                      </w:tcPr>
                      <w:p w14:paraId="40B58BAE" w14:textId="77777777" w:rsidR="00FE2334" w:rsidRPr="00800E3C" w:rsidRDefault="00FE2334" w:rsidP="00FE2334">
                        <w:pPr>
                          <w:spacing w:after="0" w:line="312" w:lineRule="auto"/>
                          <w:ind w:left="9" w:right="407"/>
                        </w:pPr>
                        <w:r w:rsidRPr="00800E3C">
                          <w:t>Record of absence, time tracking &amp; annual leave</w:t>
                        </w:r>
                      </w:p>
                    </w:tc>
                  </w:tr>
                </w:tbl>
                <w:p w14:paraId="4A872086" w14:textId="77777777" w:rsidR="00FE2334" w:rsidRPr="00800E3C" w:rsidRDefault="00FE2334" w:rsidP="00FE2334">
                  <w:pPr>
                    <w:numPr>
                      <w:ilvl w:val="1"/>
                      <w:numId w:val="0"/>
                    </w:numPr>
                    <w:ind w:right="407"/>
                    <w:rPr>
                      <w:i/>
                    </w:rPr>
                  </w:pPr>
                </w:p>
              </w:tc>
            </w:tr>
            <w:tr w:rsidR="00FE2334" w:rsidRPr="00800E3C" w14:paraId="3D93B74E" w14:textId="77777777" w:rsidTr="00A55A36">
              <w:tc>
                <w:tcPr>
                  <w:tcW w:w="4393" w:type="dxa"/>
                </w:tcPr>
                <w:p w14:paraId="00B02FA8" w14:textId="77777777" w:rsidR="00FE2334" w:rsidRPr="00800E3C" w:rsidRDefault="00FE2334" w:rsidP="00FE2334">
                  <w:pPr>
                    <w:numPr>
                      <w:ilvl w:val="1"/>
                      <w:numId w:val="0"/>
                    </w:numPr>
                    <w:spacing w:after="120"/>
                    <w:ind w:right="407"/>
                    <w:rPr>
                      <w:rFonts w:eastAsia="Calibri"/>
                      <w:lang w:val="en-US"/>
                    </w:rPr>
                  </w:pPr>
                  <w:r w:rsidRPr="00800E3C">
                    <w:rPr>
                      <w:rFonts w:eastAsia="Calibri"/>
                      <w:lang w:val="en-US"/>
                    </w:rPr>
                    <w:t>Categories of Data Subject</w:t>
                  </w:r>
                </w:p>
              </w:tc>
              <w:tc>
                <w:tcPr>
                  <w:tcW w:w="3358" w:type="dxa"/>
                </w:tcPr>
                <w:p w14:paraId="0220E8F2" w14:textId="77777777" w:rsidR="00FE2334" w:rsidRPr="00800E3C" w:rsidRDefault="00FE2334" w:rsidP="00AF1535">
                  <w:pPr>
                    <w:spacing w:after="0" w:line="312" w:lineRule="auto"/>
                    <w:ind w:left="119" w:right="408"/>
                  </w:pPr>
                  <w:r w:rsidRPr="00800E3C">
                    <w:t>Current personnel</w:t>
                  </w:r>
                </w:p>
                <w:p w14:paraId="43954622" w14:textId="77777777" w:rsidR="00FE2334" w:rsidRPr="00800E3C" w:rsidRDefault="00FE2334" w:rsidP="00AF1535">
                  <w:pPr>
                    <w:spacing w:after="0" w:line="312" w:lineRule="auto"/>
                    <w:ind w:left="119" w:right="408"/>
                  </w:pPr>
                  <w:r w:rsidRPr="00800E3C">
                    <w:t>Contractors/Consultants</w:t>
                  </w:r>
                </w:p>
                <w:p w14:paraId="50B070DC" w14:textId="77777777" w:rsidR="00FE2334" w:rsidRPr="00800E3C" w:rsidRDefault="00FE2334" w:rsidP="00AF1535">
                  <w:pPr>
                    <w:spacing w:after="0" w:line="312" w:lineRule="auto"/>
                    <w:ind w:left="119" w:right="408"/>
                  </w:pPr>
                  <w:r w:rsidRPr="00800E3C">
                    <w:t>Customers</w:t>
                  </w:r>
                </w:p>
                <w:p w14:paraId="1BE685BC" w14:textId="77777777" w:rsidR="00FE2334" w:rsidRPr="00800E3C" w:rsidRDefault="00FE2334" w:rsidP="00AF1535">
                  <w:pPr>
                    <w:spacing w:after="0" w:line="312" w:lineRule="auto"/>
                    <w:ind w:left="119" w:right="408"/>
                  </w:pPr>
                  <w:r w:rsidRPr="00800E3C">
                    <w:lastRenderedPageBreak/>
                    <w:t>Public officers</w:t>
                  </w:r>
                </w:p>
                <w:p w14:paraId="75A540A8" w14:textId="77777777" w:rsidR="00FE2334" w:rsidRPr="00800E3C" w:rsidRDefault="00FE2334" w:rsidP="00AF1535">
                  <w:pPr>
                    <w:spacing w:after="0" w:line="312" w:lineRule="auto"/>
                    <w:ind w:left="119" w:right="408"/>
                  </w:pPr>
                  <w:r w:rsidRPr="00800E3C">
                    <w:t>Suppliers</w:t>
                  </w:r>
                </w:p>
                <w:p w14:paraId="5FAE522F" w14:textId="77777777" w:rsidR="00FE2334" w:rsidRPr="00800E3C" w:rsidRDefault="00FE2334" w:rsidP="00AF1535">
                  <w:pPr>
                    <w:spacing w:after="0" w:line="312" w:lineRule="auto"/>
                    <w:ind w:left="119" w:right="408"/>
                  </w:pPr>
                  <w:r w:rsidRPr="00800E3C">
                    <w:t>Website end users</w:t>
                  </w:r>
                </w:p>
              </w:tc>
            </w:tr>
          </w:tbl>
          <w:p w14:paraId="6FF08D66"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p>
        </w:tc>
      </w:tr>
      <w:bookmarkEnd w:id="4"/>
      <w:tr w:rsidR="009C53CE" w:rsidRPr="009C53CE" w14:paraId="0C0E5186"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810FF4" w:rsidRPr="009C53CE" w:rsidRDefault="00810FF4" w:rsidP="00CB44F1">
            <w:pPr>
              <w:ind w:left="0"/>
              <w:rPr>
                <w:b/>
              </w:rPr>
            </w:pPr>
            <w:r w:rsidRPr="009C53CE">
              <w:rPr>
                <w:b/>
              </w:rPr>
              <w:lastRenderedPageBreak/>
              <w:t>10.16</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061BC2E8" w14:textId="210AD483" w:rsidR="00810FF4" w:rsidRPr="009C53CE" w:rsidRDefault="00810FF4" w:rsidP="00CB44F1">
            <w:pPr>
              <w:ind w:left="0"/>
              <w:rPr>
                <w:b/>
              </w:rPr>
            </w:pPr>
            <w:r w:rsidRPr="009C53CE">
              <w:rPr>
                <w:b/>
              </w:rPr>
              <w:t>MOD DEFCONs and DEFFORM</w:t>
            </w:r>
          </w:p>
          <w:p w14:paraId="3544E5FE" w14:textId="77777777" w:rsidR="00810FF4" w:rsidRPr="009C53CE" w:rsidRDefault="00810FF4" w:rsidP="00CB44F1">
            <w:pPr>
              <w:ind w:left="0"/>
            </w:pPr>
            <w:r w:rsidRPr="009C53CE">
              <w:t>Call Off Schedule 15</w:t>
            </w:r>
          </w:p>
          <w:p w14:paraId="7210ECE2" w14:textId="4AE25A57" w:rsidR="00810FF4" w:rsidRPr="009C53CE" w:rsidRDefault="00810FF4" w:rsidP="00CB44F1">
            <w:pPr>
              <w:ind w:left="0"/>
            </w:pPr>
            <w:r w:rsidRPr="009C53CE">
              <w:t>Not applicable</w:t>
            </w:r>
          </w:p>
        </w:tc>
      </w:tr>
    </w:tbl>
    <w:p w14:paraId="655D7FC0" w14:textId="0F537E4D" w:rsidR="0061276A" w:rsidRPr="009C53CE" w:rsidRDefault="0061276A">
      <w:pPr>
        <w:ind w:left="0"/>
      </w:pPr>
    </w:p>
    <w:p w14:paraId="22E33491" w14:textId="77777777" w:rsidR="004D4A61" w:rsidRPr="009C53CE" w:rsidRDefault="004D4A61">
      <w:pPr>
        <w:overflowPunct/>
        <w:autoSpaceDE/>
        <w:autoSpaceDN/>
        <w:adjustRightInd/>
        <w:spacing w:after="0"/>
        <w:ind w:left="0"/>
        <w:jc w:val="left"/>
        <w:textAlignment w:val="auto"/>
        <w:rPr>
          <w:b/>
        </w:rPr>
      </w:pPr>
      <w:r w:rsidRPr="009C53CE">
        <w:rPr>
          <w:b/>
        </w:rPr>
        <w:br w:type="page"/>
      </w:r>
    </w:p>
    <w:p w14:paraId="518CD758" w14:textId="2D18939A" w:rsidR="004E05DC" w:rsidRPr="009C53CE" w:rsidRDefault="00F770DB">
      <w:pPr>
        <w:ind w:left="0"/>
        <w:rPr>
          <w:b/>
        </w:rPr>
      </w:pPr>
      <w:r w:rsidRPr="009C53CE">
        <w:rPr>
          <w:b/>
        </w:rPr>
        <w:lastRenderedPageBreak/>
        <w:t>FORMATION OF CALL OFF CONTRACT</w:t>
      </w:r>
    </w:p>
    <w:p w14:paraId="232E1959" w14:textId="77777777" w:rsidR="004E05DC" w:rsidRPr="009C53CE" w:rsidRDefault="00F770DB">
      <w:pPr>
        <w:ind w:left="0"/>
        <w:rPr>
          <w:b/>
        </w:rPr>
      </w:pPr>
      <w:r w:rsidRPr="009C53CE">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9C53CE" w:rsidRDefault="00F770DB">
      <w:pPr>
        <w:ind w:left="0"/>
        <w:rPr>
          <w:b/>
        </w:rPr>
      </w:pPr>
      <w:r w:rsidRPr="009C53CE">
        <w:rPr>
          <w:b/>
        </w:rPr>
        <w:t>The Parties hereby acknowledge and agree that they have read the Call Off Order Form and the Call Off Terms and by signing below agree to be bound by this Call Off Contract.</w:t>
      </w:r>
    </w:p>
    <w:p w14:paraId="1F97FD22" w14:textId="77777777" w:rsidR="004E05DC" w:rsidRPr="009C53CE" w:rsidRDefault="00F770DB">
      <w:pPr>
        <w:ind w:left="0"/>
        <w:rPr>
          <w:b/>
        </w:rPr>
      </w:pPr>
      <w:r w:rsidRPr="009C53CE">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9C53CE" w:rsidRPr="009C53CE" w14:paraId="5D0EED3C" w14:textId="77777777">
        <w:tc>
          <w:tcPr>
            <w:tcW w:w="9198" w:type="dxa"/>
            <w:gridSpan w:val="2"/>
            <w:tcBorders>
              <w:top w:val="nil"/>
              <w:left w:val="nil"/>
              <w:bottom w:val="single" w:sz="4" w:space="0" w:color="auto"/>
              <w:right w:val="nil"/>
            </w:tcBorders>
          </w:tcPr>
          <w:p w14:paraId="24D6BC9F" w14:textId="77777777" w:rsidR="004E05DC" w:rsidRPr="009C53CE" w:rsidRDefault="00F770DB" w:rsidP="002440C8">
            <w:pPr>
              <w:pStyle w:val="MarginText"/>
              <w:ind w:left="-108"/>
              <w:rPr>
                <w:rFonts w:cs="Arial"/>
                <w:sz w:val="22"/>
                <w:szCs w:val="22"/>
              </w:rPr>
            </w:pPr>
            <w:r w:rsidRPr="009C53CE">
              <w:rPr>
                <w:rFonts w:cs="Arial"/>
                <w:b/>
                <w:sz w:val="22"/>
                <w:szCs w:val="22"/>
              </w:rPr>
              <w:t>For and on behalf of the Supplier:</w:t>
            </w:r>
          </w:p>
        </w:tc>
      </w:tr>
      <w:tr w:rsidR="009C53CE" w:rsidRPr="009C53CE"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9C53CE" w:rsidRDefault="00F770DB">
            <w:pPr>
              <w:pStyle w:val="MarginText"/>
              <w:rPr>
                <w:rFonts w:cs="Arial"/>
                <w:sz w:val="22"/>
                <w:szCs w:val="22"/>
              </w:rPr>
            </w:pPr>
            <w:r w:rsidRPr="009C53CE">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77777777" w:rsidR="004E05DC" w:rsidRPr="009C53CE" w:rsidRDefault="004E05DC">
            <w:pPr>
              <w:pStyle w:val="MarginText"/>
              <w:rPr>
                <w:rFonts w:cs="Arial"/>
                <w:sz w:val="22"/>
                <w:szCs w:val="22"/>
              </w:rPr>
            </w:pPr>
          </w:p>
        </w:tc>
      </w:tr>
      <w:tr w:rsidR="009C53CE" w:rsidRPr="009C53CE"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9C53CE" w:rsidRDefault="00F770DB">
            <w:pPr>
              <w:pStyle w:val="MarginText"/>
              <w:rPr>
                <w:rFonts w:cs="Arial"/>
                <w:sz w:val="22"/>
                <w:szCs w:val="22"/>
              </w:rPr>
            </w:pPr>
            <w:r w:rsidRPr="009C53CE">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77777777" w:rsidR="004E05DC" w:rsidRPr="009C53CE" w:rsidRDefault="004E05DC">
            <w:pPr>
              <w:pStyle w:val="MarginText"/>
              <w:rPr>
                <w:rFonts w:cs="Arial"/>
                <w:sz w:val="22"/>
                <w:szCs w:val="22"/>
              </w:rPr>
            </w:pPr>
          </w:p>
        </w:tc>
      </w:tr>
      <w:tr w:rsidR="009C53CE" w:rsidRPr="009C53CE"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9C53CE" w:rsidRDefault="00F770DB">
            <w:pPr>
              <w:pStyle w:val="MarginText"/>
              <w:rPr>
                <w:rFonts w:cs="Arial"/>
                <w:sz w:val="22"/>
                <w:szCs w:val="22"/>
              </w:rPr>
            </w:pPr>
            <w:r w:rsidRPr="009C53CE">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7777777" w:rsidR="004E05DC" w:rsidRPr="009C53CE" w:rsidRDefault="004E05DC">
            <w:pPr>
              <w:pStyle w:val="MarginText"/>
              <w:rPr>
                <w:rFonts w:cs="Arial"/>
                <w:sz w:val="22"/>
                <w:szCs w:val="22"/>
              </w:rPr>
            </w:pPr>
          </w:p>
        </w:tc>
      </w:tr>
      <w:tr w:rsidR="009C53CE" w:rsidRPr="009C53CE" w14:paraId="31235B77" w14:textId="77777777">
        <w:tc>
          <w:tcPr>
            <w:tcW w:w="9198" w:type="dxa"/>
            <w:gridSpan w:val="2"/>
            <w:tcBorders>
              <w:top w:val="nil"/>
              <w:left w:val="nil"/>
              <w:bottom w:val="single" w:sz="4" w:space="0" w:color="auto"/>
              <w:right w:val="nil"/>
            </w:tcBorders>
          </w:tcPr>
          <w:p w14:paraId="16A4EE37" w14:textId="77777777" w:rsidR="00E93D4C" w:rsidRPr="009C53CE" w:rsidRDefault="00E93D4C">
            <w:pPr>
              <w:pStyle w:val="MarginText"/>
              <w:rPr>
                <w:rFonts w:cs="Arial"/>
                <w:b/>
                <w:sz w:val="22"/>
                <w:szCs w:val="22"/>
              </w:rPr>
            </w:pPr>
          </w:p>
          <w:p w14:paraId="3252E4E1" w14:textId="77777777" w:rsidR="004E05DC" w:rsidRPr="009C53CE" w:rsidRDefault="00F770DB" w:rsidP="002440C8">
            <w:pPr>
              <w:pStyle w:val="MarginText"/>
              <w:ind w:left="-108"/>
              <w:rPr>
                <w:rFonts w:cs="Arial"/>
                <w:sz w:val="22"/>
                <w:szCs w:val="22"/>
              </w:rPr>
            </w:pPr>
            <w:r w:rsidRPr="009C53CE">
              <w:rPr>
                <w:rFonts w:cs="Arial"/>
                <w:b/>
                <w:sz w:val="22"/>
                <w:szCs w:val="22"/>
              </w:rPr>
              <w:t>For and on behalf of the Customer:</w:t>
            </w:r>
          </w:p>
        </w:tc>
      </w:tr>
      <w:tr w:rsidR="009C53CE" w:rsidRPr="009C53CE"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9C53CE" w:rsidRDefault="00F770DB">
            <w:pPr>
              <w:pStyle w:val="MarginText"/>
              <w:rPr>
                <w:rFonts w:cs="Arial"/>
                <w:sz w:val="22"/>
                <w:szCs w:val="22"/>
              </w:rPr>
            </w:pPr>
            <w:r w:rsidRPr="009C53CE">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77777777" w:rsidR="004E05DC" w:rsidRPr="009C53CE" w:rsidRDefault="004E05DC">
            <w:pPr>
              <w:pStyle w:val="MarginText"/>
              <w:rPr>
                <w:rFonts w:cs="Arial"/>
                <w:sz w:val="22"/>
                <w:szCs w:val="22"/>
              </w:rPr>
            </w:pPr>
          </w:p>
        </w:tc>
      </w:tr>
      <w:tr w:rsidR="009C53CE" w:rsidRPr="009C53CE"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9C53CE" w:rsidRDefault="00F770DB">
            <w:pPr>
              <w:pStyle w:val="MarginText"/>
              <w:rPr>
                <w:rFonts w:cs="Arial"/>
                <w:sz w:val="22"/>
                <w:szCs w:val="22"/>
              </w:rPr>
            </w:pPr>
            <w:r w:rsidRPr="009C53CE">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77777777" w:rsidR="004E05DC" w:rsidRPr="009C53CE" w:rsidRDefault="004E05DC">
            <w:pPr>
              <w:pStyle w:val="MarginText"/>
              <w:rPr>
                <w:rFonts w:cs="Arial"/>
                <w:sz w:val="22"/>
                <w:szCs w:val="22"/>
              </w:rPr>
            </w:pPr>
          </w:p>
        </w:tc>
      </w:tr>
      <w:tr w:rsidR="004E05DC" w:rsidRPr="009C53CE"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9C53CE" w:rsidRDefault="00F770DB">
            <w:pPr>
              <w:pStyle w:val="MarginText"/>
              <w:rPr>
                <w:rFonts w:cs="Arial"/>
                <w:sz w:val="22"/>
                <w:szCs w:val="22"/>
              </w:rPr>
            </w:pPr>
            <w:r w:rsidRPr="009C53CE">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7777777" w:rsidR="004E05DC" w:rsidRPr="009C53CE" w:rsidRDefault="004E05DC">
            <w:pPr>
              <w:pStyle w:val="MarginText"/>
              <w:rPr>
                <w:rFonts w:cs="Arial"/>
                <w:sz w:val="22"/>
                <w:szCs w:val="22"/>
              </w:rPr>
            </w:pPr>
          </w:p>
        </w:tc>
      </w:tr>
    </w:tbl>
    <w:p w14:paraId="0D5F80B7" w14:textId="270B510C" w:rsidR="00F763AE" w:rsidRPr="009C53CE" w:rsidRDefault="00F763AE" w:rsidP="00F763AE">
      <w:pPr>
        <w:pStyle w:val="TOC1"/>
      </w:pPr>
    </w:p>
    <w:p w14:paraId="7831093B" w14:textId="0C3C0E67" w:rsidR="000731CD" w:rsidRPr="009C53CE" w:rsidRDefault="000731CD">
      <w:pPr>
        <w:overflowPunct/>
        <w:autoSpaceDE/>
        <w:autoSpaceDN/>
        <w:adjustRightInd/>
        <w:spacing w:after="0"/>
        <w:ind w:left="0"/>
        <w:jc w:val="left"/>
        <w:textAlignment w:val="auto"/>
        <w:rPr>
          <w:lang w:eastAsia="en-GB"/>
        </w:rPr>
      </w:pPr>
      <w:r w:rsidRPr="009C53CE">
        <w:rPr>
          <w:lang w:eastAsia="en-GB"/>
        </w:rPr>
        <w:br w:type="page"/>
      </w:r>
    </w:p>
    <w:p w14:paraId="0688A881" w14:textId="1561702D" w:rsidR="000731CD" w:rsidRPr="00265BF4" w:rsidRDefault="000731CD" w:rsidP="000731CD">
      <w:pPr>
        <w:pStyle w:val="TOC1"/>
      </w:pPr>
      <w:r w:rsidRPr="00265BF4">
        <w:lastRenderedPageBreak/>
        <w:t>Annex 1 –  Details of key performance indicators which are required to be delivered by Supplier as part of the Services listed in Section 2.1 of this Call Off Order Form</w:t>
      </w:r>
    </w:p>
    <w:p w14:paraId="43B50626" w14:textId="77777777" w:rsidR="000731CD" w:rsidRPr="00265BF4" w:rsidRDefault="000731CD" w:rsidP="000731CD">
      <w:pPr>
        <w:rPr>
          <w:lang w:eastAsia="en-GB"/>
        </w:rPr>
      </w:pPr>
    </w:p>
    <w:p w14:paraId="12B9BCDE" w14:textId="77777777" w:rsidR="000731CD" w:rsidRPr="00265BF4" w:rsidRDefault="000731CD" w:rsidP="000731CD">
      <w:pPr>
        <w:ind w:left="0"/>
        <w:jc w:val="left"/>
        <w:rPr>
          <w:b/>
          <w:bCs/>
        </w:rPr>
      </w:pPr>
      <w:r w:rsidRPr="00265BF4">
        <w:rPr>
          <w:b/>
          <w:bCs/>
        </w:rPr>
        <w:t>Key performance indicators</w:t>
      </w:r>
    </w:p>
    <w:p w14:paraId="7A8F5B0D" w14:textId="77777777" w:rsidR="000731CD" w:rsidRPr="00265BF4" w:rsidRDefault="000731CD" w:rsidP="000731CD">
      <w:pPr>
        <w:pStyle w:val="ListParagraph"/>
        <w:numPr>
          <w:ilvl w:val="0"/>
          <w:numId w:val="103"/>
        </w:numPr>
      </w:pPr>
      <w:r w:rsidRPr="00265BF4">
        <w:t>From the Commencement Date and during the Call Off Contract Term, the Supplier shall meet or exceed the following key performance indicators:</w:t>
      </w:r>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1421"/>
        <w:gridCol w:w="2130"/>
        <w:gridCol w:w="1139"/>
        <w:gridCol w:w="1704"/>
        <w:gridCol w:w="1707"/>
      </w:tblGrid>
      <w:tr w:rsidR="009C53CE" w:rsidRPr="00265BF4" w14:paraId="06735682" w14:textId="77777777" w:rsidTr="009A7CCA">
        <w:trPr>
          <w:tblHeader/>
        </w:trPr>
        <w:tc>
          <w:tcPr>
            <w:tcW w:w="326" w:type="pct"/>
            <w:tcBorders>
              <w:bottom w:val="single" w:sz="4" w:space="0" w:color="auto"/>
            </w:tcBorders>
            <w:shd w:val="clear" w:color="auto" w:fill="D9D9D9"/>
          </w:tcPr>
          <w:p w14:paraId="68A4E9B9" w14:textId="77777777" w:rsidR="000731CD" w:rsidRPr="00265BF4" w:rsidRDefault="000731CD" w:rsidP="009A7CCA">
            <w:pPr>
              <w:pStyle w:val="Table-Text"/>
              <w:rPr>
                <w:rFonts w:ascii="Arial" w:hAnsi="Arial" w:cs="Arial"/>
                <w:b/>
                <w:szCs w:val="22"/>
              </w:rPr>
            </w:pPr>
            <w:r w:rsidRPr="00265BF4">
              <w:rPr>
                <w:rFonts w:ascii="Arial" w:hAnsi="Arial" w:cs="Arial"/>
                <w:b/>
                <w:szCs w:val="22"/>
              </w:rPr>
              <w:t>No.</w:t>
            </w:r>
          </w:p>
        </w:tc>
        <w:tc>
          <w:tcPr>
            <w:tcW w:w="820" w:type="pct"/>
            <w:tcBorders>
              <w:bottom w:val="single" w:sz="4" w:space="0" w:color="auto"/>
            </w:tcBorders>
            <w:shd w:val="clear" w:color="auto" w:fill="D9D9D9"/>
          </w:tcPr>
          <w:p w14:paraId="19A73C8B" w14:textId="77777777" w:rsidR="000731CD" w:rsidRPr="00265BF4" w:rsidRDefault="000731CD" w:rsidP="009A7CCA">
            <w:pPr>
              <w:pStyle w:val="Table-Text"/>
              <w:rPr>
                <w:rFonts w:ascii="Arial" w:hAnsi="Arial" w:cs="Arial"/>
                <w:b/>
                <w:szCs w:val="22"/>
              </w:rPr>
            </w:pPr>
            <w:r w:rsidRPr="00265BF4">
              <w:rPr>
                <w:rFonts w:ascii="Arial" w:hAnsi="Arial" w:cs="Arial"/>
                <w:b/>
                <w:szCs w:val="22"/>
              </w:rPr>
              <w:t>Subsidiary Performance Indicator Title</w:t>
            </w:r>
          </w:p>
        </w:tc>
        <w:tc>
          <w:tcPr>
            <w:tcW w:w="1229" w:type="pct"/>
            <w:tcBorders>
              <w:bottom w:val="single" w:sz="4" w:space="0" w:color="auto"/>
            </w:tcBorders>
            <w:shd w:val="clear" w:color="auto" w:fill="D9D9D9"/>
          </w:tcPr>
          <w:p w14:paraId="3FCA6E46" w14:textId="77777777" w:rsidR="000731CD" w:rsidRPr="00265BF4" w:rsidRDefault="000731CD" w:rsidP="009A7CCA">
            <w:pPr>
              <w:pStyle w:val="Table-Text"/>
              <w:rPr>
                <w:rFonts w:ascii="Arial" w:hAnsi="Arial" w:cs="Arial"/>
                <w:b/>
                <w:szCs w:val="22"/>
              </w:rPr>
            </w:pPr>
            <w:r w:rsidRPr="00265BF4">
              <w:rPr>
                <w:rFonts w:ascii="Arial" w:hAnsi="Arial" w:cs="Arial"/>
                <w:b/>
                <w:szCs w:val="22"/>
              </w:rPr>
              <w:t>Definition</w:t>
            </w:r>
          </w:p>
        </w:tc>
        <w:tc>
          <w:tcPr>
            <w:tcW w:w="657" w:type="pct"/>
            <w:tcBorders>
              <w:bottom w:val="single" w:sz="4" w:space="0" w:color="auto"/>
            </w:tcBorders>
            <w:shd w:val="clear" w:color="auto" w:fill="D9D9D9"/>
          </w:tcPr>
          <w:p w14:paraId="53F53BBC" w14:textId="77777777" w:rsidR="000731CD" w:rsidRPr="00265BF4" w:rsidDel="003A0FED" w:rsidRDefault="000731CD" w:rsidP="009A7CCA">
            <w:pPr>
              <w:pStyle w:val="Table-Text"/>
              <w:rPr>
                <w:rFonts w:ascii="Arial" w:hAnsi="Arial" w:cs="Arial"/>
                <w:b/>
                <w:szCs w:val="22"/>
              </w:rPr>
            </w:pPr>
            <w:r w:rsidRPr="00265BF4">
              <w:rPr>
                <w:rFonts w:ascii="Arial" w:hAnsi="Arial" w:cs="Arial"/>
                <w:b/>
                <w:szCs w:val="22"/>
              </w:rPr>
              <w:t>Formula</w:t>
            </w:r>
          </w:p>
        </w:tc>
        <w:tc>
          <w:tcPr>
            <w:tcW w:w="983" w:type="pct"/>
            <w:tcBorders>
              <w:bottom w:val="single" w:sz="4" w:space="0" w:color="auto"/>
            </w:tcBorders>
            <w:shd w:val="clear" w:color="auto" w:fill="D9D9D9"/>
          </w:tcPr>
          <w:p w14:paraId="02018001" w14:textId="77777777" w:rsidR="000731CD" w:rsidRPr="00265BF4" w:rsidDel="003A0FED" w:rsidRDefault="000731CD" w:rsidP="009A7CCA">
            <w:pPr>
              <w:pStyle w:val="Table-Text"/>
              <w:rPr>
                <w:rFonts w:ascii="Arial" w:hAnsi="Arial" w:cs="Arial"/>
                <w:b/>
                <w:szCs w:val="22"/>
              </w:rPr>
            </w:pPr>
            <w:r w:rsidRPr="00265BF4">
              <w:rPr>
                <w:rFonts w:ascii="Arial" w:hAnsi="Arial" w:cs="Arial"/>
                <w:b/>
                <w:szCs w:val="22"/>
              </w:rPr>
              <w:t>A</w:t>
            </w:r>
          </w:p>
        </w:tc>
        <w:tc>
          <w:tcPr>
            <w:tcW w:w="985" w:type="pct"/>
            <w:tcBorders>
              <w:bottom w:val="single" w:sz="4" w:space="0" w:color="auto"/>
            </w:tcBorders>
            <w:shd w:val="clear" w:color="auto" w:fill="D9D9D9"/>
          </w:tcPr>
          <w:p w14:paraId="0E985EA3" w14:textId="77777777" w:rsidR="000731CD" w:rsidRPr="00265BF4" w:rsidDel="003A0FED" w:rsidRDefault="000731CD" w:rsidP="009A7CCA">
            <w:pPr>
              <w:pStyle w:val="Table-Text"/>
              <w:rPr>
                <w:rFonts w:ascii="Arial" w:hAnsi="Arial" w:cs="Arial"/>
                <w:b/>
                <w:szCs w:val="22"/>
              </w:rPr>
            </w:pPr>
            <w:r w:rsidRPr="00265BF4">
              <w:rPr>
                <w:rFonts w:ascii="Arial" w:hAnsi="Arial" w:cs="Arial"/>
                <w:b/>
                <w:szCs w:val="22"/>
              </w:rPr>
              <w:t>B</w:t>
            </w:r>
          </w:p>
        </w:tc>
      </w:tr>
      <w:tr w:rsidR="009C53CE" w:rsidRPr="00265BF4" w14:paraId="5B16587A" w14:textId="77777777" w:rsidTr="009A7CCA">
        <w:trPr>
          <w:trHeight w:val="880"/>
        </w:trPr>
        <w:tc>
          <w:tcPr>
            <w:tcW w:w="326" w:type="pct"/>
            <w:tcBorders>
              <w:top w:val="nil"/>
              <w:bottom w:val="single" w:sz="4" w:space="0" w:color="auto"/>
            </w:tcBorders>
          </w:tcPr>
          <w:p w14:paraId="11CA61B1" w14:textId="77777777" w:rsidR="000731CD" w:rsidRPr="00265BF4" w:rsidRDefault="000731CD" w:rsidP="009A7CCA">
            <w:pPr>
              <w:pStyle w:val="Table-Text"/>
              <w:rPr>
                <w:rFonts w:ascii="Arial" w:hAnsi="Arial" w:cs="Arial"/>
                <w:szCs w:val="22"/>
              </w:rPr>
            </w:pPr>
            <w:r w:rsidRPr="00265BF4">
              <w:rPr>
                <w:rFonts w:ascii="Arial" w:hAnsi="Arial" w:cs="Arial"/>
                <w:szCs w:val="22"/>
              </w:rPr>
              <w:t>1</w:t>
            </w:r>
          </w:p>
        </w:tc>
        <w:tc>
          <w:tcPr>
            <w:tcW w:w="820" w:type="pct"/>
            <w:tcBorders>
              <w:top w:val="nil"/>
              <w:bottom w:val="single" w:sz="4" w:space="0" w:color="auto"/>
            </w:tcBorders>
          </w:tcPr>
          <w:p w14:paraId="1C127A13" w14:textId="77777777" w:rsidR="000731CD" w:rsidRPr="00265BF4" w:rsidRDefault="000731CD" w:rsidP="009A7CCA">
            <w:pPr>
              <w:pStyle w:val="MarginText"/>
              <w:spacing w:before="120"/>
              <w:rPr>
                <w:rFonts w:cs="Arial"/>
                <w:sz w:val="22"/>
                <w:szCs w:val="22"/>
              </w:rPr>
            </w:pPr>
            <w:r w:rsidRPr="00265BF4">
              <w:rPr>
                <w:rFonts w:cs="Arial"/>
                <w:sz w:val="22"/>
                <w:szCs w:val="22"/>
              </w:rPr>
              <w:t xml:space="preserve">On Time Timesheet Submission </w:t>
            </w:r>
          </w:p>
        </w:tc>
        <w:tc>
          <w:tcPr>
            <w:tcW w:w="1229" w:type="pct"/>
            <w:tcBorders>
              <w:bottom w:val="single" w:sz="4" w:space="0" w:color="auto"/>
            </w:tcBorders>
          </w:tcPr>
          <w:p w14:paraId="0BE1FC47" w14:textId="77777777" w:rsidR="000731CD" w:rsidRPr="00265BF4" w:rsidRDefault="000731CD" w:rsidP="009A7CCA">
            <w:pPr>
              <w:pStyle w:val="Table-Text"/>
              <w:rPr>
                <w:rFonts w:ascii="Arial" w:hAnsi="Arial" w:cs="Arial"/>
                <w:szCs w:val="22"/>
              </w:rPr>
            </w:pPr>
            <w:r w:rsidRPr="00265BF4">
              <w:rPr>
                <w:rFonts w:ascii="Arial" w:hAnsi="Arial" w:cs="Arial"/>
                <w:szCs w:val="22"/>
              </w:rPr>
              <w:t>99% of all timesheets detailing all billable work completed in the relevant KPI Measurement Period are completed and issued to the Customer On Time</w:t>
            </w:r>
          </w:p>
          <w:p w14:paraId="7797ED4E" w14:textId="77777777" w:rsidR="000731CD" w:rsidRPr="00265BF4" w:rsidRDefault="000731CD" w:rsidP="009A7CCA">
            <w:pPr>
              <w:pStyle w:val="Table-Text"/>
              <w:rPr>
                <w:rFonts w:ascii="Arial" w:hAnsi="Arial" w:cs="Arial"/>
                <w:szCs w:val="22"/>
              </w:rPr>
            </w:pPr>
            <w:r w:rsidRPr="00265BF4">
              <w:rPr>
                <w:rFonts w:ascii="Arial" w:hAnsi="Arial" w:cs="Arial"/>
                <w:szCs w:val="22"/>
              </w:rPr>
              <w:t>Where “</w:t>
            </w:r>
            <w:r w:rsidRPr="00265BF4">
              <w:rPr>
                <w:rFonts w:ascii="Arial" w:hAnsi="Arial" w:cs="Arial"/>
                <w:b/>
                <w:bCs/>
                <w:szCs w:val="22"/>
              </w:rPr>
              <w:t>On Time</w:t>
            </w:r>
            <w:r w:rsidRPr="00265BF4">
              <w:rPr>
                <w:rFonts w:ascii="Arial" w:hAnsi="Arial" w:cs="Arial"/>
                <w:szCs w:val="22"/>
              </w:rPr>
              <w:t xml:space="preserve">” means within five (5) Working Days of the end of the relevant KPI Measurement Period  </w:t>
            </w:r>
          </w:p>
        </w:tc>
        <w:tc>
          <w:tcPr>
            <w:tcW w:w="657" w:type="pct"/>
            <w:tcBorders>
              <w:bottom w:val="single" w:sz="4" w:space="0" w:color="auto"/>
            </w:tcBorders>
          </w:tcPr>
          <w:p w14:paraId="1A77CE69" w14:textId="77777777" w:rsidR="000731CD" w:rsidRPr="00265BF4" w:rsidRDefault="000731CD" w:rsidP="009A7CCA">
            <w:pPr>
              <w:pStyle w:val="Table-Text"/>
              <w:rPr>
                <w:rFonts w:ascii="Arial" w:hAnsi="Arial" w:cs="Arial"/>
                <w:szCs w:val="22"/>
              </w:rPr>
            </w:pPr>
            <w:r w:rsidRPr="00265BF4">
              <w:rPr>
                <w:rFonts w:ascii="Arial" w:hAnsi="Arial" w:cs="Arial"/>
                <w:szCs w:val="22"/>
              </w:rPr>
              <w:t>(A/B)x100</w:t>
            </w:r>
          </w:p>
        </w:tc>
        <w:tc>
          <w:tcPr>
            <w:tcW w:w="983" w:type="pct"/>
            <w:tcBorders>
              <w:bottom w:val="single" w:sz="4" w:space="0" w:color="auto"/>
            </w:tcBorders>
          </w:tcPr>
          <w:p w14:paraId="01365C67" w14:textId="77777777" w:rsidR="000731CD" w:rsidRPr="00265BF4" w:rsidRDefault="000731CD" w:rsidP="009A7CCA">
            <w:pPr>
              <w:pStyle w:val="Table-Text"/>
              <w:rPr>
                <w:rFonts w:ascii="Arial" w:hAnsi="Arial" w:cs="Arial"/>
                <w:szCs w:val="22"/>
              </w:rPr>
            </w:pPr>
            <w:r w:rsidRPr="00265BF4">
              <w:rPr>
                <w:rFonts w:ascii="Arial" w:hAnsi="Arial" w:cs="Arial"/>
                <w:szCs w:val="22"/>
              </w:rPr>
              <w:t>Number of completed timesheets submitted On Time in the relevant KPI Measurement Period</w:t>
            </w:r>
          </w:p>
        </w:tc>
        <w:tc>
          <w:tcPr>
            <w:tcW w:w="985" w:type="pct"/>
            <w:tcBorders>
              <w:bottom w:val="single" w:sz="4" w:space="0" w:color="auto"/>
            </w:tcBorders>
          </w:tcPr>
          <w:p w14:paraId="1D838F1F" w14:textId="77777777" w:rsidR="000731CD" w:rsidRPr="00265BF4" w:rsidRDefault="000731CD" w:rsidP="009A7CCA">
            <w:pPr>
              <w:pStyle w:val="Table-Text"/>
              <w:rPr>
                <w:rFonts w:ascii="Arial" w:hAnsi="Arial" w:cs="Arial"/>
                <w:szCs w:val="22"/>
              </w:rPr>
            </w:pPr>
            <w:r w:rsidRPr="00265BF4">
              <w:rPr>
                <w:rFonts w:ascii="Arial" w:hAnsi="Arial" w:cs="Arial"/>
                <w:szCs w:val="22"/>
              </w:rPr>
              <w:t>Total number of completed timesheets submitted in the relevant KPI Measurement Period</w:t>
            </w:r>
          </w:p>
        </w:tc>
      </w:tr>
      <w:tr w:rsidR="000731CD" w:rsidRPr="00265BF4" w14:paraId="4028619A" w14:textId="77777777" w:rsidTr="009A7CCA">
        <w:tc>
          <w:tcPr>
            <w:tcW w:w="326" w:type="pct"/>
            <w:tcBorders>
              <w:top w:val="single" w:sz="4" w:space="0" w:color="auto"/>
              <w:bottom w:val="single" w:sz="4" w:space="0" w:color="auto"/>
            </w:tcBorders>
          </w:tcPr>
          <w:p w14:paraId="034D18DA" w14:textId="77777777" w:rsidR="000731CD" w:rsidRPr="00265BF4" w:rsidRDefault="000731CD" w:rsidP="009A7CCA">
            <w:pPr>
              <w:pStyle w:val="Table-Text"/>
              <w:rPr>
                <w:rFonts w:ascii="Arial" w:hAnsi="Arial" w:cs="Arial"/>
                <w:szCs w:val="22"/>
              </w:rPr>
            </w:pPr>
            <w:r w:rsidRPr="00265BF4">
              <w:rPr>
                <w:rFonts w:ascii="Arial" w:hAnsi="Arial" w:cs="Arial"/>
                <w:szCs w:val="22"/>
              </w:rPr>
              <w:t>2</w:t>
            </w:r>
          </w:p>
        </w:tc>
        <w:tc>
          <w:tcPr>
            <w:tcW w:w="820" w:type="pct"/>
            <w:tcBorders>
              <w:top w:val="single" w:sz="4" w:space="0" w:color="auto"/>
              <w:bottom w:val="single" w:sz="4" w:space="0" w:color="auto"/>
            </w:tcBorders>
          </w:tcPr>
          <w:p w14:paraId="3FBF1ACB" w14:textId="77777777" w:rsidR="000731CD" w:rsidRPr="00265BF4" w:rsidRDefault="000731CD" w:rsidP="009A7CCA">
            <w:pPr>
              <w:pStyle w:val="Table-Text"/>
              <w:rPr>
                <w:rFonts w:ascii="Arial" w:hAnsi="Arial" w:cs="Arial"/>
                <w:szCs w:val="22"/>
              </w:rPr>
            </w:pPr>
            <w:r w:rsidRPr="00265BF4">
              <w:rPr>
                <w:rFonts w:ascii="Arial" w:hAnsi="Arial" w:cs="Arial"/>
                <w:szCs w:val="22"/>
              </w:rPr>
              <w:t>Invoice Accuracy</w:t>
            </w:r>
          </w:p>
        </w:tc>
        <w:tc>
          <w:tcPr>
            <w:tcW w:w="1229" w:type="pct"/>
            <w:tcBorders>
              <w:top w:val="single" w:sz="4" w:space="0" w:color="auto"/>
              <w:bottom w:val="single" w:sz="4" w:space="0" w:color="auto"/>
            </w:tcBorders>
          </w:tcPr>
          <w:p w14:paraId="2173AF0C" w14:textId="77777777" w:rsidR="000731CD" w:rsidRPr="00265BF4" w:rsidRDefault="000731CD" w:rsidP="009A7CCA">
            <w:pPr>
              <w:pStyle w:val="Table-Text"/>
              <w:rPr>
                <w:rFonts w:ascii="Arial" w:hAnsi="Arial" w:cs="Arial"/>
                <w:szCs w:val="22"/>
              </w:rPr>
            </w:pPr>
            <w:r w:rsidRPr="00265BF4">
              <w:rPr>
                <w:rFonts w:ascii="Arial" w:hAnsi="Arial" w:cs="Arial"/>
                <w:szCs w:val="22"/>
              </w:rPr>
              <w:t>99% of all invoices submitted to the Customer for payment tin the relevant KPI Measurement Period are Accurate</w:t>
            </w:r>
          </w:p>
          <w:p w14:paraId="6E0F2CE8" w14:textId="77777777" w:rsidR="000731CD" w:rsidRPr="00265BF4" w:rsidRDefault="000731CD" w:rsidP="009A7CCA">
            <w:pPr>
              <w:pStyle w:val="Table-Text"/>
              <w:rPr>
                <w:rFonts w:ascii="Arial" w:hAnsi="Arial" w:cs="Arial"/>
                <w:szCs w:val="22"/>
              </w:rPr>
            </w:pPr>
            <w:r w:rsidRPr="00265BF4">
              <w:rPr>
                <w:rFonts w:ascii="Arial" w:hAnsi="Arial" w:cs="Arial"/>
                <w:szCs w:val="22"/>
              </w:rPr>
              <w:t>Where “</w:t>
            </w:r>
            <w:r w:rsidRPr="00265BF4">
              <w:rPr>
                <w:rFonts w:ascii="Arial" w:hAnsi="Arial" w:cs="Arial"/>
                <w:b/>
                <w:bCs/>
                <w:szCs w:val="22"/>
              </w:rPr>
              <w:t>Accurate</w:t>
            </w:r>
            <w:r w:rsidRPr="00265BF4">
              <w:rPr>
                <w:rFonts w:ascii="Arial" w:hAnsi="Arial" w:cs="Arial"/>
                <w:szCs w:val="22"/>
              </w:rPr>
              <w:t xml:space="preserve">” means that the amount specified in an invoice fully aligns to the supporting timesheets provided with such invoice(s). </w:t>
            </w:r>
          </w:p>
        </w:tc>
        <w:tc>
          <w:tcPr>
            <w:tcW w:w="657" w:type="pct"/>
            <w:tcBorders>
              <w:top w:val="single" w:sz="4" w:space="0" w:color="auto"/>
              <w:bottom w:val="single" w:sz="4" w:space="0" w:color="auto"/>
            </w:tcBorders>
          </w:tcPr>
          <w:p w14:paraId="573AC068" w14:textId="77777777" w:rsidR="000731CD" w:rsidRPr="00265BF4" w:rsidRDefault="000731CD" w:rsidP="009A7CCA">
            <w:pPr>
              <w:pStyle w:val="Table-Text"/>
              <w:rPr>
                <w:rFonts w:ascii="Arial" w:hAnsi="Arial" w:cs="Arial"/>
                <w:szCs w:val="22"/>
              </w:rPr>
            </w:pPr>
            <w:r w:rsidRPr="00265BF4">
              <w:rPr>
                <w:rFonts w:ascii="Arial" w:hAnsi="Arial" w:cs="Arial"/>
                <w:szCs w:val="22"/>
              </w:rPr>
              <w:t>(A/B)x100</w:t>
            </w:r>
          </w:p>
        </w:tc>
        <w:tc>
          <w:tcPr>
            <w:tcW w:w="983" w:type="pct"/>
            <w:tcBorders>
              <w:top w:val="single" w:sz="4" w:space="0" w:color="auto"/>
              <w:bottom w:val="single" w:sz="4" w:space="0" w:color="auto"/>
            </w:tcBorders>
          </w:tcPr>
          <w:p w14:paraId="03F44700" w14:textId="77777777" w:rsidR="000731CD" w:rsidRPr="00265BF4" w:rsidRDefault="000731CD" w:rsidP="009A7CCA">
            <w:pPr>
              <w:pStyle w:val="Table-Text"/>
              <w:rPr>
                <w:rFonts w:ascii="Arial" w:hAnsi="Arial" w:cs="Arial"/>
                <w:szCs w:val="22"/>
              </w:rPr>
            </w:pPr>
            <w:r w:rsidRPr="00265BF4">
              <w:rPr>
                <w:rFonts w:ascii="Arial" w:hAnsi="Arial" w:cs="Arial"/>
                <w:szCs w:val="22"/>
              </w:rPr>
              <w:t>Number of Accurate invoices submitted in the relevant KPI Measurement Period</w:t>
            </w:r>
          </w:p>
        </w:tc>
        <w:tc>
          <w:tcPr>
            <w:tcW w:w="985" w:type="pct"/>
            <w:tcBorders>
              <w:top w:val="single" w:sz="4" w:space="0" w:color="auto"/>
              <w:bottom w:val="single" w:sz="4" w:space="0" w:color="auto"/>
            </w:tcBorders>
          </w:tcPr>
          <w:p w14:paraId="4D549015" w14:textId="77777777" w:rsidR="000731CD" w:rsidRPr="00265BF4" w:rsidRDefault="000731CD" w:rsidP="009A7CCA">
            <w:pPr>
              <w:pStyle w:val="Table-Text"/>
              <w:rPr>
                <w:rFonts w:ascii="Arial" w:hAnsi="Arial" w:cs="Arial"/>
                <w:szCs w:val="22"/>
              </w:rPr>
            </w:pPr>
            <w:r w:rsidRPr="00265BF4">
              <w:rPr>
                <w:rFonts w:ascii="Arial" w:hAnsi="Arial" w:cs="Arial"/>
                <w:szCs w:val="22"/>
              </w:rPr>
              <w:t>Total number of invoices submitted in the relevant KPI Measurement Period</w:t>
            </w:r>
          </w:p>
        </w:tc>
      </w:tr>
    </w:tbl>
    <w:p w14:paraId="683520F7" w14:textId="77777777" w:rsidR="000731CD" w:rsidRPr="00265BF4" w:rsidRDefault="000731CD" w:rsidP="000731CD"/>
    <w:p w14:paraId="593EA3A2" w14:textId="0D1E899E" w:rsidR="000731CD" w:rsidRPr="00265BF4" w:rsidRDefault="000731CD" w:rsidP="000731CD">
      <w:pPr>
        <w:pStyle w:val="ListParagraph"/>
        <w:numPr>
          <w:ilvl w:val="0"/>
          <w:numId w:val="103"/>
        </w:numPr>
      </w:pPr>
      <w:r w:rsidRPr="00265BF4">
        <w:lastRenderedPageBreak/>
        <w:t xml:space="preserve">The Supplier shall measure performance against the key performance indicators on a </w:t>
      </w:r>
      <w:r w:rsidR="00265BF4" w:rsidRPr="00265BF4">
        <w:rPr>
          <w:bCs/>
          <w:i/>
          <w:iCs/>
        </w:rPr>
        <w:t xml:space="preserve">frequency </w:t>
      </w:r>
      <w:r w:rsidR="00864BD5" w:rsidRPr="00265BF4">
        <w:t xml:space="preserve">which will be confirmed by both parties during the duration of this </w:t>
      </w:r>
      <w:proofErr w:type="gramStart"/>
      <w:r w:rsidR="00A17ECF" w:rsidRPr="00265BF4">
        <w:t>contract.</w:t>
      </w:r>
      <w:r w:rsidRPr="00265BF4">
        <w:t>(</w:t>
      </w:r>
      <w:proofErr w:type="gramEnd"/>
      <w:r w:rsidRPr="00265BF4">
        <w:t>“</w:t>
      </w:r>
      <w:r w:rsidRPr="00265BF4">
        <w:rPr>
          <w:b/>
          <w:bCs/>
        </w:rPr>
        <w:t>KPI Measurement Period</w:t>
      </w:r>
      <w:r w:rsidRPr="00265BF4">
        <w:t xml:space="preserve">”). Within </w:t>
      </w:r>
      <w:r w:rsidR="00864BD5" w:rsidRPr="00265BF4">
        <w:t>a duration to be agreed by both parties during the course of this contract</w:t>
      </w:r>
      <w:r w:rsidRPr="00265BF4">
        <w:t xml:space="preserve"> the Supplier shall provide</w:t>
      </w:r>
      <w:bookmarkStart w:id="5" w:name="_Ref36043964"/>
      <w:r w:rsidRPr="00265BF4">
        <w:t xml:space="preserve"> a report to the Customer which summarises the performance by the Supplier against each of the key performance indicators (“</w:t>
      </w:r>
      <w:r w:rsidRPr="00265BF4">
        <w:rPr>
          <w:b/>
          <w:bCs/>
        </w:rPr>
        <w:t>KPI Performance Report</w:t>
      </w:r>
      <w:r w:rsidRPr="00265BF4">
        <w:t>”).</w:t>
      </w:r>
      <w:r w:rsidRPr="00265BF4">
        <w:rPr>
          <w:b/>
          <w:bCs/>
        </w:rPr>
        <w:t xml:space="preserve"> </w:t>
      </w:r>
      <w:bookmarkEnd w:id="5"/>
    </w:p>
    <w:p w14:paraId="53185A03" w14:textId="77777777" w:rsidR="000731CD" w:rsidRPr="00265BF4" w:rsidRDefault="000731CD" w:rsidP="000731CD">
      <w:pPr>
        <w:pStyle w:val="ListParagraph"/>
      </w:pPr>
    </w:p>
    <w:p w14:paraId="68420EF6" w14:textId="77777777" w:rsidR="000731CD" w:rsidRPr="00265BF4" w:rsidRDefault="000731CD" w:rsidP="000731CD">
      <w:pPr>
        <w:pStyle w:val="ListParagraph"/>
        <w:numPr>
          <w:ilvl w:val="0"/>
          <w:numId w:val="103"/>
        </w:numPr>
        <w:rPr>
          <w:b/>
          <w:bCs/>
        </w:rPr>
      </w:pPr>
      <w:r w:rsidRPr="00265BF4">
        <w:t>On a weekly basis the Supplier shall, at no additional cost to the Customer, provide a project report to the Customer setting out:</w:t>
      </w:r>
    </w:p>
    <w:p w14:paraId="4944E675" w14:textId="77777777" w:rsidR="000731CD" w:rsidRPr="00265BF4" w:rsidRDefault="000731CD" w:rsidP="000731CD">
      <w:pPr>
        <w:pStyle w:val="ListParagraph"/>
        <w:ind w:left="360"/>
        <w:rPr>
          <w:b/>
          <w:bCs/>
        </w:rPr>
      </w:pPr>
    </w:p>
    <w:p w14:paraId="7349F057" w14:textId="77777777" w:rsidR="000731CD" w:rsidRPr="00265BF4" w:rsidRDefault="000731CD" w:rsidP="000731CD">
      <w:pPr>
        <w:pStyle w:val="ListParagraph"/>
        <w:numPr>
          <w:ilvl w:val="1"/>
          <w:numId w:val="103"/>
        </w:numPr>
      </w:pPr>
      <w:r w:rsidRPr="00265BF4">
        <w:t>a summary of resources utilised: activities completed and cost assigned in the relevant week;</w:t>
      </w:r>
    </w:p>
    <w:p w14:paraId="769631A3" w14:textId="6F6195E9" w:rsidR="000731CD" w:rsidRPr="00265BF4" w:rsidRDefault="000731CD" w:rsidP="000731CD">
      <w:pPr>
        <w:pStyle w:val="ListParagraph"/>
        <w:numPr>
          <w:ilvl w:val="1"/>
          <w:numId w:val="103"/>
        </w:numPr>
      </w:pPr>
      <w:r w:rsidRPr="00265BF4">
        <w:t xml:space="preserve">a rolling forecast of resources required forthcoming </w:t>
      </w:r>
      <w:r w:rsidR="00A17ECF" w:rsidRPr="00265BF4">
        <w:t>14-day</w:t>
      </w:r>
      <w:r w:rsidRPr="00265BF4">
        <w:t xml:space="preserve"> period to enable the Customer to approve the anticipated costs;</w:t>
      </w:r>
    </w:p>
    <w:p w14:paraId="7AFB3A1D" w14:textId="77777777" w:rsidR="000731CD" w:rsidRPr="00265BF4" w:rsidRDefault="000731CD" w:rsidP="000731CD">
      <w:pPr>
        <w:pStyle w:val="ListParagraph"/>
        <w:numPr>
          <w:ilvl w:val="1"/>
          <w:numId w:val="103"/>
        </w:numPr>
      </w:pPr>
      <w:r w:rsidRPr="00265BF4">
        <w:t>all open and closed Actions;</w:t>
      </w:r>
    </w:p>
    <w:p w14:paraId="12F16D23" w14:textId="77777777" w:rsidR="000731CD" w:rsidRPr="00265BF4" w:rsidRDefault="000731CD" w:rsidP="000731CD">
      <w:pPr>
        <w:pStyle w:val="ListParagraph"/>
        <w:numPr>
          <w:ilvl w:val="1"/>
          <w:numId w:val="103"/>
        </w:numPr>
      </w:pPr>
      <w:r w:rsidRPr="00265BF4">
        <w:t>all open and closed Risks and Issues;</w:t>
      </w:r>
    </w:p>
    <w:p w14:paraId="52F4A245" w14:textId="77777777" w:rsidR="000731CD" w:rsidRPr="00265BF4" w:rsidRDefault="000731CD" w:rsidP="000731CD">
      <w:pPr>
        <w:pStyle w:val="ListParagraph"/>
        <w:numPr>
          <w:ilvl w:val="1"/>
          <w:numId w:val="103"/>
        </w:numPr>
      </w:pPr>
      <w:r w:rsidRPr="00265BF4">
        <w:t>Deliverables provided in the relevant week and any Deliverables scheduled to be delivered in that week which have not been delivered and the anticipated date for delivery;</w:t>
      </w:r>
    </w:p>
    <w:p w14:paraId="0E0200A5" w14:textId="77777777" w:rsidR="000731CD" w:rsidRPr="00265BF4" w:rsidRDefault="000731CD" w:rsidP="000731CD">
      <w:pPr>
        <w:pStyle w:val="ListParagraph"/>
        <w:numPr>
          <w:ilvl w:val="1"/>
          <w:numId w:val="103"/>
        </w:numPr>
      </w:pPr>
      <w:r w:rsidRPr="00265BF4">
        <w:t>Milestones achieved in the relevant week and any Milestones scheduled to be achieved in that week which have not been achieved and the anticipated date for achievement;</w:t>
      </w:r>
    </w:p>
    <w:p w14:paraId="7DDF69AB" w14:textId="77777777" w:rsidR="000731CD" w:rsidRPr="00265BF4" w:rsidRDefault="000731CD" w:rsidP="000731CD">
      <w:pPr>
        <w:pStyle w:val="ListParagraph"/>
        <w:numPr>
          <w:ilvl w:val="1"/>
          <w:numId w:val="103"/>
        </w:numPr>
      </w:pPr>
      <w:r w:rsidRPr="00265BF4">
        <w:t xml:space="preserve">any proposed changes to the Project Plan; </w:t>
      </w:r>
    </w:p>
    <w:p w14:paraId="7EE5BA01" w14:textId="77777777" w:rsidR="000731CD" w:rsidRPr="00265BF4" w:rsidRDefault="000731CD" w:rsidP="000731CD">
      <w:pPr>
        <w:pStyle w:val="ListParagraph"/>
        <w:ind w:left="360"/>
      </w:pPr>
    </w:p>
    <w:p w14:paraId="4E1DC65A" w14:textId="77777777" w:rsidR="000731CD" w:rsidRPr="00265BF4" w:rsidRDefault="000731CD" w:rsidP="000731CD">
      <w:pPr>
        <w:pStyle w:val="ListParagraph"/>
        <w:ind w:left="360"/>
      </w:pPr>
      <w:r w:rsidRPr="00265BF4">
        <w:t>Any errors or omissions in the report submissions identified in a report must be corrected by the Supplier within five (5) Working Days of the error/omission being identified.</w:t>
      </w:r>
    </w:p>
    <w:p w14:paraId="674F4CA0" w14:textId="77777777" w:rsidR="000731CD" w:rsidRPr="00265BF4" w:rsidRDefault="000731CD" w:rsidP="000731CD">
      <w:pPr>
        <w:pStyle w:val="ListParagraph"/>
        <w:ind w:left="360"/>
      </w:pPr>
    </w:p>
    <w:p w14:paraId="683B7F79" w14:textId="77777777" w:rsidR="000731CD" w:rsidRPr="00265BF4" w:rsidRDefault="000731CD" w:rsidP="000731CD">
      <w:pPr>
        <w:pStyle w:val="ListParagraph"/>
        <w:numPr>
          <w:ilvl w:val="0"/>
          <w:numId w:val="103"/>
        </w:numPr>
      </w:pPr>
      <w:r w:rsidRPr="00265BF4">
        <w:t>The Supplier shall have processes and systems in place to ensure costs and pricing are managed appropriately during the Call Off Contract Term and will ensure that an effective mix of the grades are assigned to a project team and managed during the Call Off Contract Term to deliver best value for money for the Customer.</w:t>
      </w:r>
    </w:p>
    <w:p w14:paraId="77014388" w14:textId="77777777" w:rsidR="000731CD" w:rsidRPr="00265BF4" w:rsidRDefault="000731CD" w:rsidP="000731CD">
      <w:pPr>
        <w:rPr>
          <w:lang w:eastAsia="en-GB"/>
        </w:rPr>
      </w:pPr>
    </w:p>
    <w:sectPr w:rsidR="000731CD" w:rsidRPr="00265BF4">
      <w:headerReference w:type="even" r:id="rId14"/>
      <w:headerReference w:type="default" r:id="rId15"/>
      <w:footerReference w:type="default" r:id="rId16"/>
      <w:footerReference w:type="first" r:id="rId17"/>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81985" w14:textId="77777777" w:rsidR="007731C5" w:rsidRDefault="007731C5">
      <w:r>
        <w:separator/>
      </w:r>
    </w:p>
    <w:p w14:paraId="45C7A87B" w14:textId="77777777" w:rsidR="007731C5" w:rsidRDefault="007731C5"/>
    <w:p w14:paraId="1797541F" w14:textId="77777777" w:rsidR="007731C5" w:rsidRDefault="007731C5"/>
    <w:p w14:paraId="2382F025" w14:textId="77777777" w:rsidR="007731C5" w:rsidRDefault="007731C5"/>
    <w:p w14:paraId="71438ED5" w14:textId="77777777" w:rsidR="007731C5" w:rsidRDefault="007731C5"/>
  </w:endnote>
  <w:endnote w:type="continuationSeparator" w:id="0">
    <w:p w14:paraId="662B57CE" w14:textId="77777777" w:rsidR="007731C5" w:rsidRDefault="007731C5">
      <w:r>
        <w:continuationSeparator/>
      </w:r>
    </w:p>
    <w:p w14:paraId="27D47492" w14:textId="77777777" w:rsidR="007731C5" w:rsidRDefault="007731C5"/>
    <w:p w14:paraId="1C88CCBF" w14:textId="77777777" w:rsidR="007731C5" w:rsidRDefault="007731C5"/>
    <w:p w14:paraId="47238EB5" w14:textId="77777777" w:rsidR="007731C5" w:rsidRDefault="007731C5"/>
    <w:p w14:paraId="3A268EFF" w14:textId="77777777" w:rsidR="007731C5" w:rsidRDefault="007731C5"/>
  </w:endnote>
  <w:endnote w:type="continuationNotice" w:id="1">
    <w:p w14:paraId="1E533418" w14:textId="77777777" w:rsidR="007731C5" w:rsidRDefault="007731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D0A1" w14:textId="77777777" w:rsidR="00A55A36" w:rsidRPr="00D53DEB" w:rsidRDefault="00A55A36"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54FD3511" w14:textId="7D7AC72D" w:rsidR="00A55A36" w:rsidRDefault="00A55A36"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w:t>
    </w:r>
    <w:r>
      <w:rPr>
        <w:sz w:val="16"/>
        <w:szCs w:val="16"/>
      </w:rPr>
      <w:t>Call Off</w:t>
    </w:r>
    <w:r w:rsidRPr="00D53DEB">
      <w:rPr>
        <w:sz w:val="16"/>
        <w:szCs w:val="16"/>
      </w:rPr>
      <w:t xml:space="preserve"> Order Form </w:t>
    </w:r>
  </w:p>
  <w:p w14:paraId="7D3C4483" w14:textId="598F9E9C" w:rsidR="00A55A36" w:rsidRDefault="00A55A36" w:rsidP="00054E54">
    <w:pPr>
      <w:pStyle w:val="Footer"/>
      <w:pBdr>
        <w:top w:val="single" w:sz="6" w:space="1" w:color="auto"/>
      </w:pBdr>
      <w:tabs>
        <w:tab w:val="right" w:pos="8647"/>
      </w:tabs>
      <w:ind w:left="0"/>
      <w:rPr>
        <w:sz w:val="16"/>
        <w:szCs w:val="16"/>
      </w:rPr>
    </w:pPr>
    <w:r>
      <w:rPr>
        <w:sz w:val="16"/>
        <w:szCs w:val="16"/>
      </w:rPr>
      <w:t>© Crown copyright 2018</w:t>
    </w:r>
  </w:p>
  <w:p w14:paraId="08DC505A" w14:textId="720526F0" w:rsidR="00A55A36" w:rsidRPr="00054E54" w:rsidRDefault="00A55A36">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AF1535">
      <w:rPr>
        <w:noProof/>
        <w:sz w:val="16"/>
        <w:szCs w:val="16"/>
      </w:rPr>
      <w:t>15</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F1CE" w14:textId="77777777" w:rsidR="00A55A36" w:rsidRDefault="00A55A36"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6A3806A0" w:rsidR="00A55A36" w:rsidRPr="004319D6" w:rsidRDefault="00A55A36" w:rsidP="00054E54">
    <w:pPr>
      <w:pStyle w:val="Footer"/>
      <w:pBdr>
        <w:top w:val="single" w:sz="6" w:space="1" w:color="auto"/>
      </w:pBdr>
      <w:tabs>
        <w:tab w:val="right" w:pos="8647"/>
      </w:tabs>
      <w:ind w:left="0"/>
      <w:rPr>
        <w:sz w:val="16"/>
        <w:szCs w:val="16"/>
      </w:rPr>
    </w:pPr>
    <w:r>
      <w:rPr>
        <w:sz w:val="16"/>
        <w:szCs w:val="16"/>
      </w:rPr>
      <w:t xml:space="preserve">Framework Schedule 4 –Call Off Order Form </w:t>
    </w:r>
  </w:p>
  <w:p w14:paraId="787266DE" w14:textId="00A91B46" w:rsidR="00A55A36" w:rsidRPr="009968DA" w:rsidRDefault="00A55A36"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A55A36" w:rsidRDefault="00A55A36" w:rsidP="00054E54">
    <w:pPr>
      <w:pStyle w:val="Footer"/>
      <w:pBdr>
        <w:top w:val="single" w:sz="6" w:space="1" w:color="auto"/>
      </w:pBdr>
      <w:tabs>
        <w:tab w:val="right" w:pos="8647"/>
      </w:tabs>
      <w:ind w:left="0"/>
      <w:rPr>
        <w:sz w:val="16"/>
        <w:szCs w:val="16"/>
      </w:rPr>
    </w:pPr>
  </w:p>
  <w:p w14:paraId="73B75459" w14:textId="3C078575" w:rsidR="00A55A36" w:rsidRPr="00054E54" w:rsidRDefault="00A55A36"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AF1535">
      <w:rPr>
        <w:noProof/>
        <w:sz w:val="16"/>
        <w:szCs w:val="16"/>
      </w:rPr>
      <w:t>1</w:t>
    </w:r>
    <w:r w:rsidRPr="00054E54">
      <w:rPr>
        <w:noProof/>
        <w:sz w:val="16"/>
        <w:szCs w:val="16"/>
      </w:rPr>
      <w:fldChar w:fldCharType="end"/>
    </w:r>
  </w:p>
  <w:p w14:paraId="5B2BBFDC" w14:textId="77777777" w:rsidR="00A55A36" w:rsidRDefault="00A55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9EF34" w14:textId="77777777" w:rsidR="007731C5" w:rsidRDefault="007731C5">
      <w:r>
        <w:separator/>
      </w:r>
    </w:p>
  </w:footnote>
  <w:footnote w:type="continuationSeparator" w:id="0">
    <w:p w14:paraId="1F05E90E" w14:textId="77777777" w:rsidR="007731C5" w:rsidRDefault="007731C5">
      <w:r>
        <w:continuationSeparator/>
      </w:r>
    </w:p>
  </w:footnote>
  <w:footnote w:type="continuationNotice" w:id="1">
    <w:p w14:paraId="32ACC4E4" w14:textId="77777777" w:rsidR="007731C5" w:rsidRDefault="007731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3FBA" w14:textId="483F7F1B" w:rsidR="00A55A36" w:rsidRDefault="00A55A36">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A55A36" w:rsidRDefault="00A55A36"/>
  <w:p w14:paraId="2A494745" w14:textId="77777777" w:rsidR="00A55A36" w:rsidRDefault="00A55A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7C4E" w14:textId="46FC11A4" w:rsidR="00A55A36" w:rsidRDefault="00A55A36">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1FB2410"/>
    <w:multiLevelType w:val="hybridMultilevel"/>
    <w:tmpl w:val="89AC1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6928EB"/>
    <w:multiLevelType w:val="hybridMultilevel"/>
    <w:tmpl w:val="D3BA3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8"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0"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1"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2"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C053334"/>
    <w:multiLevelType w:val="hybridMultilevel"/>
    <w:tmpl w:val="927AE59E"/>
    <w:lvl w:ilvl="0" w:tplc="491403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2" w15:restartNumberingAfterBreak="0">
    <w:nsid w:val="20F5120D"/>
    <w:multiLevelType w:val="hybridMultilevel"/>
    <w:tmpl w:val="6C161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2A26253"/>
    <w:multiLevelType w:val="hybridMultilevel"/>
    <w:tmpl w:val="D092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5"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9"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0" w15:restartNumberingAfterBreak="0">
    <w:nsid w:val="281610F2"/>
    <w:multiLevelType w:val="hybridMultilevel"/>
    <w:tmpl w:val="41CA5A14"/>
    <w:lvl w:ilvl="0" w:tplc="43908218">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32"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3"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34"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6"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15:restartNumberingAfterBreak="0">
    <w:nsid w:val="3C6B11A6"/>
    <w:multiLevelType w:val="hybridMultilevel"/>
    <w:tmpl w:val="BB400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1"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5" w15:restartNumberingAfterBreak="0">
    <w:nsid w:val="48E52A1C"/>
    <w:multiLevelType w:val="hybridMultilevel"/>
    <w:tmpl w:val="695A2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8"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0"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1"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2" w15:restartNumberingAfterBreak="0">
    <w:nsid w:val="55752253"/>
    <w:multiLevelType w:val="hybridMultilevel"/>
    <w:tmpl w:val="F6C20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5"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7"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9"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62"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6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7" w15:restartNumberingAfterBreak="0">
    <w:nsid w:val="6C4D145E"/>
    <w:multiLevelType w:val="hybridMultilevel"/>
    <w:tmpl w:val="0414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9"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0"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71" w15:restartNumberingAfterBreak="0">
    <w:nsid w:val="72E624B6"/>
    <w:multiLevelType w:val="hybridMultilevel"/>
    <w:tmpl w:val="2E829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3"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6"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80"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24"/>
  </w:num>
  <w:num w:numId="2">
    <w:abstractNumId w:val="79"/>
  </w:num>
  <w:num w:numId="3">
    <w:abstractNumId w:val="39"/>
  </w:num>
  <w:num w:numId="4">
    <w:abstractNumId w:val="27"/>
  </w:num>
  <w:num w:numId="5">
    <w:abstractNumId w:val="74"/>
  </w:num>
  <w:num w:numId="6">
    <w:abstractNumId w:val="58"/>
  </w:num>
  <w:num w:numId="7">
    <w:abstractNumId w:val="35"/>
  </w:num>
  <w:num w:numId="8">
    <w:abstractNumId w:val="64"/>
  </w:num>
  <w:num w:numId="9">
    <w:abstractNumId w:val="65"/>
  </w:num>
  <w:num w:numId="10">
    <w:abstractNumId w:val="61"/>
  </w:num>
  <w:num w:numId="11">
    <w:abstractNumId w:val="42"/>
  </w:num>
  <w:num w:numId="12">
    <w:abstractNumId w:val="74"/>
  </w:num>
  <w:num w:numId="13">
    <w:abstractNumId w:val="41"/>
  </w:num>
  <w:num w:numId="14">
    <w:abstractNumId w:val="17"/>
  </w:num>
  <w:num w:numId="15">
    <w:abstractNumId w:val="19"/>
  </w:num>
  <w:num w:numId="16">
    <w:abstractNumId w:val="15"/>
  </w:num>
  <w:num w:numId="17">
    <w:abstractNumId w:val="9"/>
  </w:num>
  <w:num w:numId="18">
    <w:abstractNumId w:val="63"/>
  </w:num>
  <w:num w:numId="19">
    <w:abstractNumId w:val="70"/>
  </w:num>
  <w:num w:numId="20">
    <w:abstractNumId w:val="10"/>
  </w:num>
  <w:num w:numId="21">
    <w:abstractNumId w:val="2"/>
  </w:num>
  <w:num w:numId="22">
    <w:abstractNumId w:val="34"/>
  </w:num>
  <w:num w:numId="23">
    <w:abstractNumId w:val="14"/>
  </w:num>
  <w:num w:numId="24">
    <w:abstractNumId w:val="80"/>
  </w:num>
  <w:num w:numId="25">
    <w:abstractNumId w:val="1"/>
  </w:num>
  <w:num w:numId="26">
    <w:abstractNumId w:val="44"/>
  </w:num>
  <w:num w:numId="27">
    <w:abstractNumId w:val="43"/>
  </w:num>
  <w:num w:numId="28">
    <w:abstractNumId w:val="7"/>
  </w:num>
  <w:num w:numId="29">
    <w:abstractNumId w:val="49"/>
  </w:num>
  <w:num w:numId="30">
    <w:abstractNumId w:val="37"/>
  </w:num>
  <w:num w:numId="31">
    <w:abstractNumId w:val="68"/>
  </w:num>
  <w:num w:numId="32">
    <w:abstractNumId w:val="32"/>
  </w:num>
  <w:num w:numId="33">
    <w:abstractNumId w:val="57"/>
  </w:num>
  <w:num w:numId="34">
    <w:abstractNumId w:val="36"/>
  </w:num>
  <w:num w:numId="35">
    <w:abstractNumId w:val="3"/>
  </w:num>
  <w:num w:numId="36">
    <w:abstractNumId w:val="47"/>
  </w:num>
  <w:num w:numId="37">
    <w:abstractNumId w:val="29"/>
  </w:num>
  <w:num w:numId="38">
    <w:abstractNumId w:val="50"/>
  </w:num>
  <w:num w:numId="39">
    <w:abstractNumId w:val="69"/>
  </w:num>
  <w:num w:numId="40">
    <w:abstractNumId w:val="31"/>
  </w:num>
  <w:num w:numId="41">
    <w:abstractNumId w:val="6"/>
  </w:num>
  <w:num w:numId="42">
    <w:abstractNumId w:val="46"/>
  </w:num>
  <w:num w:numId="43">
    <w:abstractNumId w:val="66"/>
  </w:num>
  <w:num w:numId="44">
    <w:abstractNumId w:val="12"/>
  </w:num>
  <w:num w:numId="45">
    <w:abstractNumId w:val="73"/>
  </w:num>
  <w:num w:numId="46">
    <w:abstractNumId w:val="40"/>
  </w:num>
  <w:num w:numId="47">
    <w:abstractNumId w:val="54"/>
  </w:num>
  <w:num w:numId="48">
    <w:abstractNumId w:val="18"/>
  </w:num>
  <w:num w:numId="4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4"/>
  </w:num>
  <w:num w:numId="51">
    <w:abstractNumId w:val="51"/>
  </w:num>
  <w:num w:numId="5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num>
  <w:num w:numId="55">
    <w:abstractNumId w:val="77"/>
  </w:num>
  <w:num w:numId="56">
    <w:abstractNumId w:val="27"/>
  </w:num>
  <w:num w:numId="57">
    <w:abstractNumId w:val="55"/>
  </w:num>
  <w:num w:numId="58">
    <w:abstractNumId w:val="74"/>
  </w:num>
  <w:num w:numId="59">
    <w:abstractNumId w:val="75"/>
  </w:num>
  <w:num w:numId="60">
    <w:abstractNumId w:val="26"/>
  </w:num>
  <w:num w:numId="61">
    <w:abstractNumId w:val="0"/>
  </w:num>
  <w:num w:numId="62">
    <w:abstractNumId w:val="25"/>
  </w:num>
  <w:num w:numId="63">
    <w:abstractNumId w:val="62"/>
  </w:num>
  <w:num w:numId="64">
    <w:abstractNumId w:val="78"/>
  </w:num>
  <w:num w:numId="65">
    <w:abstractNumId w:val="78"/>
  </w:num>
  <w:num w:numId="66">
    <w:abstractNumId w:val="76"/>
  </w:num>
  <w:num w:numId="6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4"/>
  </w:num>
  <w:num w:numId="7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4"/>
  </w:num>
  <w:num w:numId="72">
    <w:abstractNumId w:val="74"/>
  </w:num>
  <w:num w:numId="7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4"/>
  </w:num>
  <w:num w:numId="75">
    <w:abstractNumId w:val="15"/>
  </w:num>
  <w:num w:numId="76">
    <w:abstractNumId w:val="15"/>
  </w:num>
  <w:num w:numId="77">
    <w:abstractNumId w:val="15"/>
  </w:num>
  <w:num w:numId="78">
    <w:abstractNumId w:val="15"/>
  </w:num>
  <w:num w:numId="79">
    <w:abstractNumId w:val="15"/>
  </w:num>
  <w:num w:numId="80">
    <w:abstractNumId w:val="15"/>
  </w:num>
  <w:num w:numId="81">
    <w:abstractNumId w:val="15"/>
  </w:num>
  <w:num w:numId="82">
    <w:abstractNumId w:val="15"/>
  </w:num>
  <w:num w:numId="83">
    <w:abstractNumId w:val="15"/>
  </w:num>
  <w:num w:numId="84">
    <w:abstractNumId w:val="15"/>
  </w:num>
  <w:num w:numId="85">
    <w:abstractNumId w:val="15"/>
  </w:num>
  <w:num w:numId="86">
    <w:abstractNumId w:val="11"/>
  </w:num>
  <w:num w:numId="87">
    <w:abstractNumId w:val="59"/>
  </w:num>
  <w:num w:numId="88">
    <w:abstractNumId w:val="16"/>
  </w:num>
  <w:num w:numId="89">
    <w:abstractNumId w:val="74"/>
  </w:num>
  <w:num w:numId="90">
    <w:abstractNumId w:val="13"/>
  </w:num>
  <w:num w:numId="91">
    <w:abstractNumId w:val="8"/>
  </w:num>
  <w:num w:numId="92">
    <w:abstractNumId w:val="74"/>
  </w:num>
  <w:num w:numId="93">
    <w:abstractNumId w:val="21"/>
  </w:num>
  <w:num w:numId="94">
    <w:abstractNumId w:val="48"/>
  </w:num>
  <w:num w:numId="95">
    <w:abstractNumId w:val="53"/>
  </w:num>
  <w:num w:numId="96">
    <w:abstractNumId w:val="71"/>
  </w:num>
  <w:num w:numId="97">
    <w:abstractNumId w:val="20"/>
  </w:num>
  <w:num w:numId="98">
    <w:abstractNumId w:val="4"/>
  </w:num>
  <w:num w:numId="99">
    <w:abstractNumId w:val="38"/>
  </w:num>
  <w:num w:numId="100">
    <w:abstractNumId w:val="22"/>
  </w:num>
  <w:num w:numId="101">
    <w:abstractNumId w:val="23"/>
  </w:num>
  <w:num w:numId="102">
    <w:abstractNumId w:val="52"/>
  </w:num>
  <w:num w:numId="103">
    <w:abstractNumId w:val="30"/>
  </w:num>
  <w:num w:numId="104">
    <w:abstractNumId w:val="45"/>
  </w:num>
  <w:num w:numId="105">
    <w:abstractNumId w:val="5"/>
  </w:num>
  <w:num w:numId="106">
    <w:abstractNumId w:val="6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C"/>
    <w:rsid w:val="000001E1"/>
    <w:rsid w:val="00002CDD"/>
    <w:rsid w:val="000053CF"/>
    <w:rsid w:val="00017475"/>
    <w:rsid w:val="00020140"/>
    <w:rsid w:val="0005252A"/>
    <w:rsid w:val="00054E54"/>
    <w:rsid w:val="00055892"/>
    <w:rsid w:val="00057425"/>
    <w:rsid w:val="000638D8"/>
    <w:rsid w:val="000731CD"/>
    <w:rsid w:val="0008498A"/>
    <w:rsid w:val="000C2A02"/>
    <w:rsid w:val="000D0701"/>
    <w:rsid w:val="000D16E1"/>
    <w:rsid w:val="00100C58"/>
    <w:rsid w:val="00111007"/>
    <w:rsid w:val="0011796B"/>
    <w:rsid w:val="00136280"/>
    <w:rsid w:val="001572E1"/>
    <w:rsid w:val="00172A22"/>
    <w:rsid w:val="001811E7"/>
    <w:rsid w:val="0018542B"/>
    <w:rsid w:val="001955AD"/>
    <w:rsid w:val="001A5332"/>
    <w:rsid w:val="001C4435"/>
    <w:rsid w:val="001D3080"/>
    <w:rsid w:val="001D5E87"/>
    <w:rsid w:val="002047E1"/>
    <w:rsid w:val="00224F1D"/>
    <w:rsid w:val="0023206B"/>
    <w:rsid w:val="0023253F"/>
    <w:rsid w:val="002440C8"/>
    <w:rsid w:val="0025251F"/>
    <w:rsid w:val="0026116C"/>
    <w:rsid w:val="00265BF4"/>
    <w:rsid w:val="00272E8F"/>
    <w:rsid w:val="002740F1"/>
    <w:rsid w:val="002A30C1"/>
    <w:rsid w:val="002B00EA"/>
    <w:rsid w:val="002B2D19"/>
    <w:rsid w:val="002C177B"/>
    <w:rsid w:val="002C1A8E"/>
    <w:rsid w:val="002C5A6F"/>
    <w:rsid w:val="002F0DD4"/>
    <w:rsid w:val="002F2BD9"/>
    <w:rsid w:val="00303106"/>
    <w:rsid w:val="00306EA9"/>
    <w:rsid w:val="00310839"/>
    <w:rsid w:val="003125B9"/>
    <w:rsid w:val="003228BA"/>
    <w:rsid w:val="00327EA5"/>
    <w:rsid w:val="00340AAB"/>
    <w:rsid w:val="00345F2B"/>
    <w:rsid w:val="00364CA0"/>
    <w:rsid w:val="00387D44"/>
    <w:rsid w:val="00397FC8"/>
    <w:rsid w:val="003A1092"/>
    <w:rsid w:val="003A2249"/>
    <w:rsid w:val="003B455E"/>
    <w:rsid w:val="003C22DC"/>
    <w:rsid w:val="003C71E6"/>
    <w:rsid w:val="003E3877"/>
    <w:rsid w:val="003F3581"/>
    <w:rsid w:val="003F392A"/>
    <w:rsid w:val="003F56CA"/>
    <w:rsid w:val="00400F54"/>
    <w:rsid w:val="00405425"/>
    <w:rsid w:val="00425FFF"/>
    <w:rsid w:val="00430FA9"/>
    <w:rsid w:val="00440322"/>
    <w:rsid w:val="00447839"/>
    <w:rsid w:val="00450387"/>
    <w:rsid w:val="00457085"/>
    <w:rsid w:val="00471F7C"/>
    <w:rsid w:val="00492B7E"/>
    <w:rsid w:val="004944BE"/>
    <w:rsid w:val="004D4A61"/>
    <w:rsid w:val="004D6F66"/>
    <w:rsid w:val="004E05DC"/>
    <w:rsid w:val="004E0AA8"/>
    <w:rsid w:val="00501C41"/>
    <w:rsid w:val="00537215"/>
    <w:rsid w:val="00542302"/>
    <w:rsid w:val="005767C7"/>
    <w:rsid w:val="005F171A"/>
    <w:rsid w:val="0061276A"/>
    <w:rsid w:val="0061699B"/>
    <w:rsid w:val="00630ACD"/>
    <w:rsid w:val="006311F8"/>
    <w:rsid w:val="00642F6F"/>
    <w:rsid w:val="0065497E"/>
    <w:rsid w:val="006614D5"/>
    <w:rsid w:val="00662BAE"/>
    <w:rsid w:val="00664D82"/>
    <w:rsid w:val="006A0AF3"/>
    <w:rsid w:val="006A6022"/>
    <w:rsid w:val="006B7D2C"/>
    <w:rsid w:val="006F3D4A"/>
    <w:rsid w:val="00700725"/>
    <w:rsid w:val="00730F3E"/>
    <w:rsid w:val="00753E53"/>
    <w:rsid w:val="00754676"/>
    <w:rsid w:val="00755201"/>
    <w:rsid w:val="00770284"/>
    <w:rsid w:val="00771E0B"/>
    <w:rsid w:val="007728AB"/>
    <w:rsid w:val="007731C5"/>
    <w:rsid w:val="00786287"/>
    <w:rsid w:val="00794C4D"/>
    <w:rsid w:val="007A091B"/>
    <w:rsid w:val="007A1F85"/>
    <w:rsid w:val="007A44A1"/>
    <w:rsid w:val="007A723D"/>
    <w:rsid w:val="007D26F7"/>
    <w:rsid w:val="007E034B"/>
    <w:rsid w:val="007E1DDC"/>
    <w:rsid w:val="007F54B0"/>
    <w:rsid w:val="00810FF4"/>
    <w:rsid w:val="008153FF"/>
    <w:rsid w:val="00830DC0"/>
    <w:rsid w:val="00850E5C"/>
    <w:rsid w:val="00861833"/>
    <w:rsid w:val="00864BD5"/>
    <w:rsid w:val="00870107"/>
    <w:rsid w:val="008727D1"/>
    <w:rsid w:val="00887A8F"/>
    <w:rsid w:val="008931FF"/>
    <w:rsid w:val="008B389E"/>
    <w:rsid w:val="008C6C80"/>
    <w:rsid w:val="009036BF"/>
    <w:rsid w:val="0091668D"/>
    <w:rsid w:val="00916CF0"/>
    <w:rsid w:val="00923AD5"/>
    <w:rsid w:val="009244B7"/>
    <w:rsid w:val="00963FFF"/>
    <w:rsid w:val="00982D63"/>
    <w:rsid w:val="00984D40"/>
    <w:rsid w:val="009968DA"/>
    <w:rsid w:val="00997414"/>
    <w:rsid w:val="009A7CCA"/>
    <w:rsid w:val="009B7BA2"/>
    <w:rsid w:val="009C2129"/>
    <w:rsid w:val="009C2140"/>
    <w:rsid w:val="009C53CE"/>
    <w:rsid w:val="009D0AB1"/>
    <w:rsid w:val="009D209B"/>
    <w:rsid w:val="009E291D"/>
    <w:rsid w:val="009E4EED"/>
    <w:rsid w:val="009F2E61"/>
    <w:rsid w:val="009F480B"/>
    <w:rsid w:val="00A04122"/>
    <w:rsid w:val="00A06B3F"/>
    <w:rsid w:val="00A0744F"/>
    <w:rsid w:val="00A1763C"/>
    <w:rsid w:val="00A17789"/>
    <w:rsid w:val="00A17ECF"/>
    <w:rsid w:val="00A36184"/>
    <w:rsid w:val="00A55A36"/>
    <w:rsid w:val="00A64B35"/>
    <w:rsid w:val="00A65D7D"/>
    <w:rsid w:val="00A75D41"/>
    <w:rsid w:val="00A9438E"/>
    <w:rsid w:val="00A955D8"/>
    <w:rsid w:val="00AA7DB0"/>
    <w:rsid w:val="00AB7DC1"/>
    <w:rsid w:val="00AC6577"/>
    <w:rsid w:val="00AD5365"/>
    <w:rsid w:val="00AE5D91"/>
    <w:rsid w:val="00AF1535"/>
    <w:rsid w:val="00B02A10"/>
    <w:rsid w:val="00B1604D"/>
    <w:rsid w:val="00B34C44"/>
    <w:rsid w:val="00B51ADA"/>
    <w:rsid w:val="00B5520B"/>
    <w:rsid w:val="00B64CAD"/>
    <w:rsid w:val="00B770E2"/>
    <w:rsid w:val="00B82F41"/>
    <w:rsid w:val="00B86992"/>
    <w:rsid w:val="00B91478"/>
    <w:rsid w:val="00BA4ACD"/>
    <w:rsid w:val="00BB45CD"/>
    <w:rsid w:val="00BB4A0B"/>
    <w:rsid w:val="00BB7D10"/>
    <w:rsid w:val="00BC2BB3"/>
    <w:rsid w:val="00BD5256"/>
    <w:rsid w:val="00BF468B"/>
    <w:rsid w:val="00C17DB9"/>
    <w:rsid w:val="00C24592"/>
    <w:rsid w:val="00C47971"/>
    <w:rsid w:val="00C912F6"/>
    <w:rsid w:val="00CA1B3D"/>
    <w:rsid w:val="00CA491C"/>
    <w:rsid w:val="00CB44F1"/>
    <w:rsid w:val="00CC663B"/>
    <w:rsid w:val="00CD552E"/>
    <w:rsid w:val="00CE21B9"/>
    <w:rsid w:val="00CF4F29"/>
    <w:rsid w:val="00D02199"/>
    <w:rsid w:val="00D07666"/>
    <w:rsid w:val="00D2378A"/>
    <w:rsid w:val="00D326AD"/>
    <w:rsid w:val="00D410A1"/>
    <w:rsid w:val="00D4376C"/>
    <w:rsid w:val="00D50C28"/>
    <w:rsid w:val="00D525A1"/>
    <w:rsid w:val="00D53DEB"/>
    <w:rsid w:val="00D61A90"/>
    <w:rsid w:val="00D66440"/>
    <w:rsid w:val="00DA37DF"/>
    <w:rsid w:val="00DC2897"/>
    <w:rsid w:val="00DE1860"/>
    <w:rsid w:val="00E11534"/>
    <w:rsid w:val="00E21DC4"/>
    <w:rsid w:val="00E32B8F"/>
    <w:rsid w:val="00E45F29"/>
    <w:rsid w:val="00E54047"/>
    <w:rsid w:val="00E64C7C"/>
    <w:rsid w:val="00E77CCE"/>
    <w:rsid w:val="00E93D4C"/>
    <w:rsid w:val="00E96586"/>
    <w:rsid w:val="00EA30EB"/>
    <w:rsid w:val="00EA77C2"/>
    <w:rsid w:val="00EF289B"/>
    <w:rsid w:val="00EF339A"/>
    <w:rsid w:val="00EF348C"/>
    <w:rsid w:val="00EF546A"/>
    <w:rsid w:val="00F02150"/>
    <w:rsid w:val="00F03357"/>
    <w:rsid w:val="00F1780F"/>
    <w:rsid w:val="00F641B6"/>
    <w:rsid w:val="00F65018"/>
    <w:rsid w:val="00F763AE"/>
    <w:rsid w:val="00F770DB"/>
    <w:rsid w:val="00F8600F"/>
    <w:rsid w:val="00FB2B54"/>
    <w:rsid w:val="00FB38C9"/>
    <w:rsid w:val="00FD6D7A"/>
    <w:rsid w:val="00FE0298"/>
    <w:rsid w:val="00FE2334"/>
    <w:rsid w:val="00FF6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qFormat/>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05252A"/>
    <w:rPr>
      <w:color w:val="605E5C"/>
      <w:shd w:val="clear" w:color="auto" w:fill="E1DFDD"/>
    </w:rPr>
  </w:style>
  <w:style w:type="paragraph" w:customStyle="1" w:styleId="Table-Text">
    <w:name w:val="Table - Text"/>
    <w:basedOn w:val="Normal"/>
    <w:qFormat/>
    <w:rsid w:val="000731CD"/>
    <w:pPr>
      <w:overflowPunct/>
      <w:autoSpaceDE/>
      <w:autoSpaceDN/>
      <w:spacing w:before="120" w:after="120"/>
      <w:ind w:left="0"/>
      <w:jc w:val="left"/>
      <w:textAlignment w:val="auto"/>
    </w:pPr>
    <w:rPr>
      <w:rFonts w:ascii="Times New Roman" w:eastAsia="STZhongsong"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174736757">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141808">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60723590">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157502776">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10509637">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00131182">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ublic.tenders@oliverwyma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 U K M A T T E R S ! 1 0 8 3 4 4 6 3 0 . 1 < / d o c u m e n t i d >  
     < s e n d e r i d > L A V E N D E D < / s e n d e r i d >  
     < s e n d e r e m a i l > D A N I E L . L A V E N D E R @ D L A P I P E R . C O M < / s e n d e r e m a i l >  
     < l a s t m o d i f i e d > 2 0 2 1 - 0 2 - 2 2 T 0 9 : 1 2 : 0 0 . 0 0 0 0 0 0 0 + 0 0 : 0 0 < / l a s t m o d i f i e d >  
     < d a t a b a s e > U K M A T T E R S < / d a t a b a s e >  
 < / p r o p e r t i e s > 
</file>

<file path=customXml/item2.xml><?xml version="1.0" encoding="utf-8"?>
<p:properties xmlns:p="http://schemas.microsoft.com/office/2006/metadata/properties" xmlns:xsi="http://www.w3.org/2001/XMLSchema-instance" xmlns:pc="http://schemas.microsoft.com/office/infopath/2007/PartnerControls">
  <documentManagement>
    <Status xmlns="f07bb4aa-3cb6-47af-b0e2-d155f33154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18EC6498AAC549A5A61F92CF9BCF9B" ma:contentTypeVersion="11" ma:contentTypeDescription="Create a new document." ma:contentTypeScope="" ma:versionID="633543790acb0b68c7c06e466f75a716">
  <xsd:schema xmlns:xsd="http://www.w3.org/2001/XMLSchema" xmlns:xs="http://www.w3.org/2001/XMLSchema" xmlns:p="http://schemas.microsoft.com/office/2006/metadata/properties" xmlns:ns2="f07bb4aa-3cb6-47af-b0e2-d155f33154e7" xmlns:ns3="78c90afb-ae84-4d92-aa4b-8e87d96113f1" targetNamespace="http://schemas.microsoft.com/office/2006/metadata/properties" ma:root="true" ma:fieldsID="320141146e936ac75d5d9082358e7635" ns2:_="" ns3:_="">
    <xsd:import namespace="f07bb4aa-3cb6-47af-b0e2-d155f33154e7"/>
    <xsd:import namespace="78c90afb-ae84-4d92-aa4b-8e87d96113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bb4aa-3cb6-47af-b0e2-d155f3315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18" nillable="true" ma:displayName="Status" ma:format="Dropdown" ma:internalName="Status">
      <xsd:simpleType>
        <xsd:restriction base="dms:Choice">
          <xsd:enumeration value="Closed"/>
          <xsd:enumeration value="Open"/>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78c90afb-ae84-4d92-aa4b-8e87d96113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EBA061-1F4B-42AF-B62D-876F149EAD46}">
  <ds:schemaRefs>
    <ds:schemaRef ds:uri="http://www.imanage.com/work/xmlschema"/>
  </ds:schemaRefs>
</ds:datastoreItem>
</file>

<file path=customXml/itemProps2.xml><?xml version="1.0" encoding="utf-8"?>
<ds:datastoreItem xmlns:ds="http://schemas.openxmlformats.org/officeDocument/2006/customXml" ds:itemID="{23D9E4BA-A870-446F-AA68-46ECCC888FEA}">
  <ds:schemaRefs>
    <ds:schemaRef ds:uri="http://schemas.microsoft.com/office/2006/metadata/properties"/>
    <ds:schemaRef ds:uri="http://schemas.microsoft.com/office/infopath/2007/PartnerControls"/>
    <ds:schemaRef ds:uri="f07bb4aa-3cb6-47af-b0e2-d155f33154e7"/>
  </ds:schemaRefs>
</ds:datastoreItem>
</file>

<file path=customXml/itemProps3.xml><?xml version="1.0" encoding="utf-8"?>
<ds:datastoreItem xmlns:ds="http://schemas.openxmlformats.org/officeDocument/2006/customXml" ds:itemID="{AED51DDC-21A9-4854-9DD2-A7EC1EC87126}">
  <ds:schemaRefs>
    <ds:schemaRef ds:uri="http://schemas.microsoft.com/sharepoint/v3/contenttype/forms"/>
  </ds:schemaRefs>
</ds:datastoreItem>
</file>

<file path=customXml/itemProps4.xml><?xml version="1.0" encoding="utf-8"?>
<ds:datastoreItem xmlns:ds="http://schemas.openxmlformats.org/officeDocument/2006/customXml" ds:itemID="{BDED3F92-5425-4443-87B3-EB4727347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bb4aa-3cb6-47af-b0e2-d155f33154e7"/>
    <ds:schemaRef ds:uri="78c90afb-ae84-4d92-aa4b-8e87d9611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2146E4-0630-49A9-8109-DF6F4D30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2856</Words>
  <Characters>16281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19099</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2021-03-17T11:11:00Z</dcterms:created>
  <dcterms:modified xsi:type="dcterms:W3CDTF">2021-04-27T14:04:00Z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94ed87ef-5a92-42ef-8921-dbb30bcf6e88</vt:lpwstr>
  </property>
  <property fmtid="{D5CDD505-2E9C-101B-9397-08002B2CF9AE}" pid="3" name="ContentTypeId">
    <vt:lpwstr>0x0101005418EC6498AAC549A5A61F92CF9BCF9B</vt:lpwstr>
  </property>
</Properties>
</file>