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4040F0" w:rsidP="00547892">
            <w:pPr>
              <w:overflowPunct w:val="0"/>
              <w:autoSpaceDE w:val="0"/>
              <w:autoSpaceDN w:val="0"/>
              <w:adjustRightInd w:val="0"/>
              <w:jc w:val="both"/>
              <w:textAlignment w:val="baseline"/>
              <w:rPr>
                <w:rFonts w:ascii="Arial" w:hAnsi="Arial" w:cs="Arial"/>
                <w:b/>
                <w:lang w:val="en-US"/>
              </w:rPr>
            </w:pPr>
            <w:r>
              <w:rPr>
                <w:rFonts w:ascii="Arial" w:hAnsi="Arial" w:cs="Arial"/>
                <w:b/>
                <w:lang w:val="en-US"/>
              </w:rPr>
              <w:t>Independent Support for Aspects of ONR’s Step 3 Chemistry</w:t>
            </w:r>
            <w:r w:rsidR="00547892" w:rsidRPr="00547892">
              <w:rPr>
                <w:rFonts w:ascii="Arial" w:hAnsi="Arial" w:cs="Arial"/>
                <w:b/>
                <w:lang w:val="en-US"/>
              </w:rPr>
              <w:tab/>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A70770">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533E3">
              <w:rPr>
                <w:rFonts w:ascii="Arial" w:hAnsi="Arial" w:cs="Arial"/>
                <w:b/>
                <w:lang w:val="en-US"/>
              </w:rPr>
              <w:t xml:space="preserve"> </w:t>
            </w:r>
            <w:r w:rsidR="00A70770">
              <w:rPr>
                <w:rFonts w:ascii="Arial" w:hAnsi="Arial" w:cs="Arial"/>
                <w:b/>
                <w:lang w:val="en-US"/>
              </w:rPr>
              <w:t>397</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4040F0">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547892">
              <w:rPr>
                <w:rFonts w:ascii="Arial" w:hAnsi="Arial" w:cs="Arial"/>
                <w:b/>
                <w:lang w:val="en-US"/>
              </w:rPr>
              <w:t>338</w:t>
            </w:r>
            <w:r w:rsidR="004040F0">
              <w:rPr>
                <w:rFonts w:ascii="Arial" w:hAnsi="Arial" w:cs="Arial"/>
                <w:b/>
                <w:lang w:val="en-US"/>
              </w:rPr>
              <w:t>5</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4040F0" w:rsidP="00F431E8">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3C1710">
        <w:rPr>
          <w:rFonts w:ascii="Arial" w:hAnsi="Arial"/>
        </w:rPr>
        <w:t>33</w:t>
      </w:r>
      <w:r w:rsidR="00547892">
        <w:rPr>
          <w:rFonts w:ascii="Arial" w:hAnsi="Arial"/>
        </w:rPr>
        <w:t>8</w:t>
      </w:r>
      <w:r w:rsidR="004040F0">
        <w:rPr>
          <w:rFonts w:ascii="Arial" w:hAnsi="Arial"/>
        </w:rPr>
        <w:t>5</w:t>
      </w:r>
      <w:r w:rsidR="00F4406F">
        <w:rPr>
          <w:rFonts w:ascii="Arial" w:hAnsi="Arial"/>
        </w:rPr>
        <w:t xml:space="preserve"> to deliver the above services </w:t>
      </w:r>
      <w:r w:rsidR="00F4406F">
        <w:rPr>
          <w:rFonts w:ascii="Arial" w:hAnsi="Arial"/>
        </w:rPr>
        <w:tab/>
        <w:t xml:space="preserve">under Lot </w:t>
      </w:r>
      <w:r w:rsidR="008533E3">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Pr="00553F3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553F3B">
        <w:rPr>
          <w:rFonts w:ascii="Arial" w:hAnsi="Arial"/>
          <w:noProof/>
        </w:rPr>
        <w:t>13 May 2019</w:t>
      </w:r>
      <w:r w:rsidR="000E0B60">
        <w:rPr>
          <w:rFonts w:ascii="Arial" w:hAnsi="Arial"/>
          <w:noProof/>
        </w:rPr>
        <w:t xml:space="preserve"> </w:t>
      </w:r>
      <w:r w:rsidR="00406287" w:rsidRPr="00153A85">
        <w:rPr>
          <w:rFonts w:ascii="Arial" w:hAnsi="Arial"/>
          <w:noProof/>
        </w:rPr>
        <w:t xml:space="preserve">and shall be completed by </w:t>
      </w:r>
      <w:r w:rsidR="00553F3B">
        <w:rPr>
          <w:rFonts w:ascii="Arial" w:hAnsi="Arial"/>
          <w:noProof/>
        </w:rPr>
        <w:t>31 Jan</w:t>
      </w:r>
      <w:r w:rsidR="00553F3B" w:rsidRPr="00553F3B">
        <w:rPr>
          <w:rFonts w:ascii="Arial" w:hAnsi="Arial"/>
          <w:noProof/>
        </w:rPr>
        <w:t>u</w:t>
      </w:r>
      <w:r w:rsidR="00553F3B">
        <w:rPr>
          <w:rFonts w:ascii="Arial" w:hAnsi="Arial"/>
          <w:noProof/>
        </w:rPr>
        <w:t>a</w:t>
      </w:r>
      <w:r w:rsidR="00553F3B" w:rsidRPr="00553F3B">
        <w:rPr>
          <w:rFonts w:ascii="Arial" w:hAnsi="Arial"/>
          <w:noProof/>
        </w:rPr>
        <w:t>ry 2020</w:t>
      </w:r>
      <w:r w:rsidR="00263290">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547892">
        <w:rPr>
          <w:rFonts w:ascii="Arial" w:hAnsi="Arial" w:cs="Arial"/>
          <w:noProof/>
        </w:rPr>
        <w:t xml:space="preserve">: </w:t>
      </w:r>
    </w:p>
    <w:p w:rsidR="00CF5A98"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6D4D9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CF5A98" w:rsidRDefault="00CF5A98"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EA46A3" w:rsidRDefault="00EA46A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CF5A98"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533E3">
        <w:rPr>
          <w:rFonts w:ascii="Arial" w:hAnsi="Arial" w:cs="Arial"/>
          <w:noProof/>
        </w:rPr>
        <w:t>:</w:t>
      </w:r>
    </w:p>
    <w:p w:rsidR="00CF5A98" w:rsidRDefault="00E25580"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EA46A3"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CF5A98" w:rsidRDefault="00CF5A98"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E3707B">
        <w:rPr>
          <w:rFonts w:ascii="Arial" w:hAnsi="Arial" w:cs="Arial"/>
          <w:noProof/>
        </w:rPr>
        <w:t>£</w:t>
      </w:r>
      <w:r w:rsidR="00EA46A3">
        <w:rPr>
          <w:rFonts w:ascii="Arial" w:hAnsi="Arial" w:cs="Arial"/>
          <w:noProof/>
        </w:rPr>
        <w:t>9</w:t>
      </w:r>
      <w:r w:rsidR="00263290">
        <w:rPr>
          <w:rFonts w:ascii="Arial" w:hAnsi="Arial" w:cs="Arial"/>
          <w:noProof/>
        </w:rPr>
        <w:t>2,755.23</w:t>
      </w:r>
      <w:r w:rsidR="00E3707B">
        <w:rPr>
          <w:rFonts w:ascii="Arial" w:hAnsi="Arial" w:cs="Arial"/>
          <w:noProof/>
        </w:rPr>
        <w:t xml:space="preserve"> ex</w:t>
      </w:r>
      <w:r w:rsidR="00406287" w:rsidRPr="00153A85">
        <w:rPr>
          <w:rFonts w:ascii="Arial" w:hAnsi="Arial" w:cs="Arial"/>
          <w:noProof/>
        </w:rPr>
        <w:t>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263290">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E3707B" w:rsidRPr="00CF5A98" w:rsidRDefault="00DC6E2F" w:rsidP="008000FC">
      <w:pPr>
        <w:pStyle w:val="DefaultText"/>
        <w:tabs>
          <w:tab w:val="left" w:pos="567"/>
        </w:tabs>
        <w:ind w:left="567" w:hanging="567"/>
        <w:rPr>
          <w:rFonts w:ascii="Arial" w:hAnsi="Arial" w:cs="Arial"/>
          <w:b/>
          <w:noProof/>
        </w:rPr>
      </w:pPr>
      <w:r w:rsidRPr="00CF5A98">
        <w:rPr>
          <w:rFonts w:ascii="Arial" w:hAnsi="Arial" w:cs="Arial"/>
          <w:b/>
          <w:noProof/>
        </w:rPr>
        <w:t>W</w:t>
      </w:r>
      <w:r w:rsidR="00CF5A98" w:rsidRPr="00CF5A98">
        <w:rPr>
          <w:rFonts w:ascii="Arial" w:hAnsi="Arial" w:cs="Arial"/>
          <w:b/>
          <w:noProof/>
        </w:rPr>
        <w:t>OOD</w:t>
      </w:r>
      <w:r w:rsidRPr="00CF5A98">
        <w:rPr>
          <w:rFonts w:ascii="Arial" w:hAnsi="Arial" w:cs="Arial"/>
          <w:b/>
          <w:noProof/>
        </w:rPr>
        <w:t xml:space="preserve"> PLC</w:t>
      </w:r>
    </w:p>
    <w:p w:rsidR="00CF5A98" w:rsidRDefault="00DC6E2F" w:rsidP="008000FC">
      <w:pPr>
        <w:pStyle w:val="DefaultText"/>
        <w:tabs>
          <w:tab w:val="left" w:pos="567"/>
        </w:tabs>
        <w:ind w:left="567" w:hanging="567"/>
        <w:rPr>
          <w:rFonts w:ascii="Arial" w:hAnsi="Arial" w:cs="Arial"/>
          <w:noProof/>
        </w:rPr>
      </w:pPr>
      <w:r>
        <w:rPr>
          <w:rFonts w:ascii="Arial" w:hAnsi="Arial" w:cs="Arial"/>
          <w:noProof/>
        </w:rPr>
        <w:t>305, Bridgewater Place,</w:t>
      </w:r>
      <w:r w:rsidR="00CF5A98">
        <w:rPr>
          <w:rFonts w:ascii="Arial" w:hAnsi="Arial" w:cs="Arial"/>
          <w:noProof/>
        </w:rPr>
        <w:t xml:space="preserve"> </w:t>
      </w:r>
      <w:r>
        <w:rPr>
          <w:rFonts w:ascii="Arial" w:hAnsi="Arial" w:cs="Arial"/>
          <w:noProof/>
        </w:rPr>
        <w:t>Birchwood Park</w:t>
      </w:r>
      <w:r w:rsidR="00CF5A98">
        <w:rPr>
          <w:rFonts w:ascii="Arial" w:hAnsi="Arial" w:cs="Arial"/>
          <w:noProof/>
        </w:rPr>
        <w:t xml:space="preserve">, </w:t>
      </w:r>
      <w:r>
        <w:rPr>
          <w:rFonts w:ascii="Arial" w:hAnsi="Arial" w:cs="Arial"/>
          <w:noProof/>
        </w:rPr>
        <w:t>Birchwood,</w:t>
      </w:r>
      <w:r w:rsidR="00CF5A98">
        <w:rPr>
          <w:rFonts w:ascii="Arial" w:hAnsi="Arial" w:cs="Arial"/>
          <w:noProof/>
        </w:rPr>
        <w:t xml:space="preserve"> </w:t>
      </w:r>
      <w:r>
        <w:rPr>
          <w:rFonts w:ascii="Arial" w:hAnsi="Arial" w:cs="Arial"/>
          <w:noProof/>
        </w:rPr>
        <w:t>Warrington</w:t>
      </w:r>
      <w:r w:rsidR="00CF5A98">
        <w:rPr>
          <w:rFonts w:ascii="Arial" w:hAnsi="Arial" w:cs="Arial"/>
          <w:noProof/>
        </w:rPr>
        <w:t xml:space="preserve">, </w:t>
      </w:r>
      <w:r>
        <w:rPr>
          <w:rFonts w:ascii="Arial" w:hAnsi="Arial" w:cs="Arial"/>
          <w:noProof/>
        </w:rPr>
        <w:t>Cheshire,</w:t>
      </w:r>
    </w:p>
    <w:p w:rsidR="00DC6E2F" w:rsidRDefault="00DC6E2F" w:rsidP="008000FC">
      <w:pPr>
        <w:pStyle w:val="DefaultText"/>
        <w:tabs>
          <w:tab w:val="left" w:pos="567"/>
        </w:tabs>
        <w:ind w:left="567" w:hanging="567"/>
        <w:rPr>
          <w:rFonts w:ascii="Arial" w:hAnsi="Arial" w:cs="Arial"/>
          <w:noProof/>
        </w:rPr>
      </w:pPr>
      <w:r>
        <w:rPr>
          <w:rFonts w:ascii="Arial" w:hAnsi="Arial" w:cs="Arial"/>
          <w:noProof/>
        </w:rPr>
        <w:t>WA3 6XF</w:t>
      </w:r>
    </w:p>
    <w:p w:rsidR="00CF5A98" w:rsidRDefault="00CF5A98" w:rsidP="008000FC">
      <w:pPr>
        <w:pStyle w:val="DefaultText"/>
        <w:tabs>
          <w:tab w:val="left" w:pos="567"/>
        </w:tabs>
        <w:ind w:left="567" w:hanging="567"/>
        <w:rPr>
          <w:rFonts w:ascii="Arial" w:hAnsi="Arial" w:cs="Arial"/>
          <w:noProof/>
        </w:rPr>
      </w:pPr>
    </w:p>
    <w:p w:rsidR="00CF5A98" w:rsidRDefault="00CF5A98" w:rsidP="008000FC">
      <w:pPr>
        <w:pStyle w:val="DefaultText"/>
        <w:tabs>
          <w:tab w:val="left" w:pos="567"/>
        </w:tabs>
        <w:ind w:left="567" w:hanging="567"/>
        <w:rPr>
          <w:rFonts w:ascii="Arial" w:hAnsi="Arial" w:cs="Arial"/>
          <w:noProof/>
        </w:rPr>
      </w:pPr>
    </w:p>
    <w:p w:rsidR="00CF5A98" w:rsidRDefault="00CF5A98" w:rsidP="008000FC">
      <w:pPr>
        <w:pStyle w:val="DefaultText"/>
        <w:tabs>
          <w:tab w:val="left" w:pos="567"/>
        </w:tabs>
        <w:ind w:left="567" w:hanging="567"/>
        <w:rPr>
          <w:rFonts w:ascii="Arial" w:hAnsi="Arial" w:cs="Arial"/>
          <w:noProof/>
        </w:rPr>
      </w:pPr>
    </w:p>
    <w:p w:rsidR="00CF5A98" w:rsidRDefault="00CF5A98" w:rsidP="008000FC">
      <w:pPr>
        <w:pStyle w:val="DefaultText"/>
        <w:tabs>
          <w:tab w:val="left" w:pos="567"/>
        </w:tabs>
        <w:ind w:left="567" w:hanging="567"/>
        <w:rPr>
          <w:rFonts w:ascii="Arial" w:hAnsi="Arial" w:cs="Arial"/>
          <w:noProof/>
        </w:rPr>
      </w:pPr>
    </w:p>
    <w:p w:rsidR="00CF5A98" w:rsidRPr="000B2ECA" w:rsidRDefault="00CF5A98" w:rsidP="008000FC">
      <w:pPr>
        <w:pStyle w:val="DefaultText"/>
        <w:tabs>
          <w:tab w:val="left" w:pos="567"/>
        </w:tabs>
        <w:ind w:left="567" w:hanging="567"/>
        <w:rPr>
          <w:rFonts w:ascii="Arial" w:hAnsi="Arial" w:cs="Arial"/>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CF5A98" w:rsidRDefault="00CF5A9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CF5A98" w:rsidRDefault="00CF5A9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CF5A98" w:rsidRDefault="00CF5A98"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bookmarkStart w:id="0" w:name="_GoBack"/>
      <w:bookmarkEnd w:id="0"/>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Pr="000B2ECA"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0B2ECA">
        <w:rPr>
          <w:rFonts w:ascii="Arial" w:hAnsi="Arial"/>
          <w:szCs w:val="24"/>
        </w:rPr>
        <w:t>The Contractor shall undert</w:t>
      </w:r>
      <w:r w:rsidR="008000FC">
        <w:rPr>
          <w:rFonts w:ascii="Arial" w:hAnsi="Arial"/>
          <w:szCs w:val="24"/>
        </w:rPr>
        <w:t xml:space="preserve">ake the </w:t>
      </w:r>
      <w:proofErr w:type="spellStart"/>
      <w:r w:rsidR="008000FC">
        <w:rPr>
          <w:rFonts w:ascii="Arial" w:hAnsi="Arial"/>
          <w:szCs w:val="24"/>
        </w:rPr>
        <w:t>Programme</w:t>
      </w:r>
      <w:proofErr w:type="spellEnd"/>
      <w:r w:rsidR="008000FC">
        <w:rPr>
          <w:rFonts w:ascii="Arial" w:hAnsi="Arial"/>
          <w:szCs w:val="24"/>
        </w:rPr>
        <w:t xml:space="preserve"> of Work titled </w:t>
      </w:r>
      <w:r w:rsidR="00DC6E2F">
        <w:rPr>
          <w:rFonts w:ascii="Arial" w:hAnsi="Arial"/>
          <w:szCs w:val="24"/>
        </w:rPr>
        <w:t xml:space="preserve">Independent Support for Aspects of ONR’s Step 3 Chemistry </w:t>
      </w:r>
      <w:r w:rsidR="008000FC">
        <w:rPr>
          <w:rFonts w:ascii="Arial" w:hAnsi="Arial"/>
          <w:szCs w:val="24"/>
        </w:rPr>
        <w:t xml:space="preserve">dated </w:t>
      </w:r>
      <w:r w:rsidR="00DC6E2F">
        <w:rPr>
          <w:rFonts w:ascii="Arial" w:hAnsi="Arial"/>
          <w:szCs w:val="24"/>
        </w:rPr>
        <w:t>15</w:t>
      </w:r>
      <w:r w:rsidR="008000FC" w:rsidRPr="008000FC">
        <w:rPr>
          <w:rFonts w:ascii="Arial" w:hAnsi="Arial"/>
          <w:szCs w:val="24"/>
          <w:vertAlign w:val="superscript"/>
        </w:rPr>
        <w:t>th</w:t>
      </w:r>
      <w:r w:rsidR="008000FC">
        <w:rPr>
          <w:rFonts w:ascii="Arial" w:hAnsi="Arial"/>
          <w:szCs w:val="24"/>
        </w:rPr>
        <w:t xml:space="preserve"> March 2019</w:t>
      </w:r>
      <w:r w:rsidRPr="000B2ECA">
        <w:rPr>
          <w:rFonts w:ascii="Arial" w:hAnsi="Arial"/>
          <w:szCs w:val="24"/>
        </w:rPr>
        <w:t>, a copy of which is embedded within this Annex 1.</w:t>
      </w:r>
    </w:p>
    <w:p w:rsidR="00964168" w:rsidRDefault="0096416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F5A98" w:rsidRDefault="00CF5A9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F5A98" w:rsidRDefault="00CF5A9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F5A98" w:rsidRDefault="00CF5A9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F5A98" w:rsidRDefault="00CF5A9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F5A98" w:rsidRDefault="00CF5A9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5pt;height:48pt" o:ole="">
            <v:imagedata r:id="rId11" o:title=""/>
          </v:shape>
          <o:OLEObject Type="Embed" ProgID="Excel.Sheet.12" ShapeID="_x0000_i1026" DrawAspect="Icon" ObjectID="_1629202950"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4040F0" w:rsidP="00B20401">
    <w:pPr>
      <w:pStyle w:val="Footer"/>
      <w:rPr>
        <w:rFonts w:ascii="Arial" w:hAnsi="Arial" w:cs="Arial"/>
        <w:sz w:val="16"/>
        <w:szCs w:val="16"/>
      </w:rPr>
    </w:pPr>
    <w:r>
      <w:rPr>
        <w:rFonts w:ascii="Arial" w:hAnsi="Arial" w:cs="Arial"/>
        <w:sz w:val="16"/>
        <w:szCs w:val="16"/>
      </w:rPr>
      <w:t>1.11.4.3385</w:t>
    </w:r>
  </w:p>
  <w:p w:rsidR="00114B8B" w:rsidRDefault="00114B8B" w:rsidP="00B20401">
    <w:pPr>
      <w:pStyle w:val="Footer"/>
      <w:rPr>
        <w:rFonts w:ascii="Arial" w:hAnsi="Arial" w:cs="Arial"/>
        <w:sz w:val="16"/>
        <w:szCs w:val="16"/>
      </w:rPr>
    </w:pPr>
  </w:p>
  <w:p w:rsidR="00FD273A" w:rsidRDefault="00FD273A" w:rsidP="00B20401">
    <w:pPr>
      <w:pStyle w:val="Footer"/>
      <w:rPr>
        <w:rFonts w:ascii="Arial" w:hAnsi="Arial" w:cs="Arial"/>
        <w:sz w:val="16"/>
        <w:szCs w:val="16"/>
      </w:rPr>
    </w:pP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CF5A98">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CF5A98">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E3707B">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ECA"/>
    <w:rsid w:val="000B2FB1"/>
    <w:rsid w:val="000C6EF4"/>
    <w:rsid w:val="000D59E9"/>
    <w:rsid w:val="000E0B60"/>
    <w:rsid w:val="0010169A"/>
    <w:rsid w:val="00102672"/>
    <w:rsid w:val="00114B8B"/>
    <w:rsid w:val="00136874"/>
    <w:rsid w:val="00142D21"/>
    <w:rsid w:val="00163097"/>
    <w:rsid w:val="00170AE5"/>
    <w:rsid w:val="00173949"/>
    <w:rsid w:val="0019640E"/>
    <w:rsid w:val="001C39B1"/>
    <w:rsid w:val="001D1C3A"/>
    <w:rsid w:val="001F3628"/>
    <w:rsid w:val="00203D3C"/>
    <w:rsid w:val="002145C2"/>
    <w:rsid w:val="00231563"/>
    <w:rsid w:val="00261BAA"/>
    <w:rsid w:val="00263290"/>
    <w:rsid w:val="00273EAF"/>
    <w:rsid w:val="00286259"/>
    <w:rsid w:val="00315321"/>
    <w:rsid w:val="00331F69"/>
    <w:rsid w:val="00331FFE"/>
    <w:rsid w:val="003529AA"/>
    <w:rsid w:val="0036147F"/>
    <w:rsid w:val="003667D2"/>
    <w:rsid w:val="00375140"/>
    <w:rsid w:val="003A5129"/>
    <w:rsid w:val="003B464C"/>
    <w:rsid w:val="003B7EE0"/>
    <w:rsid w:val="003C1710"/>
    <w:rsid w:val="003C21FA"/>
    <w:rsid w:val="003C4D66"/>
    <w:rsid w:val="003E1DFF"/>
    <w:rsid w:val="003F5959"/>
    <w:rsid w:val="004040F0"/>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47892"/>
    <w:rsid w:val="00553F3B"/>
    <w:rsid w:val="0055789B"/>
    <w:rsid w:val="00560FB0"/>
    <w:rsid w:val="005639A9"/>
    <w:rsid w:val="005A131C"/>
    <w:rsid w:val="005A45B6"/>
    <w:rsid w:val="005D3558"/>
    <w:rsid w:val="006240E4"/>
    <w:rsid w:val="0062695B"/>
    <w:rsid w:val="0064079B"/>
    <w:rsid w:val="006531FA"/>
    <w:rsid w:val="006711CC"/>
    <w:rsid w:val="00684E1A"/>
    <w:rsid w:val="00691A7E"/>
    <w:rsid w:val="006A552A"/>
    <w:rsid w:val="006B53F2"/>
    <w:rsid w:val="006C264A"/>
    <w:rsid w:val="006D4D93"/>
    <w:rsid w:val="006E1127"/>
    <w:rsid w:val="006F5046"/>
    <w:rsid w:val="006F7F38"/>
    <w:rsid w:val="007007DC"/>
    <w:rsid w:val="00702EFF"/>
    <w:rsid w:val="00703CEA"/>
    <w:rsid w:val="00715C91"/>
    <w:rsid w:val="00716925"/>
    <w:rsid w:val="00764518"/>
    <w:rsid w:val="00776286"/>
    <w:rsid w:val="007C34E9"/>
    <w:rsid w:val="008000FC"/>
    <w:rsid w:val="008041FC"/>
    <w:rsid w:val="00823B19"/>
    <w:rsid w:val="0082673F"/>
    <w:rsid w:val="00847302"/>
    <w:rsid w:val="00850FF7"/>
    <w:rsid w:val="008533E3"/>
    <w:rsid w:val="008541F5"/>
    <w:rsid w:val="008B6010"/>
    <w:rsid w:val="008D3279"/>
    <w:rsid w:val="008D7DAE"/>
    <w:rsid w:val="008F02CA"/>
    <w:rsid w:val="008F098D"/>
    <w:rsid w:val="009203A5"/>
    <w:rsid w:val="0092641F"/>
    <w:rsid w:val="00926BC8"/>
    <w:rsid w:val="00932C40"/>
    <w:rsid w:val="00955FA6"/>
    <w:rsid w:val="00957DDA"/>
    <w:rsid w:val="00964168"/>
    <w:rsid w:val="0097586D"/>
    <w:rsid w:val="00982C5B"/>
    <w:rsid w:val="00994471"/>
    <w:rsid w:val="009B4CB7"/>
    <w:rsid w:val="009C476C"/>
    <w:rsid w:val="009D4583"/>
    <w:rsid w:val="009D6A41"/>
    <w:rsid w:val="009F2FC2"/>
    <w:rsid w:val="009F415D"/>
    <w:rsid w:val="009F73FE"/>
    <w:rsid w:val="00A14DC1"/>
    <w:rsid w:val="00A35189"/>
    <w:rsid w:val="00A632FC"/>
    <w:rsid w:val="00A70770"/>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31363"/>
    <w:rsid w:val="00C444F5"/>
    <w:rsid w:val="00C52033"/>
    <w:rsid w:val="00C900E3"/>
    <w:rsid w:val="00C95E3A"/>
    <w:rsid w:val="00CA1382"/>
    <w:rsid w:val="00CD13B2"/>
    <w:rsid w:val="00CD5FAE"/>
    <w:rsid w:val="00CF2A39"/>
    <w:rsid w:val="00CF5A98"/>
    <w:rsid w:val="00D00B7B"/>
    <w:rsid w:val="00D04FAA"/>
    <w:rsid w:val="00D16CAD"/>
    <w:rsid w:val="00D1773A"/>
    <w:rsid w:val="00D36454"/>
    <w:rsid w:val="00D3766E"/>
    <w:rsid w:val="00D4160B"/>
    <w:rsid w:val="00D55DA8"/>
    <w:rsid w:val="00D601EB"/>
    <w:rsid w:val="00D66531"/>
    <w:rsid w:val="00D9305A"/>
    <w:rsid w:val="00DB1D0F"/>
    <w:rsid w:val="00DC2ED0"/>
    <w:rsid w:val="00DC5C1A"/>
    <w:rsid w:val="00DC6E2F"/>
    <w:rsid w:val="00DD359C"/>
    <w:rsid w:val="00DE44C2"/>
    <w:rsid w:val="00DE4B11"/>
    <w:rsid w:val="00DF33B0"/>
    <w:rsid w:val="00DF462D"/>
    <w:rsid w:val="00E03327"/>
    <w:rsid w:val="00E052A5"/>
    <w:rsid w:val="00E20E7C"/>
    <w:rsid w:val="00E25580"/>
    <w:rsid w:val="00E3707B"/>
    <w:rsid w:val="00E474F5"/>
    <w:rsid w:val="00E67FE5"/>
    <w:rsid w:val="00E74DFB"/>
    <w:rsid w:val="00E760DC"/>
    <w:rsid w:val="00EA46A3"/>
    <w:rsid w:val="00EB37C9"/>
    <w:rsid w:val="00EC4C28"/>
    <w:rsid w:val="00ED412F"/>
    <w:rsid w:val="00EE4085"/>
    <w:rsid w:val="00EF4D6B"/>
    <w:rsid w:val="00F232F3"/>
    <w:rsid w:val="00F30CD1"/>
    <w:rsid w:val="00F36EB9"/>
    <w:rsid w:val="00F37907"/>
    <w:rsid w:val="00F42A69"/>
    <w:rsid w:val="00F42CB8"/>
    <w:rsid w:val="00F431E8"/>
    <w:rsid w:val="00F4406F"/>
    <w:rsid w:val="00F53DDE"/>
    <w:rsid w:val="00F5569C"/>
    <w:rsid w:val="00F86DE4"/>
    <w:rsid w:val="00FA698B"/>
    <w:rsid w:val="00FA7FA9"/>
    <w:rsid w:val="00FB6DB7"/>
    <w:rsid w:val="00FC3FDC"/>
    <w:rsid w:val="00FD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677</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4579</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2019-03-07T11:48:00Z</cp:lastPrinted>
  <dcterms:created xsi:type="dcterms:W3CDTF">2019-09-05T14:33:00Z</dcterms:created>
  <dcterms:modified xsi:type="dcterms:W3CDTF">2019-09-05T14:36:00Z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