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FF" w:rsidRDefault="00977BFF" w:rsidP="00977BFF">
      <w:pPr>
        <w:pStyle w:val="ListParagraph"/>
        <w:ind w:left="0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977BFF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  <w:t>Appendix 9 – Estimated Young Persons Volumes Using the Service</w:t>
      </w:r>
    </w:p>
    <w:p w:rsidR="00686520" w:rsidRDefault="00686520" w:rsidP="00977BFF">
      <w:pPr>
        <w:pStyle w:val="ListParagraph"/>
        <w:ind w:left="0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686520" w:rsidRDefault="00686520" w:rsidP="00977BFF">
      <w:pPr>
        <w:pStyle w:val="ListParagraph"/>
        <w:ind w:left="0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686520" w:rsidRPr="00B2624B" w:rsidRDefault="00686520" w:rsidP="00686520">
      <w:pPr>
        <w:pStyle w:val="ListParagraph"/>
        <w:ind w:left="0"/>
        <w:rPr>
          <w:rFonts w:eastAsiaTheme="majorEastAsia" w:cstheme="majorBidi"/>
          <w:color w:val="1F4E79" w:themeColor="accent1" w:themeShade="80"/>
          <w:sz w:val="24"/>
          <w:szCs w:val="24"/>
        </w:rPr>
      </w:pPr>
      <w:r w:rsidRPr="00B2624B">
        <w:rPr>
          <w:rFonts w:eastAsiaTheme="majorEastAsia" w:cstheme="majorBidi"/>
          <w:color w:val="1F4E79" w:themeColor="accent1" w:themeShade="80"/>
          <w:sz w:val="24"/>
          <w:szCs w:val="24"/>
        </w:rPr>
        <w:t>In 2015 –</w:t>
      </w:r>
      <w:r w:rsidR="00837CE0" w:rsidRPr="00B2624B">
        <w:rPr>
          <w:rFonts w:eastAsiaTheme="majorEastAsia" w:cstheme="majorBidi"/>
          <w:color w:val="1F4E79" w:themeColor="accent1" w:themeShade="80"/>
          <w:sz w:val="24"/>
          <w:szCs w:val="24"/>
        </w:rPr>
        <w:t xml:space="preserve"> </w:t>
      </w:r>
      <w:r w:rsidRPr="00B2624B">
        <w:rPr>
          <w:rFonts w:eastAsiaTheme="majorEastAsia" w:cstheme="majorBidi"/>
          <w:color w:val="1F4E79" w:themeColor="accent1" w:themeShade="80"/>
          <w:sz w:val="24"/>
          <w:szCs w:val="24"/>
        </w:rPr>
        <w:t xml:space="preserve">16 the service was broken down into two separate </w:t>
      </w:r>
      <w:r w:rsidR="00837CE0" w:rsidRPr="00B2624B">
        <w:rPr>
          <w:rFonts w:eastAsiaTheme="majorEastAsia" w:cstheme="majorBidi"/>
          <w:color w:val="1F4E79" w:themeColor="accent1" w:themeShade="80"/>
          <w:sz w:val="24"/>
          <w:szCs w:val="24"/>
        </w:rPr>
        <w:t>contracts. I</w:t>
      </w:r>
      <w:r w:rsidRPr="00B2624B">
        <w:rPr>
          <w:rFonts w:eastAsiaTheme="majorEastAsia" w:cstheme="majorBidi"/>
          <w:color w:val="1F4E79" w:themeColor="accent1" w:themeShade="80"/>
          <w:sz w:val="24"/>
          <w:szCs w:val="24"/>
        </w:rPr>
        <w:t xml:space="preserve">n Exeter it was solely working with 16 – 17 Year olds and </w:t>
      </w:r>
      <w:r w:rsidR="00837CE0" w:rsidRPr="00B2624B">
        <w:rPr>
          <w:rFonts w:eastAsiaTheme="majorEastAsia" w:cstheme="majorBidi"/>
          <w:color w:val="1F4E79" w:themeColor="accent1" w:themeShade="80"/>
          <w:sz w:val="24"/>
          <w:szCs w:val="24"/>
        </w:rPr>
        <w:t>in Teignbridge it was working with 16-17 yr. olds, care leavers and also working with Young People up to the age of 25.</w:t>
      </w:r>
    </w:p>
    <w:p w:rsidR="00686520" w:rsidRDefault="00686520" w:rsidP="00977BFF">
      <w:pPr>
        <w:pStyle w:val="ListParagraph"/>
        <w:ind w:left="0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686520" w:rsidRPr="00977BFF" w:rsidRDefault="00686520" w:rsidP="00977BFF">
      <w:pPr>
        <w:pStyle w:val="ListParagraph"/>
        <w:ind w:left="0"/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2709"/>
        <w:gridCol w:w="2433"/>
        <w:gridCol w:w="2434"/>
      </w:tblGrid>
      <w:tr w:rsidR="00686520" w:rsidTr="00686520">
        <w:tc>
          <w:tcPr>
            <w:tcW w:w="2709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2015 – 2016</w:t>
            </w:r>
          </w:p>
        </w:tc>
        <w:tc>
          <w:tcPr>
            <w:tcW w:w="2433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 Yr. Olds</w:t>
            </w:r>
          </w:p>
        </w:tc>
        <w:tc>
          <w:tcPr>
            <w:tcW w:w="2434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 Leavers</w:t>
            </w:r>
          </w:p>
        </w:tc>
      </w:tr>
      <w:tr w:rsidR="00686520" w:rsidTr="00686520">
        <w:tc>
          <w:tcPr>
            <w:tcW w:w="2709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Exeter</w:t>
            </w:r>
          </w:p>
        </w:tc>
        <w:tc>
          <w:tcPr>
            <w:tcW w:w="2433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34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6520" w:rsidTr="00686520">
        <w:tc>
          <w:tcPr>
            <w:tcW w:w="2709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Teignbridge</w:t>
            </w:r>
          </w:p>
        </w:tc>
        <w:tc>
          <w:tcPr>
            <w:tcW w:w="2433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34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86520" w:rsidTr="00686520">
        <w:tc>
          <w:tcPr>
            <w:tcW w:w="2709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433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434" w:type="dxa"/>
          </w:tcPr>
          <w:p w:rsidR="00686520" w:rsidRDefault="00686520" w:rsidP="00686520">
            <w:pPr>
              <w:pStyle w:val="ListParagraph"/>
              <w:spacing w:before="20" w:after="20"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977BFF" w:rsidRDefault="00977BFF" w:rsidP="00977BFF"/>
    <w:p w:rsidR="00BC408C" w:rsidRPr="00686520" w:rsidRDefault="00BC408C" w:rsidP="00686520">
      <w:pPr>
        <w:spacing w:before="20" w:after="20" w:line="300" w:lineRule="atLeast"/>
        <w:rPr>
          <w:sz w:val="28"/>
          <w:szCs w:val="28"/>
        </w:rPr>
      </w:pPr>
    </w:p>
    <w:p w:rsidR="00686520" w:rsidRDefault="00686520" w:rsidP="00686520">
      <w:pPr>
        <w:pStyle w:val="ListParagraph"/>
        <w:spacing w:before="20" w:after="20" w:line="300" w:lineRule="atLeast"/>
        <w:ind w:left="1440"/>
        <w:rPr>
          <w:sz w:val="28"/>
          <w:szCs w:val="28"/>
        </w:rPr>
      </w:pPr>
    </w:p>
    <w:p w:rsidR="00686520" w:rsidRDefault="00686520" w:rsidP="00686520">
      <w:pPr>
        <w:pStyle w:val="ListParagraph"/>
        <w:spacing w:before="20" w:after="20" w:line="300" w:lineRule="atLeast"/>
        <w:ind w:left="1440"/>
        <w:rPr>
          <w:sz w:val="28"/>
          <w:szCs w:val="28"/>
        </w:rPr>
      </w:pPr>
    </w:p>
    <w:p w:rsidR="00686520" w:rsidRPr="00837CE0" w:rsidRDefault="00837CE0" w:rsidP="00837CE0">
      <w:pPr>
        <w:spacing w:before="20" w:after="20" w:line="300" w:lineRule="atLeast"/>
        <w:jc w:val="both"/>
        <w:rPr>
          <w:color w:val="1F4E79" w:themeColor="accent1" w:themeShade="80"/>
          <w:sz w:val="24"/>
          <w:szCs w:val="24"/>
        </w:rPr>
      </w:pPr>
      <w:r w:rsidRPr="00837CE0">
        <w:rPr>
          <w:color w:val="1F4E79" w:themeColor="accent1" w:themeShade="80"/>
          <w:sz w:val="24"/>
          <w:szCs w:val="24"/>
        </w:rPr>
        <w:t xml:space="preserve">In 2016-17, the decision was made to go out to tender for a joint contract covering Exeter and Teignbridge with a service working with 16-17 Year Olds and Care Leavers.  </w:t>
      </w:r>
    </w:p>
    <w:p w:rsidR="00BC408C" w:rsidRPr="00A12BFA" w:rsidRDefault="00BC408C" w:rsidP="00686520">
      <w:pPr>
        <w:pStyle w:val="ListParagraph"/>
        <w:spacing w:before="20" w:after="20" w:line="300" w:lineRule="atLeas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>
              <w:rPr>
                <w:b/>
              </w:rPr>
              <w:t>Year</w:t>
            </w:r>
            <w:r w:rsidRPr="00686520">
              <w:rPr>
                <w:b/>
              </w:rPr>
              <w:t xml:space="preserve"> 2016-2017</w:t>
            </w:r>
          </w:p>
        </w:tc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16 Year Olds</w:t>
            </w:r>
          </w:p>
        </w:tc>
        <w:tc>
          <w:tcPr>
            <w:tcW w:w="1503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17 Year Olds</w:t>
            </w:r>
          </w:p>
        </w:tc>
        <w:tc>
          <w:tcPr>
            <w:tcW w:w="1503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Care Leavers</w:t>
            </w:r>
          </w:p>
        </w:tc>
        <w:tc>
          <w:tcPr>
            <w:tcW w:w="1503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Total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Exeter Q1</w:t>
            </w:r>
          </w:p>
        </w:tc>
        <w:tc>
          <w:tcPr>
            <w:tcW w:w="1502" w:type="dxa"/>
          </w:tcPr>
          <w:p w:rsidR="00686520" w:rsidRDefault="00686520" w:rsidP="00977BFF">
            <w:r>
              <w:t>6</w:t>
            </w:r>
          </w:p>
        </w:tc>
        <w:tc>
          <w:tcPr>
            <w:tcW w:w="1503" w:type="dxa"/>
          </w:tcPr>
          <w:p w:rsidR="00686520" w:rsidRDefault="00686520" w:rsidP="00977BFF">
            <w:r>
              <w:t>17</w:t>
            </w:r>
          </w:p>
        </w:tc>
        <w:tc>
          <w:tcPr>
            <w:tcW w:w="1503" w:type="dxa"/>
          </w:tcPr>
          <w:p w:rsidR="00686520" w:rsidRDefault="00686520" w:rsidP="00977BFF">
            <w:r>
              <w:t>13</w:t>
            </w:r>
          </w:p>
        </w:tc>
        <w:tc>
          <w:tcPr>
            <w:tcW w:w="1503" w:type="dxa"/>
          </w:tcPr>
          <w:p w:rsidR="00686520" w:rsidRDefault="00686520" w:rsidP="00977BFF">
            <w:r>
              <w:t>36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Exeter Q2</w:t>
            </w:r>
          </w:p>
        </w:tc>
        <w:tc>
          <w:tcPr>
            <w:tcW w:w="1502" w:type="dxa"/>
          </w:tcPr>
          <w:p w:rsidR="00686520" w:rsidRDefault="00686520" w:rsidP="00977BFF">
            <w:r>
              <w:t>10</w:t>
            </w:r>
          </w:p>
        </w:tc>
        <w:tc>
          <w:tcPr>
            <w:tcW w:w="1503" w:type="dxa"/>
          </w:tcPr>
          <w:p w:rsidR="00686520" w:rsidRDefault="00686520" w:rsidP="00977BFF">
            <w:r>
              <w:t>19</w:t>
            </w:r>
          </w:p>
        </w:tc>
        <w:tc>
          <w:tcPr>
            <w:tcW w:w="1503" w:type="dxa"/>
          </w:tcPr>
          <w:p w:rsidR="00686520" w:rsidRDefault="00686520" w:rsidP="00977BFF">
            <w:r>
              <w:t>24</w:t>
            </w:r>
          </w:p>
        </w:tc>
        <w:tc>
          <w:tcPr>
            <w:tcW w:w="1503" w:type="dxa"/>
          </w:tcPr>
          <w:p w:rsidR="00686520" w:rsidRDefault="00686520" w:rsidP="00977BFF">
            <w:r>
              <w:t>53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Exeter Q3</w:t>
            </w:r>
          </w:p>
        </w:tc>
        <w:tc>
          <w:tcPr>
            <w:tcW w:w="1502" w:type="dxa"/>
          </w:tcPr>
          <w:p w:rsidR="00686520" w:rsidRDefault="00686520" w:rsidP="00977BFF">
            <w:r>
              <w:t>7</w:t>
            </w:r>
          </w:p>
        </w:tc>
        <w:tc>
          <w:tcPr>
            <w:tcW w:w="1503" w:type="dxa"/>
          </w:tcPr>
          <w:p w:rsidR="00686520" w:rsidRDefault="00686520" w:rsidP="00977BFF">
            <w:r>
              <w:t>20</w:t>
            </w:r>
          </w:p>
        </w:tc>
        <w:tc>
          <w:tcPr>
            <w:tcW w:w="1503" w:type="dxa"/>
          </w:tcPr>
          <w:p w:rsidR="00686520" w:rsidRDefault="00686520" w:rsidP="00977BFF">
            <w:r>
              <w:t>28</w:t>
            </w:r>
          </w:p>
        </w:tc>
        <w:tc>
          <w:tcPr>
            <w:tcW w:w="1503" w:type="dxa"/>
          </w:tcPr>
          <w:p w:rsidR="00686520" w:rsidRDefault="00686520" w:rsidP="00977BFF">
            <w:r>
              <w:t>55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Teignbridge Q1</w:t>
            </w:r>
          </w:p>
        </w:tc>
        <w:tc>
          <w:tcPr>
            <w:tcW w:w="1502" w:type="dxa"/>
          </w:tcPr>
          <w:p w:rsidR="00686520" w:rsidRDefault="00686520" w:rsidP="00977BFF">
            <w:r>
              <w:t>3</w:t>
            </w:r>
          </w:p>
        </w:tc>
        <w:tc>
          <w:tcPr>
            <w:tcW w:w="1503" w:type="dxa"/>
          </w:tcPr>
          <w:p w:rsidR="00686520" w:rsidRDefault="00686520" w:rsidP="00977BFF">
            <w:r>
              <w:t>10</w:t>
            </w:r>
          </w:p>
        </w:tc>
        <w:tc>
          <w:tcPr>
            <w:tcW w:w="1503" w:type="dxa"/>
          </w:tcPr>
          <w:p w:rsidR="00686520" w:rsidRDefault="00686520" w:rsidP="00977BFF">
            <w:r>
              <w:t>13</w:t>
            </w:r>
          </w:p>
        </w:tc>
        <w:tc>
          <w:tcPr>
            <w:tcW w:w="1503" w:type="dxa"/>
          </w:tcPr>
          <w:p w:rsidR="00686520" w:rsidRDefault="00686520" w:rsidP="00977BFF">
            <w:r>
              <w:t>26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Teignbridge Q2</w:t>
            </w:r>
          </w:p>
        </w:tc>
        <w:tc>
          <w:tcPr>
            <w:tcW w:w="1502" w:type="dxa"/>
          </w:tcPr>
          <w:p w:rsidR="00686520" w:rsidRDefault="00686520" w:rsidP="00977BFF">
            <w:r>
              <w:t>4</w:t>
            </w:r>
          </w:p>
        </w:tc>
        <w:tc>
          <w:tcPr>
            <w:tcW w:w="1503" w:type="dxa"/>
          </w:tcPr>
          <w:p w:rsidR="00686520" w:rsidRDefault="00686520" w:rsidP="00977BFF">
            <w:r>
              <w:t>10</w:t>
            </w:r>
          </w:p>
        </w:tc>
        <w:tc>
          <w:tcPr>
            <w:tcW w:w="1503" w:type="dxa"/>
          </w:tcPr>
          <w:p w:rsidR="00686520" w:rsidRDefault="00686520" w:rsidP="00977BFF">
            <w:r>
              <w:t>14</w:t>
            </w:r>
          </w:p>
        </w:tc>
        <w:tc>
          <w:tcPr>
            <w:tcW w:w="1503" w:type="dxa"/>
          </w:tcPr>
          <w:p w:rsidR="00686520" w:rsidRDefault="00686520" w:rsidP="00977BFF">
            <w:r>
              <w:t>28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 w:rsidRPr="00686520">
              <w:rPr>
                <w:b/>
              </w:rPr>
              <w:t>Teignbridge Q3</w:t>
            </w:r>
          </w:p>
        </w:tc>
        <w:tc>
          <w:tcPr>
            <w:tcW w:w="1502" w:type="dxa"/>
          </w:tcPr>
          <w:p w:rsidR="00686520" w:rsidRDefault="00686520" w:rsidP="00977BFF">
            <w:r>
              <w:t>6</w:t>
            </w:r>
          </w:p>
        </w:tc>
        <w:tc>
          <w:tcPr>
            <w:tcW w:w="1503" w:type="dxa"/>
          </w:tcPr>
          <w:p w:rsidR="00686520" w:rsidRDefault="00686520" w:rsidP="00977BFF">
            <w:r>
              <w:t>8</w:t>
            </w:r>
          </w:p>
        </w:tc>
        <w:tc>
          <w:tcPr>
            <w:tcW w:w="1503" w:type="dxa"/>
          </w:tcPr>
          <w:p w:rsidR="00686520" w:rsidRDefault="00686520" w:rsidP="00977BFF">
            <w:r>
              <w:t>10</w:t>
            </w:r>
          </w:p>
        </w:tc>
        <w:tc>
          <w:tcPr>
            <w:tcW w:w="1503" w:type="dxa"/>
          </w:tcPr>
          <w:p w:rsidR="00686520" w:rsidRDefault="00686520" w:rsidP="00977BFF">
            <w:r>
              <w:t>24</w:t>
            </w:r>
          </w:p>
        </w:tc>
      </w:tr>
      <w:tr w:rsidR="00686520" w:rsidTr="00BC408C">
        <w:tc>
          <w:tcPr>
            <w:tcW w:w="1502" w:type="dxa"/>
          </w:tcPr>
          <w:p w:rsidR="00686520" w:rsidRPr="00686520" w:rsidRDefault="00686520" w:rsidP="00977BFF">
            <w:pPr>
              <w:rPr>
                <w:b/>
              </w:rPr>
            </w:pPr>
            <w:r>
              <w:rPr>
                <w:b/>
              </w:rPr>
              <w:t>Overall Total</w:t>
            </w:r>
          </w:p>
        </w:tc>
        <w:tc>
          <w:tcPr>
            <w:tcW w:w="1502" w:type="dxa"/>
          </w:tcPr>
          <w:p w:rsidR="00686520" w:rsidRDefault="00686520" w:rsidP="00977BFF">
            <w:r>
              <w:t>36</w:t>
            </w:r>
          </w:p>
        </w:tc>
        <w:tc>
          <w:tcPr>
            <w:tcW w:w="1503" w:type="dxa"/>
          </w:tcPr>
          <w:p w:rsidR="00686520" w:rsidRDefault="00686520" w:rsidP="00977BFF">
            <w:r>
              <w:t>84</w:t>
            </w:r>
          </w:p>
        </w:tc>
        <w:tc>
          <w:tcPr>
            <w:tcW w:w="1503" w:type="dxa"/>
          </w:tcPr>
          <w:p w:rsidR="00686520" w:rsidRDefault="00686520" w:rsidP="00977BFF">
            <w:r>
              <w:t>102</w:t>
            </w:r>
          </w:p>
        </w:tc>
        <w:tc>
          <w:tcPr>
            <w:tcW w:w="1503" w:type="dxa"/>
          </w:tcPr>
          <w:p w:rsidR="00686520" w:rsidRDefault="00686520" w:rsidP="00977BFF">
            <w:r>
              <w:t>222</w:t>
            </w:r>
          </w:p>
        </w:tc>
      </w:tr>
    </w:tbl>
    <w:p w:rsidR="00B2624B" w:rsidRDefault="00B2624B" w:rsidP="00977BFF">
      <w:bookmarkStart w:id="0" w:name="_GoBack"/>
      <w:bookmarkEnd w:id="0"/>
    </w:p>
    <w:sectPr w:rsidR="00B2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531"/>
    <w:multiLevelType w:val="hybridMultilevel"/>
    <w:tmpl w:val="1D84C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D5FD8"/>
    <w:multiLevelType w:val="hybridMultilevel"/>
    <w:tmpl w:val="3E80FD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F"/>
    <w:rsid w:val="001C2D81"/>
    <w:rsid w:val="00686520"/>
    <w:rsid w:val="00837CE0"/>
    <w:rsid w:val="00977BFF"/>
    <w:rsid w:val="00B2624B"/>
    <w:rsid w:val="00B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3879A-A4D2-4CEC-B7C8-F242CDEE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FF"/>
    <w:pPr>
      <w:ind w:left="720"/>
      <w:contextualSpacing/>
    </w:pPr>
  </w:style>
  <w:style w:type="table" w:styleId="TableGrid">
    <w:name w:val="Table Grid"/>
    <w:basedOn w:val="TableNormal"/>
    <w:uiPriority w:val="39"/>
    <w:rsid w:val="00B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Stocks, Chris</dc:creator>
  <cp:keywords/>
  <dc:description/>
  <cp:lastModifiedBy>Stocks, Chris</cp:lastModifiedBy>
  <cp:revision>1</cp:revision>
  <dcterms:created xsi:type="dcterms:W3CDTF">2017-02-27T10:22:00Z</dcterms:created>
  <dcterms:modified xsi:type="dcterms:W3CDTF">2017-02-27T11:05:00Z</dcterms:modified>
</cp:coreProperties>
</file>